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cs="Times New Roman"/>
          <w:b/>
          <w:bCs/>
          <w:color w:val="auto"/>
          <w:sz w:val="30"/>
          <w:szCs w:val="30"/>
          <w:highlight w:val="none"/>
          <w:lang w:val="en-US" w:eastAsia="zh-CN"/>
        </w:rPr>
      </w:pPr>
      <w:r>
        <w:rPr>
          <w:rFonts w:hint="eastAsia" w:ascii="宋体" w:hAnsi="宋体" w:cs="Times New Roman"/>
          <w:b/>
          <w:bCs/>
          <w:color w:val="auto"/>
          <w:sz w:val="30"/>
          <w:szCs w:val="30"/>
          <w:highlight w:val="none"/>
          <w:lang w:val="en-US" w:eastAsia="zh-CN"/>
        </w:rPr>
        <w:t>2024年第3期孕前优生移动登记报告查询系统升级（第二次招标）采购公告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SZSZXYJHYY202401003</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3"/>
        <w:gridCol w:w="2843"/>
        <w:gridCol w:w="1384"/>
        <w:gridCol w:w="259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44"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8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38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（人民币元）</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2"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8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ascii="Times New Roman" w:hAnsi="Times New Roman" w:eastAsia="宋体" w:cs="Times New Roman"/>
                <w:sz w:val="18"/>
                <w:szCs w:val="18"/>
                <w:lang w:val="en-US" w:eastAsia="zh-CN"/>
              </w:rPr>
              <w:t xml:space="preserve"> 孕前优生移动登记报告查询系统升级（第二次招标）</w:t>
            </w:r>
          </w:p>
        </w:tc>
        <w:tc>
          <w:tcPr>
            <w:tcW w:w="138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cs="Times New Roman"/>
                <w:sz w:val="18"/>
                <w:szCs w:val="18"/>
                <w:lang w:val="en-US" w:eastAsia="zh-CN"/>
              </w:rPr>
            </w:pPr>
            <w:r>
              <w:rPr>
                <w:rFonts w:hint="eastAsia" w:cs="Times New Roman"/>
                <w:sz w:val="18"/>
                <w:szCs w:val="18"/>
                <w:lang w:val="en-US" w:eastAsia="zh-CN"/>
              </w:rPr>
              <w:t>40000</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详见招标文件用户需求书</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22</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24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3918</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刘老师</w:t>
      </w:r>
    </w:p>
    <w:p>
      <w:pPr>
        <w:widowControl/>
        <w:shd w:val="clear" w:color="auto" w:fill="FFFFFF"/>
        <w:spacing w:before="100" w:beforeAutospacing="1" w:after="100" w:afterAutospacing="1" w:line="240" w:lineRule="auto"/>
        <w:ind w:firstLine="420" w:firstLineChars="200"/>
        <w:jc w:val="right"/>
        <w:rPr>
          <w:rFonts w:hint="eastAsia"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widowControl/>
        <w:shd w:val="clear" w:color="auto" w:fill="FFFFFF"/>
        <w:spacing w:before="100" w:beforeAutospacing="1" w:after="100" w:afterAutospacing="1" w:line="240" w:lineRule="auto"/>
        <w:ind w:firstLine="420" w:firstLineChars="2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24</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2月4日</w:t>
      </w:r>
    </w:p>
    <w:p>
      <w:pPr>
        <w:widowControl/>
        <w:spacing w:line="360" w:lineRule="atLeast"/>
        <w:jc w:val="center"/>
        <w:rPr>
          <w:rFonts w:hint="eastAsia" w:ascii="宋体" w:hAnsi="宋体" w:cs="Arial"/>
          <w:b/>
          <w:bCs/>
          <w:color w:val="993300"/>
          <w:kern w:val="0"/>
          <w:sz w:val="36"/>
          <w:szCs w:val="36"/>
          <w:lang w:eastAsia="zh-CN"/>
        </w:rPr>
      </w:pPr>
      <w:bookmarkStart w:id="13" w:name="_GoBack"/>
      <w:bookmarkEnd w:id="13"/>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33"/>
        <w:adjustRightInd w:val="0"/>
        <w:snapToGrid w:val="0"/>
        <w:spacing w:before="0" w:beforeAutospacing="0" w:after="0" w:afterAutospacing="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投标人须满足《中华人民共和国政府采购法》第二十二条第一款的条件；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p>
    <w:p>
      <w:pP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cs="Arial"/>
          <w:color w:val="FF0000"/>
          <w:kern w:val="0"/>
          <w:szCs w:val="21"/>
        </w:rPr>
        <w:t>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9.</w:t>
      </w:r>
      <w:r>
        <w:rPr>
          <w:rFonts w:hint="eastAsia" w:ascii="宋体" w:hAnsi="宋体" w:eastAsia="宋体" w:cs="Arial"/>
          <w:b w:val="0"/>
          <w:bCs w:val="0"/>
          <w:color w:val="FF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FF0000"/>
          <w:kern w:val="0"/>
          <w:sz w:val="21"/>
          <w:szCs w:val="21"/>
          <w:lang w:val="en-US" w:eastAsia="zh-CN" w:bidi="ar-SA"/>
        </w:rPr>
        <w:t>或服务</w:t>
      </w:r>
      <w:r>
        <w:rPr>
          <w:rFonts w:hint="eastAsia" w:ascii="宋体" w:hAnsi="宋体" w:eastAsia="宋体" w:cs="Arial"/>
          <w:b w:val="0"/>
          <w:bCs w:val="0"/>
          <w:color w:val="FF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10</w:t>
      </w:r>
      <w:r>
        <w:rPr>
          <w:rFonts w:hint="eastAsia" w:ascii="宋体" w:hAnsi="宋体" w:eastAsia="宋体" w:cs="Arial"/>
          <w:b w:val="0"/>
          <w:bCs w:val="0"/>
          <w:color w:val="000000"/>
          <w:kern w:val="0"/>
          <w:sz w:val="21"/>
          <w:szCs w:val="21"/>
          <w:lang w:val="en-US" w:eastAsia="zh-CN" w:bidi="ar-SA"/>
        </w:rPr>
        <w:t>.投标人必须在其投标文件中根据产品特点提供产品使用培训等技术服务的详细内容，技术服务的价格计入投标总价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11</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2</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3</w:t>
      </w:r>
      <w:r>
        <w:rPr>
          <w:rFonts w:hint="eastAsia" w:ascii="宋体" w:hAnsi="宋体" w:eastAsia="宋体" w:cs="Arial"/>
          <w:b w:val="0"/>
          <w:bCs w:val="0"/>
          <w:color w:val="000000"/>
          <w:kern w:val="0"/>
          <w:sz w:val="21"/>
          <w:szCs w:val="21"/>
          <w:lang w:val="en-US" w:eastAsia="zh-CN" w:bidi="ar-SA"/>
        </w:rPr>
        <w:t>.除买方事先书面同意外，卖方不得将自己应履行的全部或部分合同义务转让给他人。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15</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.服务期限：长期货物采购合同履行期限最长不得超过二十四个月，长期服务采购合同履行期限最长不得超过三十六个月。如</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对履约情况不满意，</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不再续约。</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.深圳市中西医结合医院评标小组推荐的预中标单位经审批后在深圳市中西医结合医院官网公示3日,无异议则中标单位领取中标通知书，凭中标通知书10天内到归口职能部门签订合同。</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1069"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评分项目</w:t>
            </w:r>
          </w:p>
        </w:tc>
        <w:tc>
          <w:tcPr>
            <w:tcW w:w="119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评分因素</w:t>
            </w:r>
          </w:p>
        </w:tc>
        <w:tc>
          <w:tcPr>
            <w:tcW w:w="501"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6077" w:type="dxa"/>
            <w:noWrap w:val="0"/>
            <w:vAlign w:val="center"/>
          </w:tcPr>
          <w:p>
            <w:pPr>
              <w:spacing w:line="240" w:lineRule="auto"/>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评</w:t>
            </w:r>
            <w:r>
              <w:rPr>
                <w:rFonts w:hint="eastAsia" w:ascii="宋体" w:hAnsi="宋体" w:eastAsia="宋体" w:cs="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both"/>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技术部分</w:t>
            </w: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w:t>
            </w:r>
            <w:r>
              <w:rPr>
                <w:rFonts w:hint="eastAsia" w:ascii="宋体" w:hAnsi="宋体" w:cs="宋体"/>
                <w:color w:val="FF0000"/>
                <w:kern w:val="0"/>
                <w:sz w:val="21"/>
                <w:szCs w:val="21"/>
                <w:lang w:val="en-US" w:eastAsia="zh-CN"/>
              </w:rPr>
              <w:t>41</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tc>
        <w:tc>
          <w:tcPr>
            <w:tcW w:w="1190"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服务要求偏离表</w:t>
            </w:r>
          </w:p>
        </w:tc>
        <w:tc>
          <w:tcPr>
            <w:tcW w:w="501" w:type="dxa"/>
            <w:noWrap w:val="0"/>
            <w:vAlign w:val="center"/>
          </w:tcPr>
          <w:p>
            <w:pPr>
              <w:adjustRightInd w:val="0"/>
              <w:snapToGrid w:val="0"/>
              <w:spacing w:line="240" w:lineRule="auto"/>
              <w:jc w:val="center"/>
              <w:rPr>
                <w:rFonts w:hint="default" w:ascii="宋体" w:hAnsi="宋体" w:eastAsia="宋体" w:cs="宋体"/>
                <w:b w:val="0"/>
                <w:bCs w:val="0"/>
                <w:color w:val="FF0000"/>
                <w:sz w:val="21"/>
                <w:szCs w:val="21"/>
                <w:highlight w:val="none"/>
                <w:shd w:val="clear" w:color="auto" w:fill="auto"/>
                <w:lang w:val="en-US" w:eastAsia="zh-CN"/>
              </w:rPr>
            </w:pPr>
            <w:r>
              <w:rPr>
                <w:rFonts w:hint="eastAsia" w:ascii="宋体" w:hAnsi="宋体" w:cs="宋体"/>
                <w:color w:val="FF0000"/>
                <w:sz w:val="21"/>
                <w:szCs w:val="21"/>
                <w:lang w:val="en-US" w:eastAsia="zh-CN"/>
              </w:rPr>
              <w:t>30</w:t>
            </w:r>
          </w:p>
        </w:tc>
        <w:tc>
          <w:tcPr>
            <w:tcW w:w="6077" w:type="dxa"/>
            <w:noWrap w:val="0"/>
            <w:vAlign w:val="top"/>
          </w:tcPr>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评分标准：</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投标人应如实填写《服务要求</w:t>
            </w:r>
            <w:r>
              <w:rPr>
                <w:rFonts w:hint="eastAsia" w:ascii="宋体" w:hAnsi="宋体" w:eastAsia="宋体" w:cs="宋体"/>
                <w:color w:val="FF0000"/>
                <w:sz w:val="21"/>
                <w:szCs w:val="21"/>
                <w:lang w:val="en-US" w:eastAsia="zh-CN"/>
              </w:rPr>
              <w:t>/技术要求</w:t>
            </w:r>
            <w:r>
              <w:rPr>
                <w:rFonts w:hint="eastAsia" w:ascii="宋体" w:hAnsi="宋体" w:eastAsia="宋体" w:cs="宋体"/>
                <w:color w:val="FF0000"/>
                <w:sz w:val="21"/>
                <w:szCs w:val="21"/>
                <w:lang w:val="zh-CN"/>
              </w:rPr>
              <w:t>偏离表》，各项技术参数指标及要求全部满足或优于的得</w:t>
            </w:r>
            <w:r>
              <w:rPr>
                <w:rFonts w:hint="eastAsia" w:ascii="宋体" w:hAnsi="宋体" w:eastAsia="宋体" w:cs="宋体"/>
                <w:color w:val="FF0000"/>
                <w:sz w:val="21"/>
                <w:szCs w:val="21"/>
                <w:lang w:val="en-US" w:eastAsia="zh-CN"/>
              </w:rPr>
              <w:t>30</w:t>
            </w:r>
            <w:r>
              <w:rPr>
                <w:rFonts w:hint="eastAsia" w:ascii="宋体" w:hAnsi="宋体" w:eastAsia="宋体" w:cs="宋体"/>
                <w:color w:val="FF0000"/>
                <w:sz w:val="21"/>
                <w:szCs w:val="21"/>
                <w:lang w:val="zh-CN"/>
              </w:rPr>
              <w:t>分；技术参数每负偏离一项</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lang w:val="zh-CN"/>
              </w:rPr>
              <w:t>分；未响应参数视为负偏离；扣完为止。接受正偏离但不加分。</w:t>
            </w:r>
          </w:p>
          <w:p>
            <w:pPr>
              <w:pStyle w:val="29"/>
              <w:spacing w:line="240" w:lineRule="auto"/>
              <w:ind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zh-CN"/>
              </w:rPr>
              <w:t>评分依据：以投标文件《服务要求</w:t>
            </w:r>
            <w:r>
              <w:rPr>
                <w:rFonts w:hint="eastAsia" w:ascii="宋体" w:hAnsi="宋体" w:eastAsia="宋体" w:cs="宋体"/>
                <w:color w:val="FF0000"/>
                <w:sz w:val="21"/>
                <w:szCs w:val="21"/>
                <w:lang w:val="en-US" w:eastAsia="zh-CN"/>
              </w:rPr>
              <w:t>/技术要求</w:t>
            </w:r>
            <w:r>
              <w:rPr>
                <w:rFonts w:hint="eastAsia" w:ascii="宋体" w:hAnsi="宋体" w:eastAsia="宋体" w:cs="宋体"/>
                <w:color w:val="FF0000"/>
                <w:sz w:val="21"/>
                <w:szCs w:val="21"/>
                <w:lang w:val="zh-CN"/>
              </w:rPr>
              <w:t>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项目</w:t>
            </w:r>
            <w:r>
              <w:rPr>
                <w:rFonts w:hint="eastAsia" w:ascii="宋体" w:hAnsi="宋体" w:eastAsia="宋体" w:cs="宋体"/>
                <w:color w:val="FF0000"/>
                <w:sz w:val="21"/>
                <w:szCs w:val="21"/>
                <w:lang w:eastAsia="zh-CN"/>
              </w:rPr>
              <w:t>实施</w:t>
            </w:r>
            <w:r>
              <w:rPr>
                <w:rFonts w:hint="eastAsia" w:ascii="宋体" w:hAnsi="宋体" w:eastAsia="宋体" w:cs="宋体"/>
                <w:color w:val="FF0000"/>
                <w:sz w:val="21"/>
                <w:szCs w:val="21"/>
              </w:rPr>
              <w:t>方案</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 xml:space="preserve">11    </w:t>
            </w:r>
          </w:p>
        </w:tc>
        <w:tc>
          <w:tcPr>
            <w:tcW w:w="6077" w:type="dxa"/>
            <w:noWrap w:val="0"/>
            <w:vAlign w:val="center"/>
          </w:tcPr>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评审内容：</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1.项目进度计划；</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2.培训方案；</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3.人员分工、岗位设置情况等。</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评分依据：</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en-US" w:eastAsia="zh-CN"/>
              </w:rPr>
              <w:t>方案包含以上内容</w:t>
            </w:r>
            <w:r>
              <w:rPr>
                <w:rFonts w:hint="eastAsia" w:ascii="宋体" w:hAnsi="宋体" w:eastAsia="宋体" w:cs="宋体"/>
                <w:color w:val="FF0000"/>
                <w:sz w:val="21"/>
                <w:szCs w:val="21"/>
                <w:lang w:val="zh-CN"/>
              </w:rPr>
              <w:t>满足以上三点得</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lang w:val="zh-CN"/>
              </w:rPr>
              <w:t>分，满足二点得</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lang w:val="zh-CN"/>
              </w:rPr>
              <w:t>分，满足一点得</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val="zh-CN"/>
              </w:rPr>
              <w:t>分，其他情况不得分。</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在此基础上，专家根据各投标人的具体响应内容进一步评审：</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1.提供的项目实施方案详细、全面、完善的，评审为优，加</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lang w:val="zh-CN"/>
              </w:rPr>
              <w:t xml:space="preserve">分； </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2.提供的项目实施方案较详细、较全面、较完善的，评审为良，加</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lang w:val="zh-CN"/>
              </w:rPr>
              <w:t xml:space="preserve">分； </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3.提供的项目实施方案一般的，评审为中，加</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val="zh-CN"/>
              </w:rPr>
              <w:t>分；</w:t>
            </w:r>
          </w:p>
          <w:p>
            <w:pPr>
              <w:pStyle w:val="29"/>
              <w:spacing w:line="240" w:lineRule="auto"/>
              <w:ind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lang w:val="zh-CN"/>
              </w:rPr>
              <w:t xml:space="preserve">提供的项目实施方案不详细、不全面的，评审为差，不加分。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87" w:hRule="atLeast"/>
          <w:jc w:val="center"/>
        </w:trPr>
        <w:tc>
          <w:tcPr>
            <w:tcW w:w="480"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eastAsia="zh-CN"/>
              </w:rPr>
              <w:t>商务部分（</w:t>
            </w:r>
            <w:r>
              <w:rPr>
                <w:rFonts w:hint="eastAsia" w:ascii="宋体" w:hAnsi="宋体" w:cs="宋体"/>
                <w:color w:val="FF0000"/>
                <w:kern w:val="0"/>
                <w:sz w:val="21"/>
                <w:szCs w:val="21"/>
                <w:lang w:val="en-US" w:eastAsia="zh-CN"/>
              </w:rPr>
              <w:t>29</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rPr>
              <w:t>商务</w:t>
            </w:r>
            <w:r>
              <w:rPr>
                <w:rFonts w:hint="eastAsia" w:ascii="宋体" w:hAnsi="宋体" w:eastAsia="宋体" w:cs="宋体"/>
                <w:color w:val="FF0000"/>
                <w:sz w:val="21"/>
                <w:szCs w:val="21"/>
                <w:lang w:eastAsia="zh-CN"/>
              </w:rPr>
              <w:t>要求</w:t>
            </w:r>
            <w:r>
              <w:rPr>
                <w:rFonts w:hint="eastAsia" w:ascii="宋体" w:hAnsi="宋体" w:eastAsia="宋体" w:cs="宋体"/>
                <w:color w:val="FF0000"/>
                <w:sz w:val="21"/>
                <w:szCs w:val="21"/>
              </w:rPr>
              <w:t>偏离情况</w:t>
            </w:r>
          </w:p>
        </w:tc>
        <w:tc>
          <w:tcPr>
            <w:tcW w:w="501" w:type="dxa"/>
            <w:noWrap w:val="0"/>
            <w:vAlign w:val="center"/>
          </w:tcPr>
          <w:p>
            <w:pPr>
              <w:autoSpaceDE w:val="0"/>
              <w:autoSpaceDN w:val="0"/>
              <w:adjustRightInd w:val="0"/>
              <w:jc w:val="center"/>
              <w:rPr>
                <w:rFonts w:hint="default" w:ascii="宋体" w:hAnsi="宋体" w:eastAsia="宋体" w:cs="宋体"/>
                <w:b w:val="0"/>
                <w:bCs w:val="0"/>
                <w:color w:val="FF0000"/>
                <w:sz w:val="21"/>
                <w:szCs w:val="21"/>
                <w:highlight w:val="none"/>
                <w:shd w:val="clear" w:color="auto" w:fill="auto"/>
                <w:lang w:val="en-US" w:eastAsia="zh-CN"/>
              </w:rPr>
            </w:pPr>
            <w:r>
              <w:rPr>
                <w:rFonts w:hint="eastAsia" w:ascii="宋体" w:hAnsi="宋体" w:cs="宋体"/>
                <w:b w:val="0"/>
                <w:bCs w:val="0"/>
                <w:color w:val="FF0000"/>
                <w:sz w:val="21"/>
                <w:szCs w:val="21"/>
                <w:highlight w:val="none"/>
                <w:shd w:val="clear" w:color="auto" w:fill="auto"/>
                <w:lang w:val="en-US" w:eastAsia="zh-CN"/>
              </w:rPr>
              <w:t>18</w:t>
            </w:r>
          </w:p>
        </w:tc>
        <w:tc>
          <w:tcPr>
            <w:tcW w:w="6077" w:type="dxa"/>
            <w:noWrap w:val="0"/>
            <w:vAlign w:val="center"/>
          </w:tcPr>
          <w:p>
            <w:pPr>
              <w:pStyle w:val="29"/>
              <w:spacing w:line="240" w:lineRule="auto"/>
              <w:ind w:firstLine="0" w:firstLineChars="0"/>
              <w:rPr>
                <w:rFonts w:hint="eastAsia" w:ascii="宋体" w:hAnsi="宋体" w:eastAsia="宋体" w:cs="宋体"/>
                <w:color w:val="FF0000"/>
                <w:sz w:val="21"/>
                <w:szCs w:val="21"/>
                <w:lang w:val="sq-AL" w:eastAsia="zh-CN"/>
              </w:rPr>
            </w:pPr>
            <w:r>
              <w:rPr>
                <w:rFonts w:hint="eastAsia" w:ascii="宋体" w:hAnsi="宋体" w:eastAsia="宋体" w:cs="宋体"/>
                <w:color w:val="FF0000"/>
                <w:sz w:val="21"/>
                <w:szCs w:val="21"/>
                <w:lang w:val="zh-CN"/>
              </w:rPr>
              <w:t>投标人应如实填写《商务要求偏离表》，</w:t>
            </w:r>
            <w:r>
              <w:rPr>
                <w:rFonts w:hint="eastAsia" w:ascii="宋体" w:hAnsi="宋体" w:eastAsia="宋体" w:cs="宋体"/>
                <w:color w:val="FF0000"/>
                <w:sz w:val="21"/>
                <w:szCs w:val="21"/>
                <w:lang w:val="zh-CN" w:eastAsia="zh-CN"/>
              </w:rPr>
              <w:t>全部满足的得</w:t>
            </w:r>
            <w:r>
              <w:rPr>
                <w:rFonts w:hint="eastAsia" w:ascii="宋体" w:hAnsi="宋体" w:cs="宋体"/>
                <w:color w:val="FF0000"/>
                <w:sz w:val="21"/>
                <w:szCs w:val="21"/>
                <w:lang w:val="en-US" w:eastAsia="zh-CN"/>
              </w:rPr>
              <w:t>18</w:t>
            </w:r>
            <w:r>
              <w:rPr>
                <w:rFonts w:hint="eastAsia" w:ascii="宋体" w:hAnsi="宋体" w:eastAsia="宋体" w:cs="宋体"/>
                <w:color w:val="FF0000"/>
                <w:sz w:val="21"/>
                <w:szCs w:val="21"/>
                <w:lang w:val="zh-CN" w:eastAsia="zh-CN"/>
              </w:rPr>
              <w:t>分；</w:t>
            </w:r>
            <w:r>
              <w:rPr>
                <w:rFonts w:hint="eastAsia" w:ascii="宋体" w:hAnsi="宋体" w:eastAsia="宋体" w:cs="宋体"/>
                <w:color w:val="FF0000"/>
                <w:sz w:val="21"/>
                <w:szCs w:val="21"/>
                <w:lang w:val="zh-CN"/>
              </w:rPr>
              <w:t>各项参数每负偏离一项扣</w:t>
            </w:r>
            <w:r>
              <w:rPr>
                <w:rFonts w:hint="eastAsia" w:ascii="宋体" w:hAnsi="宋体" w:cs="宋体"/>
                <w:color w:val="FF0000"/>
                <w:sz w:val="21"/>
                <w:szCs w:val="21"/>
                <w:lang w:val="en-US" w:eastAsia="zh-CN"/>
              </w:rPr>
              <w:t>1.5</w:t>
            </w:r>
            <w:r>
              <w:rPr>
                <w:rFonts w:hint="eastAsia" w:ascii="宋体" w:hAnsi="宋体" w:eastAsia="宋体" w:cs="宋体"/>
                <w:color w:val="FF0000"/>
                <w:sz w:val="21"/>
                <w:szCs w:val="21"/>
                <w:lang w:val="zh-CN"/>
              </w:rPr>
              <w:t>分，</w:t>
            </w:r>
            <w:r>
              <w:rPr>
                <w:rFonts w:hint="eastAsia" w:ascii="宋体" w:hAnsi="宋体" w:eastAsia="宋体" w:cs="宋体"/>
                <w:color w:val="FF0000"/>
                <w:sz w:val="21"/>
                <w:szCs w:val="21"/>
                <w:lang w:val="zh-CN" w:eastAsia="zh-CN"/>
              </w:rPr>
              <w:t>未响应参数视为负偏离一项扣</w:t>
            </w:r>
            <w:r>
              <w:rPr>
                <w:rFonts w:hint="eastAsia" w:ascii="宋体" w:hAnsi="宋体" w:cs="宋体"/>
                <w:color w:val="FF0000"/>
                <w:sz w:val="21"/>
                <w:szCs w:val="21"/>
                <w:lang w:val="en-US" w:eastAsia="zh-CN"/>
              </w:rPr>
              <w:t>1.5</w:t>
            </w:r>
            <w:r>
              <w:rPr>
                <w:rFonts w:hint="eastAsia" w:ascii="宋体" w:hAnsi="宋体" w:eastAsia="宋体" w:cs="宋体"/>
                <w:color w:val="FF0000"/>
                <w:sz w:val="21"/>
                <w:szCs w:val="21"/>
                <w:lang w:val="zh-CN" w:eastAsia="zh-CN"/>
              </w:rPr>
              <w:t>分，</w:t>
            </w:r>
            <w:r>
              <w:rPr>
                <w:rFonts w:hint="eastAsia" w:ascii="宋体" w:hAnsi="宋体" w:eastAsia="宋体" w:cs="宋体"/>
                <w:color w:val="FF0000"/>
                <w:sz w:val="21"/>
                <w:szCs w:val="21"/>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rPr>
              <w:t>同类项目业绩</w:t>
            </w:r>
          </w:p>
        </w:tc>
        <w:tc>
          <w:tcPr>
            <w:tcW w:w="501" w:type="dxa"/>
            <w:noWrap w:val="0"/>
            <w:vAlign w:val="center"/>
          </w:tcPr>
          <w:p>
            <w:pPr>
              <w:adjustRightInd w:val="0"/>
              <w:snapToGrid w:val="0"/>
              <w:spacing w:line="240" w:lineRule="auto"/>
              <w:jc w:val="center"/>
              <w:rPr>
                <w:rFonts w:hint="eastAsia" w:ascii="宋体" w:hAnsi="宋体" w:eastAsia="宋体" w:cs="宋体"/>
                <w:b w:val="0"/>
                <w:bCs w:val="0"/>
                <w:color w:val="FF0000"/>
                <w:kern w:val="2"/>
                <w:sz w:val="21"/>
                <w:szCs w:val="21"/>
                <w:highlight w:val="none"/>
                <w:shd w:val="clear" w:color="auto" w:fill="auto"/>
                <w:lang w:val="en-US" w:eastAsia="zh-CN" w:bidi="ar-SA"/>
              </w:rPr>
            </w:pPr>
            <w:r>
              <w:rPr>
                <w:rFonts w:hint="eastAsia" w:ascii="宋体" w:hAnsi="宋体" w:eastAsia="宋体" w:cs="宋体"/>
                <w:color w:val="FF0000"/>
                <w:sz w:val="21"/>
                <w:szCs w:val="21"/>
              </w:rPr>
              <w:t>6</w:t>
            </w:r>
          </w:p>
        </w:tc>
        <w:tc>
          <w:tcPr>
            <w:tcW w:w="6077" w:type="dxa"/>
            <w:noWrap w:val="0"/>
            <w:vAlign w:val="top"/>
          </w:tcPr>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评审内容：</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20</w:t>
            </w:r>
            <w:r>
              <w:rPr>
                <w:rFonts w:hint="eastAsia" w:ascii="宋体" w:hAnsi="宋体" w:eastAsia="宋体" w:cs="宋体"/>
                <w:color w:val="FF0000"/>
                <w:sz w:val="21"/>
                <w:szCs w:val="21"/>
                <w:lang w:val="en-US" w:eastAsia="zh-CN"/>
              </w:rPr>
              <w:t>21</w:t>
            </w:r>
            <w:r>
              <w:rPr>
                <w:rFonts w:hint="eastAsia" w:ascii="宋体" w:hAnsi="宋体" w:eastAsia="宋体" w:cs="宋体"/>
                <w:color w:val="FF0000"/>
                <w:sz w:val="21"/>
                <w:szCs w:val="21"/>
                <w:lang w:val="zh-CN"/>
              </w:rPr>
              <w:t>年1月1日起至</w:t>
            </w:r>
            <w:r>
              <w:rPr>
                <w:rFonts w:hint="eastAsia" w:ascii="宋体" w:hAnsi="宋体" w:eastAsia="宋体" w:cs="宋体"/>
                <w:color w:val="FF0000"/>
                <w:sz w:val="21"/>
                <w:szCs w:val="21"/>
                <w:lang w:val="en-US" w:eastAsia="zh-CN"/>
              </w:rPr>
              <w:t>本项目投标截止之日</w:t>
            </w:r>
            <w:r>
              <w:rPr>
                <w:rFonts w:hint="eastAsia" w:ascii="宋体" w:hAnsi="宋体" w:eastAsia="宋体" w:cs="宋体"/>
                <w:color w:val="FF0000"/>
                <w:sz w:val="21"/>
                <w:szCs w:val="21"/>
                <w:lang w:val="zh-CN"/>
              </w:rPr>
              <w:t>，投标人具有同类项目业绩且已验收（履约评价）合格的业绩，每提供1个项目得2分，最高得</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lang w:val="zh-CN"/>
              </w:rPr>
              <w:t>分。</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（二）评分依据：</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1.要求同时提供合同关键信息和项目履约（验收）合格评价证明文件作为得分依据。</w:t>
            </w:r>
          </w:p>
          <w:p>
            <w:pPr>
              <w:pStyle w:val="29"/>
              <w:spacing w:line="240" w:lineRule="auto"/>
              <w:ind w:firstLine="0" w:firstLineChars="0"/>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2.通过合同关键信息无法判断是否得分的，还须同时提供能证明得分的其它证明资料，如项目报告或合同采购方出具的证明文件等。</w:t>
            </w:r>
          </w:p>
          <w:p>
            <w:pPr>
              <w:pStyle w:val="29"/>
              <w:spacing w:line="240" w:lineRule="auto"/>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sz w:val="21"/>
                <w:szCs w:val="21"/>
                <w:lang w:val="zh-CN"/>
              </w:rPr>
              <w:t>3.以上资料均要求提供扫描件，原件备查。评分中出现无证明资料或专家无法凭所提供资料判断是否得分的情况，一律作不得分处理。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top"/>
          </w:tcPr>
          <w:p>
            <w:pPr>
              <w:adjustRightInd w:val="0"/>
              <w:snapToGrid w:val="0"/>
              <w:spacing w:line="240" w:lineRule="auto"/>
              <w:jc w:val="center"/>
              <w:rPr>
                <w:rFonts w:hint="eastAsia" w:ascii="宋体" w:hAnsi="宋体" w:eastAsia="宋体" w:cs="宋体"/>
                <w:color w:val="FF0000"/>
                <w:sz w:val="21"/>
                <w:szCs w:val="21"/>
                <w:lang w:val="zh-CN" w:eastAsia="zh-CN"/>
              </w:rPr>
            </w:pPr>
          </w:p>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诚信管理情况</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6077" w:type="dxa"/>
            <w:noWrap w:val="0"/>
            <w:vAlign w:val="top"/>
          </w:tcPr>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投标人在参与政府采购活动中存在被记入诚信档案的情形（被禁止参与政府采购活动除外）且在主管部门相关处理措施实施期限内的，本项不得分，否则得满分。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评分依据：按招标文件格式如实提供《诚信承诺函》原件加盖投标人公章，且承诺函格式及内容不得修改，否则不得分。</w:t>
            </w:r>
            <w:r>
              <w:rPr>
                <w:rFonts w:hint="eastAsia" w:ascii="宋体" w:hAnsi="宋体" w:eastAsia="宋体" w:cs="宋体"/>
                <w:color w:val="FF0000"/>
                <w:sz w:val="21"/>
                <w:szCs w:val="21"/>
              </w:rPr>
              <w:t>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三</w:t>
            </w:r>
          </w:p>
        </w:tc>
        <w:tc>
          <w:tcPr>
            <w:tcW w:w="1069" w:type="dxa"/>
            <w:noWrap w:val="0"/>
            <w:vAlign w:val="center"/>
          </w:tcPr>
          <w:p>
            <w:pPr>
              <w:widowControl/>
              <w:spacing w:line="240" w:lineRule="auto"/>
              <w:jc w:val="left"/>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价格部分（30分）</w:t>
            </w:r>
          </w:p>
        </w:tc>
        <w:tc>
          <w:tcPr>
            <w:tcW w:w="1190" w:type="dxa"/>
            <w:noWrap w:val="0"/>
            <w:vAlign w:val="center"/>
          </w:tcPr>
          <w:p>
            <w:pPr>
              <w:autoSpaceDE w:val="0"/>
              <w:autoSpaceDN w:val="0"/>
              <w:adjustRightInd w:val="0"/>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9"/>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2.1以书面形式向采购人或者招标办一次性提出针对同一招标采购程序环节的质疑。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r>
        <w:rPr>
          <w:rFonts w:hint="eastAsia" w:ascii="宋体" w:hAnsi="宋体" w:eastAsia="宋体" w:cs="Arial"/>
          <w:color w:val="000000"/>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pStyle w:val="23"/>
        <w:rPr>
          <w:rFonts w:hint="eastAsia" w:ascii="宋体" w:hAnsi="宋体" w:eastAsia="宋体" w:cs="Times New Roman"/>
          <w:b/>
          <w:bCs/>
          <w:color w:val="FF0000"/>
          <w:sz w:val="32"/>
          <w:szCs w:val="32"/>
          <w:lang w:val="en-US" w:eastAsia="zh-CN"/>
        </w:rPr>
      </w:pPr>
    </w:p>
    <w:p>
      <w:pPr>
        <w:pStyle w:val="23"/>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7"/>
        <w:tblW w:w="84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43"/>
        <w:gridCol w:w="4189"/>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114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序号</w:t>
            </w:r>
          </w:p>
        </w:tc>
        <w:tc>
          <w:tcPr>
            <w:tcW w:w="418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项目名称</w:t>
            </w:r>
          </w:p>
        </w:tc>
        <w:tc>
          <w:tcPr>
            <w:tcW w:w="310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预算价（人民币元）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75" w:hRule="atLeast"/>
        </w:trPr>
        <w:tc>
          <w:tcPr>
            <w:tcW w:w="11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color w:val="FF0000"/>
                <w:sz w:val="21"/>
                <w:szCs w:val="21"/>
                <w:lang w:val="en-US" w:eastAsia="zh-CN"/>
              </w:rPr>
              <w:t>1</w:t>
            </w:r>
          </w:p>
        </w:tc>
        <w:tc>
          <w:tcPr>
            <w:tcW w:w="418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color w:val="FF0000"/>
                <w:sz w:val="21"/>
                <w:szCs w:val="21"/>
                <w:lang w:val="en-US" w:eastAsia="zh-CN"/>
              </w:rPr>
              <w:t xml:space="preserve"> 孕前优生移动登记报告查询系统升级（第二次招标）</w:t>
            </w:r>
          </w:p>
        </w:tc>
        <w:tc>
          <w:tcPr>
            <w:tcW w:w="31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color w:val="FF0000"/>
                <w:sz w:val="21"/>
                <w:szCs w:val="21"/>
                <w:lang w:val="en-US" w:eastAsia="zh-CN"/>
              </w:rPr>
              <w:t>40000</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pPr>
        <w:numPr>
          <w:ilvl w:val="0"/>
          <w:numId w:val="0"/>
        </w:numPr>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Cs/>
          <w:color w:val="FF0000"/>
          <w:kern w:val="0"/>
          <w:sz w:val="21"/>
          <w:szCs w:val="21"/>
          <w:lang w:val="en-US" w:eastAsia="zh-CN"/>
        </w:rPr>
        <w:t>需对现有孕前优生系统进行升级，实现无纸化管理：开设孕前优生健康检查网上预约服务渠道，实现通过信息平台对参检人员进行基本信息采集、知情同意书签署、档案建立、健康检查、信息录入、风险评估指导、评估告知书推送、追踪随访、信息报送等无纸化管理等工作。</w:t>
      </w:r>
    </w:p>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三、项目类型：一次性服务</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查询记录网络截图证明材料</w:t>
      </w:r>
      <w:r>
        <w:rPr>
          <w:rFonts w:hint="eastAsia" w:ascii="宋体" w:hAnsi="宋体" w:cs="宋体"/>
          <w:bCs/>
          <w:color w:val="FF0000"/>
          <w:kern w:val="0"/>
          <w:sz w:val="21"/>
          <w:szCs w:val="21"/>
          <w:lang w:val="en-US" w:eastAsia="zh-CN"/>
        </w:rPr>
        <w:t>（查询时间须在采购公告之日起至投标截止日前）</w:t>
      </w:r>
      <w:r>
        <w:rPr>
          <w:rFonts w:hint="eastAsia" w:ascii="宋体" w:hAnsi="宋体" w:eastAsia="宋体" w:cs="宋体"/>
          <w:bCs/>
          <w:color w:val="FF0000"/>
          <w:kern w:val="0"/>
          <w:sz w:val="21"/>
          <w:szCs w:val="21"/>
          <w:lang w:val="en-US" w:eastAsia="zh-CN"/>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6.本项目不接受联合体投标，不允许转包分包（由供应商在《政府采购投标及履约承诺函》中作出声明）。</w:t>
      </w:r>
    </w:p>
    <w:p>
      <w:pPr>
        <w:numPr>
          <w:ilvl w:val="0"/>
          <w:numId w:val="0"/>
        </w:numPr>
        <w:ind w:firstLine="420" w:firstLineChars="200"/>
        <w:rPr>
          <w:rFonts w:hint="eastAsia" w:ascii="宋体" w:hAnsi="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4"/>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gridSpan w:val="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restart"/>
            <w:noWrap w:val="0"/>
            <w:vAlign w:val="center"/>
          </w:tcPr>
          <w:p>
            <w:pPr>
              <w:jc w:val="center"/>
              <w:rPr>
                <w:rFonts w:hint="eastAsia" w:ascii="宋体" w:hAnsi="宋体" w:eastAsia="宋体" w:cs="宋体"/>
                <w:b/>
                <w:bCs w:val="0"/>
                <w:color w:val="FF0000"/>
                <w:kern w:val="0"/>
                <w:sz w:val="21"/>
                <w:szCs w:val="21"/>
                <w:lang w:val="en-US" w:eastAsia="zh-CN" w:bidi="ar-SA"/>
              </w:rPr>
            </w:pPr>
            <w:r>
              <w:rPr>
                <w:rFonts w:hint="eastAsia" w:ascii="宋体" w:hAnsi="宋体" w:eastAsia="宋体" w:cs="Times New Roman"/>
                <w:b/>
                <w:bCs/>
                <w:color w:val="FF0000"/>
                <w:szCs w:val="21"/>
                <w:lang w:eastAsia="zh-CN"/>
              </w:rPr>
              <w:t>服务要求</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1</w:t>
            </w:r>
          </w:p>
        </w:tc>
        <w:tc>
          <w:tcPr>
            <w:tcW w:w="7409"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通过微信公众号或二维码扫描登记孕前夫妇的基本信息、双方的病史问答信息、双方体格检查的身高体重血压信息</w:t>
            </w:r>
            <w:r>
              <w:rPr>
                <w:rFonts w:hint="eastAsia" w:ascii="宋体" w:hAnsi="宋体" w:eastAsia="宋体" w:cs="宋体"/>
                <w:color w:val="FF0000"/>
                <w:sz w:val="22"/>
                <w:szCs w:val="22"/>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平台录入方式根据省系统平台一样的严格限制措施，保证检查对象数据录入的完整性、合规性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通过身份证手机验证登录查询孕检报告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4</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通过短信发送方式完成智能随访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5</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实现孕检过程的无纸化、电子化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1" w:type="pct"/>
            <w:vMerge w:val="continue"/>
            <w:noWrap w:val="0"/>
            <w:vAlign w:val="center"/>
          </w:tcPr>
          <w:p>
            <w:pPr>
              <w:jc w:val="center"/>
              <w:rPr>
                <w:rFonts w:hint="eastAsia" w:ascii="宋体" w:hAnsi="宋体" w:eastAsia="宋体" w:cs="Times New Roman"/>
                <w:b/>
                <w:bCs/>
                <w:color w:val="FF0000"/>
                <w:szCs w:val="21"/>
                <w:lang w:eastAsia="zh-CN"/>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6</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iCs w:val="0"/>
                <w:color w:val="FF0000"/>
                <w:sz w:val="21"/>
                <w:szCs w:val="20"/>
                <w:lang w:val="en-US" w:eastAsia="zh-CN"/>
              </w:rPr>
            </w:pPr>
            <w:r>
              <w:rPr>
                <w:rFonts w:hint="eastAsia" w:ascii="宋体" w:hAnsi="宋体" w:eastAsia="宋体" w:cs="宋体"/>
                <w:color w:val="FF0000"/>
                <w:sz w:val="22"/>
                <w:szCs w:val="22"/>
                <w:highlight w:val="none"/>
              </w:rPr>
              <w:t>平台录入的界面简易、易懂、方便检查对象快速录入</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lang w:val="en-US" w:eastAsia="zh-CN"/>
              </w:rPr>
              <w:t>1.项目实施期间及维保期间产生的费用均已包含在投标报价中</w:t>
            </w:r>
            <w:r>
              <w:rPr>
                <w:rFonts w:hint="eastAsia" w:ascii="宋体" w:hAnsi="宋体" w:eastAsia="宋体" w:cs="宋体"/>
                <w:bCs/>
                <w:color w:val="FF0000"/>
                <w:kern w:val="0"/>
                <w:sz w:val="21"/>
                <w:szCs w:val="21"/>
                <w:highlight w:val="none"/>
                <w:lang w:val="en-US" w:eastAsia="zh-CN"/>
              </w:rPr>
              <w:t>，该期限内的所有售后服务，包括但不限于系统维护、人员培训及相关技术支持所产生的费用均由中标方承担。</w:t>
            </w:r>
          </w:p>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2.服务期内提供7×24小时的运维服务响应，30分钟内电话响应，不能通过电话、网络等方式远程协助解决问题时，必须4小时内到达现场，到达现场后2小时内处理完毕。若故障在2小时内仍未处理完毕，中标方必须采取应急措施解决，不得影响采购方的正常工作业务。</w:t>
            </w:r>
          </w:p>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3.关于培训：项目实施完成并正式交付医院使用之前以及采购方有培训需求时，中标方应派专业技术人员对采购方指定人员进行培训及指导，直至采购方指定人员完全掌握系统的基本使用及操作、维护方法。</w:t>
            </w:r>
          </w:p>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4.保证安全原则：系统运行的安全性和稳定性是系统正常运行的重要保障。在系统设计和建设中要符合国家有关网络与信息安全方面的法律、法规及技术要求，强化网络与信息安全管理，制定和完善相关的应急处理预案，保证系统稳定运行，确保数据安全性，不得泄露或转载。</w:t>
            </w:r>
          </w:p>
          <w:p>
            <w:pPr>
              <w:numPr>
                <w:ilvl w:val="0"/>
                <w:numId w:val="0"/>
              </w:numPr>
              <w:ind w:left="0" w:leftChars="0" w:firstLine="0" w:firstLineChars="0"/>
              <w:jc w:val="left"/>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5.服务期内，提供升级、做好业务数据备份，提供专业人员运维服务。与其他系统对接或HIS升级，提供技术支持，配合升级，确保本项目所含系统功能正常使用。如有需求调整或完善个性化系统功能，中标方将积极评估可行性，提供个性化开发服务，可能涉及的费用双方另行协商。</w:t>
            </w:r>
          </w:p>
          <w:p>
            <w:pPr>
              <w:numPr>
                <w:ilvl w:val="0"/>
                <w:numId w:val="0"/>
              </w:numPr>
              <w:ind w:left="0" w:leftChars="0" w:firstLine="0" w:firstLineChars="0"/>
              <w:jc w:val="left"/>
              <w:rPr>
                <w:rFonts w:hint="eastAsia" w:ascii="Times New Roman" w:hAnsi="Times New Roman" w:eastAsia="宋体" w:cs="Times New Roman"/>
                <w:iCs w:val="0"/>
                <w:color w:val="FF0000"/>
                <w:sz w:val="21"/>
                <w:szCs w:val="20"/>
              </w:rPr>
            </w:pPr>
            <w:r>
              <w:rPr>
                <w:rFonts w:hint="eastAsia" w:ascii="宋体" w:hAnsi="宋体" w:eastAsia="宋体" w:cs="宋体"/>
                <w:bCs/>
                <w:color w:val="FF0000"/>
                <w:kern w:val="0"/>
                <w:sz w:val="21"/>
                <w:szCs w:val="21"/>
                <w:highlight w:val="none"/>
                <w:lang w:val="en-US" w:eastAsia="zh-CN"/>
              </w:rPr>
              <w:t>6.本项目生命周期内若服务器出现故障，中标方应全力配合进行服务器重新部署及数据库重装、数据库恢复工作。根据医院信息化建设的发展需要，</w:t>
            </w:r>
            <w:r>
              <w:rPr>
                <w:rFonts w:hint="eastAsia" w:ascii="宋体" w:hAnsi="宋体" w:eastAsia="宋体" w:cs="宋体"/>
                <w:bCs/>
                <w:color w:val="FF0000"/>
                <w:kern w:val="0"/>
                <w:sz w:val="21"/>
                <w:szCs w:val="21"/>
                <w:lang w:val="en-US" w:eastAsia="zh-CN"/>
              </w:rPr>
              <w:t>配合做系统的迁移、部署、调试等，确保系统能正常</w:t>
            </w:r>
            <w:r>
              <w:rPr>
                <w:rFonts w:hint="eastAsia" w:ascii="宋体" w:hAnsi="宋体" w:eastAsia="宋体" w:cs="宋体"/>
                <w:bCs/>
                <w:color w:val="FF0000"/>
                <w:kern w:val="0"/>
                <w:sz w:val="21"/>
                <w:szCs w:val="21"/>
                <w:highlight w:val="none"/>
                <w:lang w:val="en-US" w:eastAsia="zh-CN"/>
              </w:rPr>
              <w:t>稳定运行，不额外收费。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中标方完成服务后出具试运行报告（试用期3个月），如采购方无异议，在试运行报告签署后，在【15】日内双方对服务成果进行验收。采购方按照招标文件要求、合同约定的标准或国家规定、行业标准对中标方提供的服务成果进行验收，如验收标准不明确的，以采购方要求为验收标准（同时不得低于国家规定标准）。如服务成果不能满足采购方要求的，采购方有权要求中标方进行整改；中标方应在整改完成后再次通知采购方进行验收，直至采购方验收合格。由于无法通过验收而导致延期交付的，中标方按照合同约定承担违约责任。</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2.当满足以下条件时，采购方才向中标方签发验收报告：</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（1）中标方已按照合同规定完成了系统的联调，确保系统运行稳定，数据准确。</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（2）系统功能符合招标文件系统功能技术参数的要求。</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（3）提供系统数据库账号、密码及数据库结构文档。</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（4）需通过宝安区卫生事业发展中心组织的“信息系统上线前网络安全评测”。</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（5）完成系统使用的相关培训。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投标报价包含：投标费、税费、人工费、安装费以及技术服务（如技术资料、图纸的提供）、培训费、接口费、维保费等全部费用，除此之外，采购方无需向中标方支付其他任何费用。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第一期款：验收合格且收到中标方有效发票后60日内，采购方向中标方支付合同总价款的90%；</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第二期款：验收合格满一年后，采购方在收到中标方提供的合法有效发票后60日内，支付合同总价款的10%。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服务期限</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中标方应在合同生效后【180】日内完成服务内容、向采购方提交服务成果。</w:t>
            </w:r>
          </w:p>
        </w:tc>
      </w:tr>
    </w:tbl>
    <w:p>
      <w:pPr>
        <w:spacing w:after="60"/>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pStyle w:val="23"/>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24</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4"/>
        <w:rPr>
          <w:rStyle w:val="27"/>
          <w:rFonts w:hint="eastAsia"/>
          <w:color w:val="000000"/>
          <w:szCs w:val="28"/>
        </w:rPr>
      </w:pP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项目</w:t>
      </w:r>
      <w:r>
        <w:rPr>
          <w:rFonts w:hint="eastAsia" w:ascii="宋体" w:hAnsi="宋体" w:cs="宋体"/>
        </w:rPr>
        <w:t>实施方案</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highlight w:val="none"/>
          <w:lang w:val="en-US" w:eastAsia="zh-CN"/>
        </w:rPr>
        <w:t>12.</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color w:val="auto"/>
          <w:szCs w:val="21"/>
          <w:lang w:val="en-US" w:eastAsia="zh-CN"/>
        </w:rPr>
        <w:t>13.</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4</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15.</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16.</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5"/>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2"/>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4"/>
        <w:rPr>
          <w:rFonts w:hint="eastAsia" w:ascii="宋体" w:hAnsi="宋体"/>
        </w:rPr>
      </w:pPr>
    </w:p>
    <w:p>
      <w:pPr>
        <w:pStyle w:val="24"/>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5"/>
        <w:rPr>
          <w:rFonts w:hint="eastAsia"/>
          <w:lang w:val="en-US" w:eastAsia="zh-CN"/>
        </w:rPr>
      </w:pPr>
    </w:p>
    <w:p>
      <w:pPr>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rPr>
        <w:t>9.</w:t>
      </w:r>
      <w:bookmarkStart w:id="4" w:name="_Toc435515294"/>
      <w:bookmarkStart w:id="5" w:name="_Toc435514854"/>
      <w:bookmarkStart w:id="6" w:name="_Toc275865605"/>
      <w:bookmarkStart w:id="7" w:name="_Toc9184"/>
      <w:bookmarkStart w:id="8" w:name="_Toc4720"/>
      <w:bookmarkStart w:id="9" w:name="_Toc20322_WPSOffice_Level1"/>
      <w:bookmarkStart w:id="10" w:name="_Toc1762"/>
      <w:r>
        <w:rPr>
          <w:rFonts w:hint="eastAsia" w:ascii="宋体" w:hAnsi="宋体"/>
          <w:b/>
          <w:bCs/>
          <w:szCs w:val="21"/>
        </w:rPr>
        <w:t>投标函</w:t>
      </w:r>
      <w:bookmarkEnd w:id="4"/>
      <w:bookmarkEnd w:id="5"/>
      <w:bookmarkEnd w:id="6"/>
      <w:bookmarkEnd w:id="7"/>
      <w:bookmarkEnd w:id="8"/>
      <w:bookmarkEnd w:id="9"/>
      <w:bookmarkEnd w:id="10"/>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pStyle w:val="24"/>
        <w:ind w:left="0" w:leftChars="0" w:firstLine="0" w:firstLineChars="0"/>
        <w:jc w:val="center"/>
        <w:rPr>
          <w:rFonts w:hint="eastAsia" w:ascii="宋体" w:hAnsi="宋体" w:eastAsia="宋体" w:cs="Times New Roman"/>
          <w:b/>
          <w:bCs/>
          <w:szCs w:val="21"/>
          <w:lang w:eastAsia="zh-CN"/>
        </w:rPr>
      </w:pPr>
      <w:r>
        <w:rPr>
          <w:rFonts w:hint="eastAsia" w:ascii="宋体" w:hAnsi="宋体"/>
          <w:b/>
          <w:bCs/>
          <w:szCs w:val="21"/>
          <w:highlight w:val="none"/>
        </w:rPr>
        <w:t>1</w:t>
      </w:r>
      <w:r>
        <w:rPr>
          <w:rFonts w:hint="eastAsia" w:ascii="宋体" w:hAnsi="宋体"/>
          <w:b/>
          <w:bCs/>
          <w:szCs w:val="21"/>
          <w:highlight w:val="none"/>
          <w:lang w:val="en-US" w:eastAsia="zh-CN"/>
        </w:rPr>
        <w:t>0.</w:t>
      </w:r>
      <w:r>
        <w:rPr>
          <w:rFonts w:hint="eastAsia" w:ascii="宋体" w:hAnsi="宋体"/>
          <w:b/>
          <w:bCs/>
          <w:color w:val="auto"/>
          <w:szCs w:val="21"/>
          <w:highlight w:val="none"/>
        </w:rPr>
        <w:t>项目</w:t>
      </w:r>
      <w:r>
        <w:rPr>
          <w:rFonts w:hint="eastAsia" w:ascii="宋体" w:hAnsi="宋体"/>
          <w:b/>
          <w:bCs/>
          <w:color w:val="auto"/>
          <w:szCs w:val="21"/>
          <w:highlight w:val="none"/>
          <w:lang w:eastAsia="zh-CN"/>
        </w:rPr>
        <w:t>实施</w:t>
      </w:r>
      <w:r>
        <w:rPr>
          <w:rFonts w:hint="eastAsia" w:ascii="宋体" w:hAnsi="宋体"/>
          <w:b/>
          <w:bCs/>
          <w:color w:val="auto"/>
          <w:szCs w:val="21"/>
          <w:highlight w:val="none"/>
        </w:rPr>
        <w:t>方</w:t>
      </w:r>
      <w:r>
        <w:rPr>
          <w:rFonts w:hint="eastAsia" w:ascii="宋体" w:hAnsi="宋体"/>
          <w:b/>
          <w:bCs/>
          <w:color w:val="auto"/>
          <w:szCs w:val="21"/>
          <w:highlight w:val="none"/>
          <w:lang w:eastAsia="zh-CN"/>
        </w:rPr>
        <w:t>案</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2"/>
        <w:gridCol w:w="389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12"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90"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restart"/>
            <w:noWrap w:val="0"/>
            <w:vAlign w:val="center"/>
          </w:tcPr>
          <w:p>
            <w:pPr>
              <w:tabs>
                <w:tab w:val="left" w:pos="420"/>
              </w:tabs>
              <w:adjustRightInd w:val="0"/>
              <w:snapToGrid w:val="0"/>
              <w:spacing w:line="440" w:lineRule="atLeast"/>
              <w:rPr>
                <w:rFonts w:hint="eastAsia" w:ascii="宋体" w:eastAsia="宋体"/>
                <w:color w:val="auto"/>
                <w:szCs w:val="21"/>
                <w:lang w:eastAsia="zh-CN"/>
              </w:rPr>
            </w:pPr>
            <w:r>
              <w:rPr>
                <w:rFonts w:hint="eastAsia" w:ascii="Times New Roman" w:hAnsi="Times New Roman" w:eastAsia="宋体" w:cs="Times New Roman"/>
                <w:b/>
                <w:color w:val="auto"/>
                <w:lang w:eastAsia="zh-CN"/>
              </w:rPr>
              <w:t>服务要求</w:t>
            </w:r>
          </w:p>
        </w:tc>
        <w:tc>
          <w:tcPr>
            <w:tcW w:w="3890" w:type="dxa"/>
            <w:noWrap w:val="0"/>
            <w:vAlign w:val="center"/>
          </w:tcPr>
          <w:p>
            <w:pPr>
              <w:tabs>
                <w:tab w:val="left" w:pos="420"/>
              </w:tabs>
              <w:adjustRightInd w:val="0"/>
              <w:snapToGrid w:val="0"/>
              <w:spacing w:line="440" w:lineRule="atLeast"/>
              <w:rPr>
                <w:rFonts w:hint="eastAsia" w:ascii="Times New Roman" w:hAnsi="Times New Roman" w:cs="Times New Roman"/>
                <w:bCs/>
                <w:color w:val="auto"/>
                <w:lang w:val="en-US" w:eastAsia="zh-CN"/>
              </w:rPr>
            </w:pPr>
            <w:r>
              <w:rPr>
                <w:rFonts w:ascii="宋体" w:hAnsi="宋体" w:cs="宋体"/>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continue"/>
            <w:noWrap w:val="0"/>
            <w:vAlign w:val="center"/>
          </w:tcPr>
          <w:p>
            <w:pPr>
              <w:adjustRightInd w:val="0"/>
              <w:snapToGrid w:val="0"/>
              <w:jc w:val="center"/>
              <w:rPr>
                <w:rFonts w:hint="eastAsia" w:ascii="宋体" w:hAnsi="宋体"/>
                <w:b/>
                <w:kern w:val="0"/>
                <w:szCs w:val="21"/>
              </w:rPr>
            </w:pPr>
          </w:p>
        </w:tc>
        <w:tc>
          <w:tcPr>
            <w:tcW w:w="3890"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tabs>
                <w:tab w:val="left" w:pos="420"/>
              </w:tabs>
              <w:adjustRightInd w:val="0"/>
              <w:snapToGrid w:val="0"/>
              <w:spacing w:line="440" w:lineRule="atLeast"/>
              <w:rPr>
                <w:rFonts w:hint="eastAsia" w:ascii="宋体" w:eastAsia="宋体"/>
                <w:color w:val="auto"/>
                <w:szCs w:val="21"/>
                <w:lang w:eastAsia="zh-CN"/>
              </w:rPr>
            </w:pPr>
          </w:p>
        </w:tc>
        <w:tc>
          <w:tcPr>
            <w:tcW w:w="3890" w:type="dxa"/>
            <w:noWrap w:val="0"/>
            <w:vAlign w:val="top"/>
          </w:tcPr>
          <w:p>
            <w:pPr>
              <w:adjustRightInd w:val="0"/>
              <w:snapToGrid w:val="0"/>
              <w:spacing w:line="440" w:lineRule="atLeast"/>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color w:val="000000"/>
        </w:rPr>
      </w:pPr>
      <w:r>
        <w:rPr>
          <w:rFonts w:hint="eastAsia"/>
          <w:color w:val="FF0000"/>
        </w:rPr>
        <w:t>此表</w:t>
      </w:r>
      <w:r>
        <w:rPr>
          <w:rFonts w:hint="eastAsia"/>
          <w:color w:val="FF0000"/>
          <w:lang w:eastAsia="zh-CN"/>
        </w:rPr>
        <w:t>可根据实际内容自行调整、延长</w:t>
      </w: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1"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1"/>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12" w:name="_Hlk73558164"/>
      <w:r>
        <w:rPr>
          <w:rFonts w:hint="eastAsia" w:ascii="宋体" w:hAnsi="宋体" w:eastAsia="宋体" w:cs="仿宋"/>
          <w:b/>
          <w:bCs/>
          <w:color w:val="FF0000"/>
          <w:szCs w:val="21"/>
          <w:highlight w:val="none"/>
        </w:rPr>
        <w:t>均视为负偏离。</w:t>
      </w:r>
      <w:bookmarkEnd w:id="12"/>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eastAsia" w:hAnsi="宋体" w:cs="宋体"/>
          <w:color w:val="auto"/>
          <w:szCs w:val="21"/>
          <w:highlight w:val="none"/>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both"/>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bidi w:val="0"/>
        <w:jc w:val="center"/>
        <w:rPr>
          <w:rFonts w:hint="eastAsia"/>
          <w:b/>
          <w:bCs/>
          <w:lang w:val="en-US" w:eastAsia="zh-CN"/>
        </w:rPr>
      </w:pPr>
      <w:r>
        <w:rPr>
          <w:rFonts w:hint="eastAsia"/>
          <w:b/>
          <w:bCs/>
          <w:lang w:val="en-US" w:eastAsia="zh-CN"/>
        </w:rPr>
        <w:t>12.商务要求偏离表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7"/>
        <w:ind w:left="0" w:leftChars="0" w:firstLine="0" w:firstLineChars="0"/>
        <w:rPr>
          <w:rFonts w:hint="eastAsia"/>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13.</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15.</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2"/>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SZSZXYJHYY202401003</w:t>
      </w:r>
    </w:p>
    <w:p>
      <w:pPr>
        <w:widowControl/>
        <w:ind w:left="1"/>
        <w:rPr>
          <w:rFonts w:hint="eastAsia" w:ascii="宋体" w:hAnsi="宋体" w:cs="Arial"/>
          <w:color w:val="000000"/>
          <w:kern w:val="0"/>
          <w:sz w:val="30"/>
          <w:szCs w:val="30"/>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878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21"/>
        <w:gridCol w:w="2350"/>
        <w:gridCol w:w="2807"/>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序号</w:t>
            </w:r>
          </w:p>
        </w:tc>
        <w:tc>
          <w:tcPr>
            <w:tcW w:w="23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FF0000"/>
                <w:kern w:val="0"/>
                <w:sz w:val="21"/>
                <w:szCs w:val="21"/>
                <w:lang w:val="en-US" w:eastAsia="zh-CN"/>
              </w:rPr>
            </w:pPr>
            <w:r>
              <w:rPr>
                <w:rFonts w:hint="eastAsia" w:eastAsia="宋体"/>
                <w:b/>
                <w:bCs/>
                <w:color w:val="FF0000"/>
                <w:sz w:val="18"/>
                <w:szCs w:val="18"/>
                <w:lang w:val="en-US" w:eastAsia="zh-CN"/>
              </w:rPr>
              <w:t>项目名称</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FF0000"/>
                <w:kern w:val="0"/>
                <w:sz w:val="21"/>
                <w:szCs w:val="21"/>
                <w:lang w:val="en-US" w:eastAsia="zh-CN"/>
              </w:rPr>
            </w:pPr>
            <w:r>
              <w:rPr>
                <w:rFonts w:hint="eastAsia" w:ascii="宋体" w:hAnsi="宋体" w:eastAsia="宋体" w:cs="Arial"/>
                <w:b/>
                <w:bCs/>
                <w:color w:val="FF0000"/>
                <w:kern w:val="0"/>
                <w:szCs w:val="21"/>
                <w:lang w:val="en-US" w:eastAsia="zh-CN"/>
              </w:rPr>
              <w:t>投标总价（元）</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cs="Arial"/>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18"/>
                <w:szCs w:val="18"/>
                <w:lang w:val="en-US" w:eastAsia="zh-CN"/>
              </w:rPr>
            </w:pPr>
            <w:r>
              <w:rPr>
                <w:rFonts w:hint="eastAsia" w:cs="Times New Roman"/>
                <w:color w:val="FF0000"/>
                <w:sz w:val="18"/>
                <w:szCs w:val="18"/>
                <w:lang w:val="en-US" w:eastAsia="zh-CN"/>
              </w:rPr>
              <w:t>1</w:t>
            </w:r>
          </w:p>
        </w:tc>
        <w:tc>
          <w:tcPr>
            <w:tcW w:w="23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 xml:space="preserve"> 孕前优生移动登记报告查询系统升级（第二次招标）</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r>
              <w:rPr>
                <w:rFonts w:hint="eastAsia"/>
                <w:color w:val="FF0000"/>
                <w:kern w:val="0"/>
                <w:sz w:val="15"/>
                <w:szCs w:val="15"/>
                <w:highlight w:val="yellow"/>
                <w:lang w:eastAsia="zh-CN"/>
              </w:rPr>
              <w:t>注：正本空白，超预算将导致投标无效</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p>
        </w:tc>
      </w:tr>
    </w:tbl>
    <w:p>
      <w:pPr>
        <w:spacing w:before="156" w:beforeLines="50" w:after="156" w:afterLines="50"/>
        <w:rPr>
          <w:rFonts w:hint="eastAsia" w:ascii="宋体" w:hAnsi="宋体" w:cs="Arial"/>
          <w:color w:val="000000"/>
          <w:kern w:val="0"/>
          <w:sz w:val="30"/>
          <w:szCs w:val="30"/>
        </w:rPr>
      </w:pPr>
      <w:r>
        <w:rPr>
          <w:rFonts w:hint="eastAsia" w:ascii="宋体" w:hAnsi="宋体" w:cs="Arial"/>
          <w:b/>
          <w:bCs/>
          <w:color w:val="000000"/>
          <w:kern w:val="0"/>
          <w:sz w:val="30"/>
          <w:szCs w:val="30"/>
        </w:rPr>
        <w:t>附：分项报价</w:t>
      </w:r>
      <w:r>
        <w:rPr>
          <w:rFonts w:hint="eastAsia" w:ascii="宋体" w:hAnsi="宋体" w:cs="Arial"/>
          <w:color w:val="000000"/>
          <w:kern w:val="0"/>
          <w:sz w:val="30"/>
          <w:szCs w:val="30"/>
        </w:rPr>
        <w:t>（如有）</w:t>
      </w:r>
      <w:r>
        <w:rPr>
          <w:rFonts w:hint="eastAsia" w:ascii="宋体" w:hAnsi="宋体"/>
          <w:color w:val="FF0000"/>
          <w:sz w:val="18"/>
          <w:szCs w:val="21"/>
          <w:lang w:eastAsia="zh-CN"/>
        </w:rPr>
        <w:t>注：</w:t>
      </w:r>
      <w:r>
        <w:rPr>
          <w:rFonts w:hint="eastAsia" w:ascii="宋体" w:hAnsi="宋体"/>
          <w:color w:val="FF0000"/>
          <w:sz w:val="18"/>
          <w:szCs w:val="21"/>
        </w:rPr>
        <w:t>报价单的投标</w:t>
      </w:r>
      <w:r>
        <w:rPr>
          <w:rFonts w:hint="eastAsia"/>
          <w:snapToGrid w:val="0"/>
          <w:color w:val="FF0000"/>
          <w:kern w:val="0"/>
          <w:sz w:val="18"/>
          <w:szCs w:val="21"/>
        </w:rPr>
        <w:t>总</w:t>
      </w:r>
      <w:r>
        <w:rPr>
          <w:rFonts w:hint="eastAsia" w:ascii="宋体" w:hAnsi="宋体"/>
          <w:color w:val="FF0000"/>
          <w:sz w:val="18"/>
          <w:szCs w:val="21"/>
        </w:rPr>
        <w:t>价应与</w:t>
      </w:r>
      <w:r>
        <w:rPr>
          <w:rFonts w:hint="eastAsia" w:ascii="宋体" w:hAnsi="宋体"/>
          <w:color w:val="FF0000"/>
          <w:sz w:val="18"/>
          <w:szCs w:val="21"/>
          <w:lang w:eastAsia="zh-CN"/>
        </w:rPr>
        <w:t>本</w:t>
      </w:r>
      <w:r>
        <w:rPr>
          <w:rFonts w:hint="eastAsia" w:ascii="宋体" w:hAnsi="宋体"/>
          <w:color w:val="FF0000"/>
          <w:sz w:val="18"/>
          <w:szCs w:val="21"/>
        </w:rPr>
        <w:t>表中的报价合计金额一致。</w:t>
      </w:r>
    </w:p>
    <w:tbl>
      <w:tblPr>
        <w:tblStyle w:val="17"/>
        <w:tblW w:w="90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14"/>
        <w:gridCol w:w="1961"/>
        <w:gridCol w:w="1797"/>
        <w:gridCol w:w="20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tcBorders>
              <w:top w:val="single" w:color="auto" w:sz="4" w:space="0"/>
              <w:left w:val="single" w:color="auto" w:sz="4" w:space="0"/>
            </w:tcBorders>
            <w:noWrap w:val="0"/>
            <w:vAlign w:val="center"/>
          </w:tcPr>
          <w:p>
            <w:pPr>
              <w:adjustRightInd w:val="0"/>
              <w:snapToGrid w:val="0"/>
              <w:spacing w:line="300" w:lineRule="auto"/>
              <w:jc w:val="center"/>
              <w:rPr>
                <w:b/>
                <w:snapToGrid w:val="0"/>
                <w:kern w:val="0"/>
              </w:rPr>
            </w:pPr>
            <w:r>
              <w:rPr>
                <w:b/>
                <w:snapToGrid w:val="0"/>
                <w:kern w:val="0"/>
              </w:rPr>
              <w:t>序号</w:t>
            </w:r>
          </w:p>
        </w:tc>
        <w:tc>
          <w:tcPr>
            <w:tcW w:w="2214"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内容</w:t>
            </w:r>
          </w:p>
        </w:tc>
        <w:tc>
          <w:tcPr>
            <w:tcW w:w="1961"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数量/单位</w:t>
            </w:r>
          </w:p>
        </w:tc>
        <w:tc>
          <w:tcPr>
            <w:tcW w:w="1797"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rPr>
              <w:t>投标单价（</w:t>
            </w:r>
            <w:r>
              <w:rPr>
                <w:b/>
                <w:snapToGrid w:val="0"/>
                <w:kern w:val="0"/>
              </w:rPr>
              <w:t>元）</w:t>
            </w:r>
          </w:p>
        </w:tc>
        <w:tc>
          <w:tcPr>
            <w:tcW w:w="2068"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lang w:eastAsia="zh-CN"/>
              </w:rPr>
              <w:t>合计</w:t>
            </w:r>
            <w:r>
              <w:rPr>
                <w:rFonts w:hint="eastAsia"/>
                <w:b/>
                <w:snapToGrid w:val="0"/>
                <w:kern w:val="0"/>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2214" w:type="dxa"/>
            <w:noWrap w:val="0"/>
            <w:vAlign w:val="center"/>
          </w:tcPr>
          <w:p>
            <w:pPr>
              <w:adjustRightInd w:val="0"/>
              <w:snapToGrid w:val="0"/>
              <w:spacing w:line="300" w:lineRule="auto"/>
              <w:rPr>
                <w:rFonts w:ascii="宋体" w:hAnsi="宋体"/>
                <w:snapToGrid w:val="0"/>
                <w:kern w:val="0"/>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49" w:type="dxa"/>
            <w:gridSpan w:val="4"/>
            <w:tcBorders>
              <w:left w:val="single" w:color="auto" w:sz="4" w:space="0"/>
              <w:bottom w:val="single" w:color="auto" w:sz="4" w:space="0"/>
              <w:right w:val="single" w:color="auto" w:sz="4" w:space="0"/>
            </w:tcBorders>
            <w:noWrap w:val="0"/>
            <w:vAlign w:val="center"/>
          </w:tcPr>
          <w:p>
            <w:pPr>
              <w:adjustRightInd w:val="0"/>
              <w:snapToGrid w:val="0"/>
              <w:spacing w:line="300" w:lineRule="auto"/>
              <w:jc w:val="right"/>
              <w:rPr>
                <w:snapToGrid w:val="0"/>
                <w:kern w:val="0"/>
              </w:rPr>
            </w:pPr>
            <w:r>
              <w:rPr>
                <w:rFonts w:hint="eastAsia" w:ascii="Times New Roman" w:hAnsi="Times New Roman" w:eastAsia="宋体" w:cs="Times New Roman"/>
                <w:b/>
                <w:snapToGrid w:val="0"/>
                <w:kern w:val="0"/>
                <w:lang w:eastAsia="zh-CN"/>
              </w:rPr>
              <w:t>投标总价（元）</w:t>
            </w:r>
          </w:p>
        </w:tc>
        <w:tc>
          <w:tcPr>
            <w:tcW w:w="2068" w:type="dxa"/>
            <w:tcBorders>
              <w:bottom w:val="single" w:color="auto" w:sz="4" w:space="0"/>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注：正本空白，超预算将导致投标无效</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A65FA9"/>
    <w:rsid w:val="00CA49BA"/>
    <w:rsid w:val="00E944DD"/>
    <w:rsid w:val="013A76F1"/>
    <w:rsid w:val="013D4F2C"/>
    <w:rsid w:val="01C60CDE"/>
    <w:rsid w:val="01D32FF0"/>
    <w:rsid w:val="02117D9A"/>
    <w:rsid w:val="02164FD8"/>
    <w:rsid w:val="02821A66"/>
    <w:rsid w:val="028E7767"/>
    <w:rsid w:val="02974AD8"/>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40C53E1"/>
    <w:rsid w:val="040E1F21"/>
    <w:rsid w:val="041A17A6"/>
    <w:rsid w:val="041F0D82"/>
    <w:rsid w:val="04585563"/>
    <w:rsid w:val="04D93EC4"/>
    <w:rsid w:val="04E33935"/>
    <w:rsid w:val="04FA2D68"/>
    <w:rsid w:val="050A25F3"/>
    <w:rsid w:val="05280585"/>
    <w:rsid w:val="053718C6"/>
    <w:rsid w:val="05555F84"/>
    <w:rsid w:val="05C616D9"/>
    <w:rsid w:val="05E837B9"/>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A44EB"/>
    <w:rsid w:val="07FC5CEC"/>
    <w:rsid w:val="08591E19"/>
    <w:rsid w:val="08A15749"/>
    <w:rsid w:val="08A90D2D"/>
    <w:rsid w:val="08AF5C17"/>
    <w:rsid w:val="08B43710"/>
    <w:rsid w:val="08EE02B1"/>
    <w:rsid w:val="092D5E80"/>
    <w:rsid w:val="095F0EEA"/>
    <w:rsid w:val="09734E97"/>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7C6D27"/>
    <w:rsid w:val="108405ED"/>
    <w:rsid w:val="109F0856"/>
    <w:rsid w:val="10CC18AE"/>
    <w:rsid w:val="10D426BF"/>
    <w:rsid w:val="10D921FA"/>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637D2A"/>
    <w:rsid w:val="13A322B8"/>
    <w:rsid w:val="13BF660B"/>
    <w:rsid w:val="13FD73E3"/>
    <w:rsid w:val="142512D2"/>
    <w:rsid w:val="14397409"/>
    <w:rsid w:val="146714A6"/>
    <w:rsid w:val="146B333A"/>
    <w:rsid w:val="14B940A6"/>
    <w:rsid w:val="14BE3902"/>
    <w:rsid w:val="14C17EB8"/>
    <w:rsid w:val="14C97421"/>
    <w:rsid w:val="1500547A"/>
    <w:rsid w:val="1594066F"/>
    <w:rsid w:val="15C7795F"/>
    <w:rsid w:val="16000E6B"/>
    <w:rsid w:val="16682A4D"/>
    <w:rsid w:val="16976668"/>
    <w:rsid w:val="16B06CB0"/>
    <w:rsid w:val="16CF6EA7"/>
    <w:rsid w:val="16E73BF2"/>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35643E"/>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1F7620D"/>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145328"/>
    <w:rsid w:val="251736C5"/>
    <w:rsid w:val="253851E3"/>
    <w:rsid w:val="259C7203"/>
    <w:rsid w:val="25AC5481"/>
    <w:rsid w:val="25B46C94"/>
    <w:rsid w:val="25C81DA1"/>
    <w:rsid w:val="25F56F08"/>
    <w:rsid w:val="2617586F"/>
    <w:rsid w:val="266B6F3B"/>
    <w:rsid w:val="268B238D"/>
    <w:rsid w:val="26EE527A"/>
    <w:rsid w:val="274B01F6"/>
    <w:rsid w:val="277D68FD"/>
    <w:rsid w:val="27885DC6"/>
    <w:rsid w:val="27A30115"/>
    <w:rsid w:val="27BC408E"/>
    <w:rsid w:val="27C64D58"/>
    <w:rsid w:val="27F12D18"/>
    <w:rsid w:val="28204849"/>
    <w:rsid w:val="284C0221"/>
    <w:rsid w:val="284C5E18"/>
    <w:rsid w:val="288D7984"/>
    <w:rsid w:val="288F1A2F"/>
    <w:rsid w:val="289B7E31"/>
    <w:rsid w:val="28DC755B"/>
    <w:rsid w:val="28F039B6"/>
    <w:rsid w:val="29120FA4"/>
    <w:rsid w:val="29507A50"/>
    <w:rsid w:val="29947189"/>
    <w:rsid w:val="299B6D85"/>
    <w:rsid w:val="2A026DFD"/>
    <w:rsid w:val="2A0709E6"/>
    <w:rsid w:val="2A1F2A50"/>
    <w:rsid w:val="2A353BA3"/>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640B9D"/>
    <w:rsid w:val="2E6464CE"/>
    <w:rsid w:val="2E704FCB"/>
    <w:rsid w:val="2EA319BC"/>
    <w:rsid w:val="2EBA783B"/>
    <w:rsid w:val="2ECD1FFB"/>
    <w:rsid w:val="2ED901B3"/>
    <w:rsid w:val="2EE66610"/>
    <w:rsid w:val="2EFA10EB"/>
    <w:rsid w:val="2F2D0F43"/>
    <w:rsid w:val="2F303667"/>
    <w:rsid w:val="2F3A598B"/>
    <w:rsid w:val="2F454665"/>
    <w:rsid w:val="2F603FAF"/>
    <w:rsid w:val="2F7470EF"/>
    <w:rsid w:val="2FA37312"/>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00D83"/>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130EE"/>
    <w:rsid w:val="37C75CF2"/>
    <w:rsid w:val="37DC3A83"/>
    <w:rsid w:val="37FA0E99"/>
    <w:rsid w:val="37FB484B"/>
    <w:rsid w:val="385E26EA"/>
    <w:rsid w:val="386D2B19"/>
    <w:rsid w:val="389425B0"/>
    <w:rsid w:val="38C4460D"/>
    <w:rsid w:val="38FB618B"/>
    <w:rsid w:val="38FF01CD"/>
    <w:rsid w:val="39037E95"/>
    <w:rsid w:val="391D25A6"/>
    <w:rsid w:val="394A70E4"/>
    <w:rsid w:val="39524DAA"/>
    <w:rsid w:val="399D395D"/>
    <w:rsid w:val="3A0A10BA"/>
    <w:rsid w:val="3A7C34E2"/>
    <w:rsid w:val="3A924E40"/>
    <w:rsid w:val="3AB12061"/>
    <w:rsid w:val="3AB91BD3"/>
    <w:rsid w:val="3ADD45FD"/>
    <w:rsid w:val="3AE4658F"/>
    <w:rsid w:val="3AE92C59"/>
    <w:rsid w:val="3B7F380D"/>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09D6950"/>
    <w:rsid w:val="410302D3"/>
    <w:rsid w:val="4131589B"/>
    <w:rsid w:val="414342A6"/>
    <w:rsid w:val="41632ABD"/>
    <w:rsid w:val="41A97753"/>
    <w:rsid w:val="420924A2"/>
    <w:rsid w:val="42383A3D"/>
    <w:rsid w:val="4249588D"/>
    <w:rsid w:val="425025C6"/>
    <w:rsid w:val="425A03C6"/>
    <w:rsid w:val="42702C3B"/>
    <w:rsid w:val="42BF3670"/>
    <w:rsid w:val="42F01979"/>
    <w:rsid w:val="43207448"/>
    <w:rsid w:val="434E7C47"/>
    <w:rsid w:val="43505326"/>
    <w:rsid w:val="435B0711"/>
    <w:rsid w:val="43787CDF"/>
    <w:rsid w:val="43855D94"/>
    <w:rsid w:val="43DA5510"/>
    <w:rsid w:val="44AF196C"/>
    <w:rsid w:val="44E0069B"/>
    <w:rsid w:val="450807A1"/>
    <w:rsid w:val="451C6AB5"/>
    <w:rsid w:val="451D6267"/>
    <w:rsid w:val="456E1BE2"/>
    <w:rsid w:val="457901D9"/>
    <w:rsid w:val="458207DC"/>
    <w:rsid w:val="45AB74DB"/>
    <w:rsid w:val="45D65FB6"/>
    <w:rsid w:val="45F20BEA"/>
    <w:rsid w:val="45F71745"/>
    <w:rsid w:val="466510E8"/>
    <w:rsid w:val="46776017"/>
    <w:rsid w:val="468974CC"/>
    <w:rsid w:val="4699434D"/>
    <w:rsid w:val="46C76B09"/>
    <w:rsid w:val="47305B9A"/>
    <w:rsid w:val="47414F82"/>
    <w:rsid w:val="474D28B1"/>
    <w:rsid w:val="476D2F54"/>
    <w:rsid w:val="479C2850"/>
    <w:rsid w:val="47AC3929"/>
    <w:rsid w:val="47CD472E"/>
    <w:rsid w:val="4835564C"/>
    <w:rsid w:val="485C5383"/>
    <w:rsid w:val="487B6D35"/>
    <w:rsid w:val="48B16866"/>
    <w:rsid w:val="48C63F93"/>
    <w:rsid w:val="48CE566A"/>
    <w:rsid w:val="48E102E4"/>
    <w:rsid w:val="48EF0A21"/>
    <w:rsid w:val="49042E3A"/>
    <w:rsid w:val="490C33F6"/>
    <w:rsid w:val="49184B37"/>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570DA5"/>
    <w:rsid w:val="4C625EDF"/>
    <w:rsid w:val="4C7575E9"/>
    <w:rsid w:val="4C7B21F3"/>
    <w:rsid w:val="4C8F3BC2"/>
    <w:rsid w:val="4D1A38E3"/>
    <w:rsid w:val="4D201B11"/>
    <w:rsid w:val="4D2515D1"/>
    <w:rsid w:val="4D600B2B"/>
    <w:rsid w:val="4E0C130F"/>
    <w:rsid w:val="4E347D1E"/>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AE27D1"/>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7343D1"/>
    <w:rsid w:val="53894668"/>
    <w:rsid w:val="53AD562E"/>
    <w:rsid w:val="53CC7BD9"/>
    <w:rsid w:val="54065236"/>
    <w:rsid w:val="541F4FCC"/>
    <w:rsid w:val="5426727B"/>
    <w:rsid w:val="54333B82"/>
    <w:rsid w:val="544C7904"/>
    <w:rsid w:val="54656305"/>
    <w:rsid w:val="546F784D"/>
    <w:rsid w:val="54A00356"/>
    <w:rsid w:val="54B304BF"/>
    <w:rsid w:val="54B52094"/>
    <w:rsid w:val="54CC04F3"/>
    <w:rsid w:val="55233ACF"/>
    <w:rsid w:val="553A3B63"/>
    <w:rsid w:val="554D2481"/>
    <w:rsid w:val="558639B9"/>
    <w:rsid w:val="55AB1FAE"/>
    <w:rsid w:val="55BB2AD2"/>
    <w:rsid w:val="55C40CA5"/>
    <w:rsid w:val="55D32512"/>
    <w:rsid w:val="561C357B"/>
    <w:rsid w:val="563E4A1A"/>
    <w:rsid w:val="56431196"/>
    <w:rsid w:val="565620F1"/>
    <w:rsid w:val="567E49CC"/>
    <w:rsid w:val="56BC1E51"/>
    <w:rsid w:val="56BD0E58"/>
    <w:rsid w:val="56EA1482"/>
    <w:rsid w:val="57016C0B"/>
    <w:rsid w:val="57B1170F"/>
    <w:rsid w:val="57C429A3"/>
    <w:rsid w:val="57CE2F91"/>
    <w:rsid w:val="57DD7B4B"/>
    <w:rsid w:val="57E36C12"/>
    <w:rsid w:val="581643E3"/>
    <w:rsid w:val="58507E4A"/>
    <w:rsid w:val="587720BA"/>
    <w:rsid w:val="58832CFD"/>
    <w:rsid w:val="58BB0201"/>
    <w:rsid w:val="58CB0554"/>
    <w:rsid w:val="58DD0FB2"/>
    <w:rsid w:val="58F61A44"/>
    <w:rsid w:val="59656994"/>
    <w:rsid w:val="59730E5F"/>
    <w:rsid w:val="597C07CB"/>
    <w:rsid w:val="59982BEC"/>
    <w:rsid w:val="59B312EF"/>
    <w:rsid w:val="59BC747E"/>
    <w:rsid w:val="59C45C79"/>
    <w:rsid w:val="59FD66E3"/>
    <w:rsid w:val="5A464050"/>
    <w:rsid w:val="5A9336B3"/>
    <w:rsid w:val="5B0A1BC6"/>
    <w:rsid w:val="5B2A18DB"/>
    <w:rsid w:val="5B8A0775"/>
    <w:rsid w:val="5B8E21EC"/>
    <w:rsid w:val="5BDB7A2A"/>
    <w:rsid w:val="5C026DC7"/>
    <w:rsid w:val="5C646491"/>
    <w:rsid w:val="5C653CAB"/>
    <w:rsid w:val="5C6C5216"/>
    <w:rsid w:val="5C7C3E2C"/>
    <w:rsid w:val="5C8B32B0"/>
    <w:rsid w:val="5C8C02D4"/>
    <w:rsid w:val="5C8C4481"/>
    <w:rsid w:val="5D0019E7"/>
    <w:rsid w:val="5D093E95"/>
    <w:rsid w:val="5D1F7DEB"/>
    <w:rsid w:val="5D236BEC"/>
    <w:rsid w:val="5D3450FE"/>
    <w:rsid w:val="5D3F704E"/>
    <w:rsid w:val="5D61053F"/>
    <w:rsid w:val="5DB50452"/>
    <w:rsid w:val="5DCC7650"/>
    <w:rsid w:val="5E121CB6"/>
    <w:rsid w:val="5E143F51"/>
    <w:rsid w:val="5E157B50"/>
    <w:rsid w:val="5E664053"/>
    <w:rsid w:val="5E6E7E4D"/>
    <w:rsid w:val="5EC40C4A"/>
    <w:rsid w:val="5EC82C53"/>
    <w:rsid w:val="5EC91878"/>
    <w:rsid w:val="5F3E24A9"/>
    <w:rsid w:val="5F5A6D0B"/>
    <w:rsid w:val="5F922CB7"/>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6717A6"/>
    <w:rsid w:val="6390293E"/>
    <w:rsid w:val="63C9605C"/>
    <w:rsid w:val="642A16EB"/>
    <w:rsid w:val="644A1BF1"/>
    <w:rsid w:val="644C06CF"/>
    <w:rsid w:val="646A754A"/>
    <w:rsid w:val="64956B64"/>
    <w:rsid w:val="64CD45D0"/>
    <w:rsid w:val="64E770B5"/>
    <w:rsid w:val="650F0261"/>
    <w:rsid w:val="655628A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704B2F"/>
    <w:rsid w:val="67846C51"/>
    <w:rsid w:val="67854306"/>
    <w:rsid w:val="67B66330"/>
    <w:rsid w:val="67B90D3E"/>
    <w:rsid w:val="67DA4D5A"/>
    <w:rsid w:val="683230C8"/>
    <w:rsid w:val="68A16FA5"/>
    <w:rsid w:val="68BD6852"/>
    <w:rsid w:val="695953E3"/>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1225E9"/>
    <w:rsid w:val="6B225676"/>
    <w:rsid w:val="6B7D28AC"/>
    <w:rsid w:val="6BEA0A39"/>
    <w:rsid w:val="6BFE5BD8"/>
    <w:rsid w:val="6C0B435C"/>
    <w:rsid w:val="6C2A578B"/>
    <w:rsid w:val="6C2F31AF"/>
    <w:rsid w:val="6C613CA7"/>
    <w:rsid w:val="6C9A56E0"/>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F679A"/>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9D3FBF"/>
    <w:rsid w:val="74D86DD0"/>
    <w:rsid w:val="74E17DA6"/>
    <w:rsid w:val="7513138F"/>
    <w:rsid w:val="75330480"/>
    <w:rsid w:val="75664763"/>
    <w:rsid w:val="75972DD8"/>
    <w:rsid w:val="75F61BD9"/>
    <w:rsid w:val="76364BE7"/>
    <w:rsid w:val="764E087C"/>
    <w:rsid w:val="76732BA8"/>
    <w:rsid w:val="772067E2"/>
    <w:rsid w:val="772A7E2D"/>
    <w:rsid w:val="773728D4"/>
    <w:rsid w:val="77613082"/>
    <w:rsid w:val="77657FC3"/>
    <w:rsid w:val="77766F14"/>
    <w:rsid w:val="7780374C"/>
    <w:rsid w:val="77A03442"/>
    <w:rsid w:val="77FD7FE2"/>
    <w:rsid w:val="781545DF"/>
    <w:rsid w:val="78394BD7"/>
    <w:rsid w:val="78521D5A"/>
    <w:rsid w:val="7857371C"/>
    <w:rsid w:val="787539C1"/>
    <w:rsid w:val="78AB1C70"/>
    <w:rsid w:val="78AE7D0B"/>
    <w:rsid w:val="78FE10DA"/>
    <w:rsid w:val="78FE4918"/>
    <w:rsid w:val="79242054"/>
    <w:rsid w:val="793B4324"/>
    <w:rsid w:val="793C7073"/>
    <w:rsid w:val="793D64A4"/>
    <w:rsid w:val="7961380D"/>
    <w:rsid w:val="79B0209F"/>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5A151E"/>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cs="宋体"/>
      <w:szCs w:val="21"/>
    </w:rPr>
  </w:style>
  <w:style w:type="paragraph" w:styleId="11">
    <w:name w:val="Body Text Indent 2"/>
    <w:basedOn w:val="1"/>
    <w:next w:val="1"/>
    <w:autoRedefine/>
    <w:qFormat/>
    <w:uiPriority w:val="0"/>
    <w:pPr>
      <w:widowControl/>
      <w:spacing w:line="360" w:lineRule="auto"/>
      <w:ind w:left="784"/>
      <w:jc w:val="left"/>
    </w:pPr>
    <w:rPr>
      <w:kern w:val="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szCs w:val="24"/>
    </w:rPr>
  </w:style>
  <w:style w:type="paragraph" w:styleId="15">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表格文字"/>
    <w:basedOn w:val="1"/>
    <w:autoRedefine/>
    <w:unhideWhenUsed/>
    <w:qFormat/>
    <w:uiPriority w:val="0"/>
    <w:pPr>
      <w:spacing w:before="25" w:after="25" w:line="300" w:lineRule="auto"/>
    </w:pPr>
    <w:rPr>
      <w:rFonts w:ascii="Times" w:hAnsi="Times"/>
      <w:spacing w:val="10"/>
      <w:sz w:val="24"/>
    </w:rPr>
  </w:style>
  <w:style w:type="paragraph" w:customStyle="1" w:styleId="2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autoRedefine/>
    <w:qFormat/>
    <w:uiPriority w:val="0"/>
    <w:rPr>
      <w:rFonts w:ascii="宋体" w:hAnsi="宋体" w:eastAsia="黑体"/>
      <w:b/>
      <w:bCs/>
      <w:kern w:val="44"/>
      <w:sz w:val="28"/>
      <w:szCs w:val="44"/>
      <w:lang w:val="en-US" w:eastAsia="zh-CN" w:bidi="ar-SA"/>
    </w:rPr>
  </w:style>
  <w:style w:type="paragraph" w:styleId="28">
    <w:name w:val="List Paragraph"/>
    <w:basedOn w:val="1"/>
    <w:autoRedefine/>
    <w:qFormat/>
    <w:uiPriority w:val="34"/>
    <w:pPr>
      <w:ind w:firstLine="420" w:firstLineChars="200"/>
    </w:pPr>
  </w:style>
  <w:style w:type="paragraph" w:customStyle="1" w:styleId="29">
    <w:name w:val="列出段落1"/>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autoRedefine/>
    <w:qFormat/>
    <w:uiPriority w:val="0"/>
    <w:rPr>
      <w:rFonts w:hint="eastAsia" w:ascii="宋体" w:hAnsi="宋体" w:eastAsia="宋体" w:cs="宋体"/>
      <w:color w:val="000000"/>
      <w:sz w:val="21"/>
      <w:szCs w:val="21"/>
      <w:u w:val="none"/>
    </w:rPr>
  </w:style>
  <w:style w:type="character" w:customStyle="1" w:styleId="35">
    <w:name w:val="NormalCharacter"/>
    <w:autoRedefine/>
    <w:qFormat/>
    <w:uiPriority w:val="0"/>
    <w:rPr>
      <w:rFonts w:eastAsia="宋体"/>
      <w:kern w:val="2"/>
      <w:sz w:val="21"/>
      <w:lang w:val="en-US" w:eastAsia="zh-CN"/>
    </w:rPr>
  </w:style>
  <w:style w:type="paragraph" w:customStyle="1" w:styleId="36">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11</TotalTime>
  <ScaleCrop>false</ScaleCrop>
  <LinksUpToDate>false</LinksUpToDate>
  <CharactersWithSpaces>20593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2024-02-04T01:43:15Z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07CF034EF59244A299FED38923E47993_13</vt:lpwstr>
  </property>
</Properties>
</file>