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立项流程</w:t>
      </w:r>
    </w:p>
    <w:p>
      <w:pPr>
        <w:widowControl/>
        <w:spacing w:line="360" w:lineRule="auto"/>
        <w:jc w:val="center"/>
        <w:rPr>
          <w:rFonts w:hint="default" w:ascii="Times New Roman" w:hAnsi="Times New Roman" w:eastAsia="宋体" w:cs="Times New Roman"/>
          <w:b/>
          <w:bCs/>
          <w:color w:val="0000FF"/>
          <w:kern w:val="0"/>
          <w:sz w:val="28"/>
          <w:szCs w:val="28"/>
        </w:rPr>
      </w:pPr>
      <w:r>
        <w:rPr>
          <w:rFonts w:hint="default" w:ascii="Times New Roman" w:hAnsi="Times New Roman" w:eastAsia="宋体" w:cs="Times New Roman"/>
          <w:b/>
          <w:bCs/>
          <w:color w:val="0000FF"/>
          <w:kern w:val="0"/>
          <w:sz w:val="28"/>
          <w:szCs w:val="28"/>
        </w:rPr>
        <w:t>本机构临床试验项目由临床试验机构办公室统一承接。</w:t>
      </w:r>
    </w:p>
    <w:p>
      <w:pPr>
        <w:widowControl/>
        <w:spacing w:line="400" w:lineRule="exact"/>
        <w:jc w:val="left"/>
        <w:rPr>
          <w:rFonts w:hint="default" w:ascii="Times New Roman" w:hAnsi="Times New Roman" w:eastAsia="宋体" w:cs="Times New Roman"/>
          <w:color w:val="000000"/>
          <w:kern w:val="0"/>
          <w:sz w:val="24"/>
        </w:rPr>
      </w:pPr>
      <w:bookmarkStart w:id="0" w:name="_GoBack"/>
      <w:bookmarkEnd w:id="0"/>
      <w:r>
        <w:rPr>
          <w:rFonts w:hint="default" w:ascii="Times New Roman" w:hAnsi="Times New Roman" w:eastAsia="宋体" w:cs="Times New Roman"/>
          <w:sz w:val="44"/>
        </w:rPr>
        <mc:AlternateContent>
          <mc:Choice Requires="wpg">
            <w:drawing>
              <wp:anchor distT="0" distB="0" distL="114300" distR="114300" simplePos="0" relativeHeight="251663360" behindDoc="0" locked="0" layoutInCell="1" allowOverlap="1">
                <wp:simplePos x="0" y="0"/>
                <wp:positionH relativeFrom="column">
                  <wp:posOffset>977265</wp:posOffset>
                </wp:positionH>
                <wp:positionV relativeFrom="paragraph">
                  <wp:posOffset>198755</wp:posOffset>
                </wp:positionV>
                <wp:extent cx="3451860" cy="7350125"/>
                <wp:effectExtent l="5080" t="4445" r="10160" b="17780"/>
                <wp:wrapNone/>
                <wp:docPr id="17" name="组合 17"/>
                <wp:cNvGraphicFramePr/>
                <a:graphic xmlns:a="http://schemas.openxmlformats.org/drawingml/2006/main">
                  <a:graphicData uri="http://schemas.microsoft.com/office/word/2010/wordprocessingGroup">
                    <wpg:wgp>
                      <wpg:cNvGrpSpPr/>
                      <wpg:grpSpPr>
                        <a:xfrm>
                          <a:off x="0" y="0"/>
                          <a:ext cx="3451860" cy="7350044"/>
                          <a:chOff x="9281" y="3581"/>
                          <a:chExt cx="5436" cy="11590"/>
                        </a:xfrm>
                      </wpg:grpSpPr>
                      <wps:wsp>
                        <wps:cNvPr id="15" name="文本框 15"/>
                        <wps:cNvSpPr txBox="1"/>
                        <wps:spPr>
                          <a:xfrm>
                            <a:off x="9304" y="3581"/>
                            <a:ext cx="5375" cy="1221"/>
                          </a:xfrm>
                          <a:prstGeom prst="rect">
                            <a:avLst/>
                          </a:prstGeom>
                          <a:solidFill>
                            <a:srgbClr val="FFFFFF"/>
                          </a:solidFill>
                          <a:ln w="6350">
                            <a:solidFill>
                              <a:prstClr val="black"/>
                            </a:solidFill>
                          </a:ln>
                        </wps:spPr>
                        <wps:txbx>
                          <w:txbxContent>
                            <w:p>
                              <w:pPr>
                                <w:rPr>
                                  <w:rFonts w:hint="eastAsia" w:ascii="宋体" w:hAnsi="宋体" w:eastAsia="宋体" w:cs="宋体"/>
                                </w:rPr>
                              </w:pPr>
                              <w:r>
                                <w:rPr>
                                  <w:rFonts w:hint="eastAsia" w:ascii="宋体" w:hAnsi="宋体" w:eastAsia="宋体" w:cs="宋体"/>
                                  <w:color w:val="000000"/>
                                  <w:kern w:val="0"/>
                                  <w:sz w:val="24"/>
                                </w:rPr>
                                <w:t>1.申办方填写《</w:t>
                              </w:r>
                              <w:r>
                                <w:rPr>
                                  <w:rFonts w:hint="eastAsia" w:ascii="宋体" w:hAnsi="宋体" w:eastAsia="宋体" w:cs="宋体"/>
                                  <w:color w:val="000000"/>
                                  <w:kern w:val="0"/>
                                  <w:sz w:val="24"/>
                                  <w:lang w:val="en-US" w:eastAsia="zh-CN"/>
                                </w:rPr>
                                <w:t>药物</w:t>
                              </w:r>
                              <w:r>
                                <w:rPr>
                                  <w:rFonts w:hint="eastAsia" w:ascii="宋体" w:hAnsi="宋体" w:eastAsia="宋体" w:cs="宋体"/>
                                  <w:color w:val="000000"/>
                                  <w:kern w:val="0"/>
                                  <w:sz w:val="24"/>
                                </w:rPr>
                                <w:t>医疗器械临床试验申请表》</w:t>
                              </w:r>
                              <w:r>
                                <w:rPr>
                                  <w:rFonts w:hint="eastAsia" w:ascii="宋体" w:hAnsi="宋体" w:eastAsia="宋体" w:cs="宋体"/>
                                  <w:color w:val="000000"/>
                                  <w:kern w:val="0"/>
                                  <w:sz w:val="24"/>
                                  <w:lang w:val="en-US" w:eastAsia="zh-CN"/>
                                </w:rPr>
                                <w:t>或</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医疗器械临床试验申请表》，提交试验申请（所有表格在“下载专区”查看）。</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 name="组合 16"/>
                        <wpg:cNvGrpSpPr/>
                        <wpg:grpSpPr>
                          <a:xfrm>
                            <a:off x="9281" y="5121"/>
                            <a:ext cx="5436" cy="10050"/>
                            <a:chOff x="9326" y="3786"/>
                            <a:chExt cx="5436" cy="10050"/>
                          </a:xfrm>
                        </wpg:grpSpPr>
                        <wps:wsp>
                          <wps:cNvPr id="11" name="文本框 11"/>
                          <wps:cNvSpPr txBox="1"/>
                          <wps:spPr>
                            <a:xfrm>
                              <a:off x="9349" y="4706"/>
                              <a:ext cx="5375" cy="1410"/>
                            </a:xfrm>
                            <a:prstGeom prst="rect">
                              <a:avLst/>
                            </a:prstGeom>
                            <a:solidFill>
                              <a:srgbClr val="FFFFFF"/>
                            </a:solidFill>
                            <a:ln w="6350">
                              <a:solidFill>
                                <a:prstClr val="black"/>
                              </a:solidFill>
                            </a:ln>
                          </wps:spPr>
                          <wps:txbx>
                            <w:txbxContent>
                              <w:p>
                                <w:pPr>
                                  <w:rPr>
                                    <w:rFonts w:hint="eastAsia" w:ascii="宋体" w:hAnsi="宋体" w:eastAsia="宋体" w:cs="宋体"/>
                                    <w:lang w:eastAsia="zh-CN"/>
                                  </w:rPr>
                                </w:pPr>
                                <w:r>
                                  <w:rPr>
                                    <w:rFonts w:hint="eastAsia" w:ascii="宋体" w:hAnsi="宋体" w:eastAsia="宋体" w:cs="宋体"/>
                                    <w:color w:val="000000"/>
                                    <w:kern w:val="0"/>
                                    <w:sz w:val="24"/>
                                  </w:rPr>
                                  <w:t>3.专业科室组建研究团队，召开研究者会议，方案讨论。</w:t>
                                </w:r>
                                <w:r>
                                  <w:rPr>
                                    <w:rFonts w:hint="eastAsia" w:ascii="宋体" w:hAnsi="宋体" w:eastAsia="宋体" w:cs="宋体"/>
                                    <w:color w:val="000000"/>
                                    <w:kern w:val="0"/>
                                    <w:sz w:val="24"/>
                                    <w:lang w:val="en-US" w:eastAsia="zh-CN"/>
                                  </w:rPr>
                                  <w:t>试验</w:t>
                                </w:r>
                                <w:r>
                                  <w:rPr>
                                    <w:rFonts w:hint="eastAsia" w:ascii="宋体" w:hAnsi="宋体" w:eastAsia="宋体" w:cs="宋体"/>
                                    <w:color w:val="000000"/>
                                    <w:kern w:val="0"/>
                                    <w:sz w:val="24"/>
                                  </w:rPr>
                                  <w:t>方案</w:t>
                                </w:r>
                                <w:r>
                                  <w:rPr>
                                    <w:rFonts w:hint="eastAsia" w:ascii="宋体" w:hAnsi="宋体" w:eastAsia="宋体" w:cs="宋体"/>
                                    <w:color w:val="000000"/>
                                    <w:kern w:val="0"/>
                                    <w:sz w:val="24"/>
                                    <w:lang w:val="en-US" w:eastAsia="zh-CN"/>
                                  </w:rPr>
                                  <w:t>经申办方及PI签字确认后</w:t>
                                </w:r>
                                <w:r>
                                  <w:rPr>
                                    <w:rFonts w:hint="eastAsia" w:ascii="宋体" w:hAnsi="宋体" w:eastAsia="宋体" w:cs="宋体"/>
                                    <w:color w:val="000000"/>
                                    <w:kern w:val="0"/>
                                    <w:sz w:val="24"/>
                                  </w:rPr>
                                  <w:t>，申办方/PI填写《印章使用申请表》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可</w:t>
                                </w:r>
                                <w:r>
                                  <w:rPr>
                                    <w:rFonts w:hint="eastAsia" w:ascii="宋体" w:hAnsi="宋体" w:eastAsia="宋体" w:cs="宋体"/>
                                    <w:color w:val="000000"/>
                                    <w:kern w:val="0"/>
                                    <w:sz w:val="24"/>
                                  </w:rPr>
                                  <w:t>随立项资料一起递交，申请为试验方案盖机构章。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9351" y="3786"/>
                              <a:ext cx="5375" cy="555"/>
                            </a:xfrm>
                            <a:prstGeom prst="rect">
                              <a:avLst/>
                            </a:prstGeom>
                            <a:solidFill>
                              <a:srgbClr val="FFFFFF"/>
                            </a:solidFill>
                            <a:ln w="6350">
                              <a:solidFill>
                                <a:prstClr val="black"/>
                              </a:solidFill>
                            </a:ln>
                          </wps:spPr>
                          <wps:txbx>
                            <w:txbxContent>
                              <w:p>
                                <w:pPr>
                                  <w:rPr>
                                    <w:rFonts w:hint="eastAsia" w:ascii="宋体" w:hAnsi="宋体" w:eastAsia="宋体" w:cs="宋体"/>
                                  </w:rPr>
                                </w:pPr>
                                <w:r>
                                  <w:rPr>
                                    <w:rFonts w:hint="eastAsia" w:ascii="宋体" w:hAnsi="宋体" w:eastAsia="宋体" w:cs="宋体"/>
                                    <w:color w:val="000000"/>
                                    <w:kern w:val="0"/>
                                    <w:sz w:val="24"/>
                                  </w:rPr>
                                  <w:t>2.机构办形式审查，与专业科室沟通意向。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9387" y="6594"/>
                              <a:ext cx="5375" cy="1099"/>
                            </a:xfrm>
                            <a:prstGeom prst="rect">
                              <a:avLst/>
                            </a:prstGeom>
                            <a:solidFill>
                              <a:srgbClr val="FFFFFF"/>
                            </a:solidFill>
                            <a:ln w="6350">
                              <a:solidFill>
                                <a:prstClr val="black"/>
                              </a:solidFill>
                            </a:ln>
                          </wps:spPr>
                          <wps:txbx>
                            <w:txbxContent>
                              <w:p>
                                <w:pPr>
                                  <w:rPr>
                                    <w:rFonts w:hint="eastAsia" w:ascii="宋体" w:hAnsi="宋体" w:eastAsia="宋体" w:cs="宋体"/>
                                  </w:rPr>
                                </w:pPr>
                                <w:r>
                                  <w:rPr>
                                    <w:rFonts w:hint="eastAsia" w:ascii="宋体" w:hAnsi="宋体" w:eastAsia="宋体" w:cs="宋体"/>
                                    <w:color w:val="000000"/>
                                    <w:kern w:val="0"/>
                                    <w:sz w:val="24"/>
                                  </w:rPr>
                                  <w:t>4</w:t>
                                </w:r>
                                <w:r>
                                  <w:rPr>
                                    <w:rFonts w:hint="default" w:ascii="Times New Roman" w:hAnsi="Times New Roman" w:eastAsia="宋体" w:cs="Times New Roman"/>
                                    <w:color w:val="000000"/>
                                    <w:kern w:val="0"/>
                                    <w:sz w:val="24"/>
                                  </w:rPr>
                                  <w:t>.PI与</w:t>
                                </w:r>
                                <w:r>
                                  <w:rPr>
                                    <w:rFonts w:hint="eastAsia" w:ascii="宋体" w:hAnsi="宋体" w:eastAsia="宋体" w:cs="宋体"/>
                                    <w:color w:val="000000"/>
                                    <w:kern w:val="0"/>
                                    <w:sz w:val="24"/>
                                  </w:rPr>
                                  <w:t>专业组负责人签署《</w:t>
                                </w:r>
                                <w:r>
                                  <w:rPr>
                                    <w:rFonts w:hint="eastAsia" w:ascii="宋体" w:hAnsi="宋体" w:eastAsia="宋体" w:cs="宋体"/>
                                    <w:color w:val="000000"/>
                                    <w:kern w:val="0"/>
                                    <w:sz w:val="24"/>
                                    <w:lang w:val="en-US" w:eastAsia="zh-CN"/>
                                  </w:rPr>
                                  <w:t>药物</w:t>
                                </w:r>
                                <w:r>
                                  <w:rPr>
                                    <w:rFonts w:hint="eastAsia" w:ascii="宋体" w:hAnsi="宋体" w:eastAsia="宋体" w:cs="宋体"/>
                                    <w:color w:val="000000"/>
                                    <w:kern w:val="0"/>
                                    <w:sz w:val="24"/>
                                  </w:rPr>
                                  <w:t>临床试验项目立项评估表》</w:t>
                                </w:r>
                                <w:r>
                                  <w:rPr>
                                    <w:rFonts w:hint="eastAsia" w:ascii="宋体" w:hAnsi="宋体" w:eastAsia="宋体" w:cs="宋体"/>
                                    <w:color w:val="000000"/>
                                    <w:kern w:val="0"/>
                                    <w:sz w:val="24"/>
                                    <w:lang w:val="en-US" w:eastAsia="zh-CN"/>
                                  </w:rPr>
                                  <w:t>或《医疗器械临床试验项目立项评估表》</w:t>
                                </w:r>
                                <w:r>
                                  <w:rPr>
                                    <w:rFonts w:hint="eastAsia" w:ascii="宋体" w:hAnsi="宋体" w:eastAsia="宋体" w:cs="宋体"/>
                                    <w:color w:val="000000"/>
                                    <w:kern w:val="0"/>
                                    <w:sz w:val="24"/>
                                  </w:rPr>
                                  <w:t>，递交申请材料</w:t>
                                </w:r>
                                <w:r>
                                  <w:rPr>
                                    <w:rFonts w:hint="eastAsia" w:ascii="宋体" w:hAnsi="宋体" w:eastAsia="宋体" w:cs="宋体"/>
                                    <w:color w:val="000000"/>
                                    <w:kern w:val="0"/>
                                    <w:sz w:val="24"/>
                                    <w:lang w:val="en-US" w:eastAsia="zh-CN"/>
                                  </w:rPr>
                                  <w:t>至</w:t>
                                </w:r>
                                <w:r>
                                  <w:rPr>
                                    <w:rFonts w:hint="eastAsia" w:ascii="宋体" w:hAnsi="宋体" w:eastAsia="宋体" w:cs="宋体"/>
                                    <w:color w:val="000000"/>
                                    <w:kern w:val="0"/>
                                    <w:sz w:val="24"/>
                                  </w:rPr>
                                  <w:t>机构</w:t>
                                </w:r>
                                <w:r>
                                  <w:rPr>
                                    <w:rFonts w:hint="eastAsia" w:ascii="宋体" w:hAnsi="宋体" w:eastAsia="宋体" w:cs="宋体"/>
                                    <w:color w:val="000000"/>
                                    <w:kern w:val="0"/>
                                    <w:sz w:val="24"/>
                                    <w:lang w:val="en-US" w:eastAsia="zh-CN"/>
                                  </w:rPr>
                                  <w:t>办</w:t>
                                </w:r>
                                <w:r>
                                  <w:rPr>
                                    <w:rFonts w:hint="eastAsia" w:ascii="宋体" w:hAnsi="宋体" w:eastAsia="宋体" w:cs="宋体"/>
                                    <w:color w:val="000000"/>
                                    <w:kern w:val="0"/>
                                    <w:sz w:val="24"/>
                                  </w:rPr>
                                  <w:t>进行立项审批。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9363" y="8122"/>
                              <a:ext cx="5390" cy="435"/>
                            </a:xfrm>
                            <a:prstGeom prst="rect">
                              <a:avLst/>
                            </a:prstGeom>
                            <a:solidFill>
                              <a:srgbClr val="FFFFFF"/>
                            </a:solidFill>
                            <a:ln w="6350">
                              <a:solidFill>
                                <a:prstClr val="black"/>
                              </a:solidFill>
                            </a:ln>
                          </wps:spPr>
                          <wps:txbx>
                            <w:txbxContent>
                              <w:p>
                                <w:pPr>
                                  <w:rPr>
                                    <w:rFonts w:hint="eastAsia" w:ascii="宋体" w:hAnsi="宋体" w:eastAsia="宋体" w:cs="宋体"/>
                                  </w:rPr>
                                </w:pPr>
                                <w:r>
                                  <w:rPr>
                                    <w:rFonts w:hint="eastAsia" w:ascii="宋体" w:hAnsi="宋体" w:eastAsia="宋体" w:cs="宋体"/>
                                    <w:color w:val="000000"/>
                                    <w:kern w:val="0"/>
                                    <w:sz w:val="24"/>
                                  </w:rPr>
                                  <w:t>5.项目提交伦理委员会审批。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9347" y="9022"/>
                              <a:ext cx="5375" cy="495"/>
                            </a:xfrm>
                            <a:prstGeom prst="rect">
                              <a:avLst/>
                            </a:prstGeom>
                            <a:solidFill>
                              <a:srgbClr val="FFFFFF"/>
                            </a:solidFill>
                            <a:ln w="6350">
                              <a:solidFill>
                                <a:prstClr val="black"/>
                              </a:solidFill>
                            </a:ln>
                          </wps:spPr>
                          <wps:txbx>
                            <w:txbxContent>
                              <w:p>
                                <w:pPr>
                                  <w:rPr>
                                    <w:rFonts w:hint="eastAsia" w:ascii="宋体" w:hAnsi="宋体" w:eastAsia="宋体" w:cs="宋体"/>
                                  </w:rPr>
                                </w:pPr>
                                <w:r>
                                  <w:rPr>
                                    <w:rFonts w:hint="eastAsia" w:ascii="宋体" w:hAnsi="宋体" w:eastAsia="宋体" w:cs="宋体"/>
                                    <w:color w:val="000000"/>
                                    <w:kern w:val="0"/>
                                    <w:sz w:val="24"/>
                                  </w:rPr>
                                  <w:t>6.机构主任、</w:t>
                                </w:r>
                                <w:r>
                                  <w:rPr>
                                    <w:rFonts w:hint="default" w:ascii="Times New Roman" w:hAnsi="Times New Roman" w:eastAsia="宋体" w:cs="Times New Roman"/>
                                    <w:color w:val="000000"/>
                                    <w:kern w:val="0"/>
                                    <w:sz w:val="24"/>
                                  </w:rPr>
                                  <w:t>PI及申办方/CRO</w:t>
                                </w:r>
                                <w:r>
                                  <w:rPr>
                                    <w:rFonts w:hint="eastAsia" w:ascii="宋体" w:hAnsi="宋体" w:eastAsia="宋体" w:cs="宋体"/>
                                    <w:color w:val="000000"/>
                                    <w:kern w:val="0"/>
                                    <w:sz w:val="24"/>
                                  </w:rPr>
                                  <w:t>签订合同。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文本框 1"/>
                          <wps:cNvSpPr txBox="1"/>
                          <wps:spPr>
                            <a:xfrm>
                              <a:off x="9326" y="12000"/>
                              <a:ext cx="5375" cy="1836"/>
                            </a:xfrm>
                            <a:prstGeom prst="rect">
                              <a:avLst/>
                            </a:prstGeom>
                            <a:solidFill>
                              <a:srgbClr val="FFFFFF"/>
                            </a:solidFill>
                            <a:ln w="6350">
                              <a:solidFill>
                                <a:prstClr val="black"/>
                              </a:solidFill>
                            </a:ln>
                          </wps:spPr>
                          <wps:txbx>
                            <w:txbxContent>
                              <w:p>
                                <w:pPr>
                                  <w:widowControl/>
                                  <w:spacing w:line="4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8.试验经费到账，召开临床试验启动会，研究人员培训，授权分工。由机构办公室、专业科室与申办方三方共同完成试验器械及物资的交接手续，试验即可正式开展。</w:t>
                                </w:r>
                              </w:p>
                              <w:p>
                                <w:pPr>
                                  <w:widowControl/>
                                  <w:spacing w:line="400" w:lineRule="exact"/>
                                  <w:jc w:val="left"/>
                                  <w:rPr>
                                    <w:rFonts w:hint="eastAsia" w:ascii="宋体" w:hAnsi="宋体" w:eastAsia="宋体" w:cs="宋体"/>
                                    <w:color w:val="000000"/>
                                    <w:kern w:val="0"/>
                                    <w:sz w:val="24"/>
                                  </w:rPr>
                                </w:pPr>
                              </w:p>
                              <w:p>
                                <w:pPr>
                                  <w:rPr>
                                    <w:rFonts w:hint="eastAsia" w:ascii="宋体" w:hAnsi="宋体" w:eastAsia="宋体"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a:cxnSpLocks noChangeShapeType="1"/>
                          </wps:cNvCnPr>
                          <wps:spPr bwMode="auto">
                            <a:xfrm>
                              <a:off x="12027" y="4338"/>
                              <a:ext cx="2" cy="297"/>
                            </a:xfrm>
                            <a:prstGeom prst="straightConnector1">
                              <a:avLst/>
                            </a:prstGeom>
                            <a:noFill/>
                            <a:ln w="12700">
                              <a:solidFill>
                                <a:srgbClr val="000000"/>
                              </a:solidFill>
                              <a:miter lim="800000"/>
                              <a:tailEnd type="arrow" w="med" len="med"/>
                            </a:ln>
                          </wps:spPr>
                          <wps:bodyPr/>
                        </wps:wsp>
                        <wps:wsp>
                          <wps:cNvPr id="9" name="直接箭头连接符 9"/>
                          <wps:cNvCnPr>
                            <a:cxnSpLocks noChangeShapeType="1"/>
                          </wps:cNvCnPr>
                          <wps:spPr bwMode="auto">
                            <a:xfrm>
                              <a:off x="12039" y="6241"/>
                              <a:ext cx="2" cy="317"/>
                            </a:xfrm>
                            <a:prstGeom prst="straightConnector1">
                              <a:avLst/>
                            </a:prstGeom>
                            <a:noFill/>
                            <a:ln w="12700">
                              <a:solidFill>
                                <a:srgbClr val="000000"/>
                              </a:solidFill>
                              <a:miter lim="800000"/>
                              <a:tailEnd type="arrow" w="med" len="med"/>
                            </a:ln>
                          </wps:spPr>
                          <wps:bodyPr/>
                        </wps:wsp>
                        <wps:wsp>
                          <wps:cNvPr id="4" name="直接箭头连接符 4"/>
                          <wps:cNvCnPr>
                            <a:cxnSpLocks noChangeShapeType="1"/>
                          </wps:cNvCnPr>
                          <wps:spPr bwMode="auto">
                            <a:xfrm>
                              <a:off x="12052" y="9510"/>
                              <a:ext cx="2" cy="320"/>
                            </a:xfrm>
                            <a:prstGeom prst="straightConnector1">
                              <a:avLst/>
                            </a:prstGeom>
                            <a:noFill/>
                            <a:ln w="12700">
                              <a:solidFill>
                                <a:srgbClr val="000000"/>
                              </a:solidFill>
                              <a:miter lim="800000"/>
                              <a:tailEnd type="arrow" w="med" len="med"/>
                            </a:ln>
                          </wps:spPr>
                          <wps:bodyPr/>
                        </wps:wsp>
                        <wps:wsp>
                          <wps:cNvPr id="2" name="直接箭头连接符 2"/>
                          <wps:cNvCnPr>
                            <a:cxnSpLocks noChangeShapeType="1"/>
                          </wps:cNvCnPr>
                          <wps:spPr bwMode="auto">
                            <a:xfrm>
                              <a:off x="12035" y="11638"/>
                              <a:ext cx="2" cy="316"/>
                            </a:xfrm>
                            <a:prstGeom prst="straightConnector1">
                              <a:avLst/>
                            </a:prstGeom>
                            <a:noFill/>
                            <a:ln w="12700">
                              <a:solidFill>
                                <a:srgbClr val="000000"/>
                              </a:solidFill>
                              <a:miter lim="800000"/>
                              <a:tailEnd type="arrow" w="med" len="med"/>
                            </a:ln>
                          </wps:spPr>
                          <wps:bodyPr/>
                        </wps:wsp>
                      </wpg:grpSp>
                    </wpg:wgp>
                  </a:graphicData>
                </a:graphic>
              </wp:anchor>
            </w:drawing>
          </mc:Choice>
          <mc:Fallback>
            <w:pict>
              <v:group id="_x0000_s1026" o:spid="_x0000_s1026" o:spt="203" style="position:absolute;left:0pt;margin-left:76.95pt;margin-top:15.65pt;height:578.75pt;width:271.8pt;z-index:251663360;mso-width-relative:page;mso-height-relative:page;" coordorigin="9281,3581" coordsize="5436,11590" o:gfxdata="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">
                <o:lock v:ext="edit" aspectratio="f"/>
                <v:shape id="_x0000_s1026" o:spid="_x0000_s1026" o:spt="202" type="#_x0000_t202" style="position:absolute;left:9304;top:3581;height:1221;width:5375;" fillcolor="#FFFFFF"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rFonts w:hint="eastAsia" w:ascii="宋体" w:hAnsi="宋体" w:eastAsia="宋体" w:cs="宋体"/>
                          </w:rPr>
                        </w:pPr>
                        <w:r>
                          <w:rPr>
                            <w:rFonts w:hint="eastAsia" w:ascii="宋体" w:hAnsi="宋体" w:eastAsia="宋体" w:cs="宋体"/>
                            <w:color w:val="000000"/>
                            <w:kern w:val="0"/>
                            <w:sz w:val="24"/>
                          </w:rPr>
                          <w:t>1.申办方填写《</w:t>
                        </w:r>
                        <w:r>
                          <w:rPr>
                            <w:rFonts w:hint="eastAsia" w:ascii="宋体" w:hAnsi="宋体" w:eastAsia="宋体" w:cs="宋体"/>
                            <w:color w:val="000000"/>
                            <w:kern w:val="0"/>
                            <w:sz w:val="24"/>
                            <w:lang w:val="en-US" w:eastAsia="zh-CN"/>
                          </w:rPr>
                          <w:t>药物</w:t>
                        </w:r>
                        <w:r>
                          <w:rPr>
                            <w:rFonts w:hint="eastAsia" w:ascii="宋体" w:hAnsi="宋体" w:eastAsia="宋体" w:cs="宋体"/>
                            <w:color w:val="000000"/>
                            <w:kern w:val="0"/>
                            <w:sz w:val="24"/>
                          </w:rPr>
                          <w:t>医疗器械临床试验申请表》</w:t>
                        </w:r>
                        <w:r>
                          <w:rPr>
                            <w:rFonts w:hint="eastAsia" w:ascii="宋体" w:hAnsi="宋体" w:eastAsia="宋体" w:cs="宋体"/>
                            <w:color w:val="000000"/>
                            <w:kern w:val="0"/>
                            <w:sz w:val="24"/>
                            <w:lang w:val="en-US" w:eastAsia="zh-CN"/>
                          </w:rPr>
                          <w:t>或</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医疗器械临床试验申请表》，提交试验申请（所有表格在“下载专区”查看）。</w:t>
                        </w:r>
                      </w:p>
                    </w:txbxContent>
                  </v:textbox>
                </v:shape>
                <v:group id="_x0000_s1026" o:spid="_x0000_s1026" o:spt="203" style="position:absolute;left:9281;top:5121;height:10050;width:5436;" coordorigin="9326,3786" coordsize="5436,1005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9349;top:4706;height:1410;width:5375;"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hint="eastAsia" w:ascii="宋体" w:hAnsi="宋体" w:eastAsia="宋体" w:cs="宋体"/>
                              <w:lang w:eastAsia="zh-CN"/>
                            </w:rPr>
                          </w:pPr>
                          <w:r>
                            <w:rPr>
                              <w:rFonts w:hint="eastAsia" w:ascii="宋体" w:hAnsi="宋体" w:eastAsia="宋体" w:cs="宋体"/>
                              <w:color w:val="000000"/>
                              <w:kern w:val="0"/>
                              <w:sz w:val="24"/>
                            </w:rPr>
                            <w:t>3.专业科室组建研究团队，召开研究者会议，方案讨论。</w:t>
                          </w:r>
                          <w:r>
                            <w:rPr>
                              <w:rFonts w:hint="eastAsia" w:ascii="宋体" w:hAnsi="宋体" w:eastAsia="宋体" w:cs="宋体"/>
                              <w:color w:val="000000"/>
                              <w:kern w:val="0"/>
                              <w:sz w:val="24"/>
                              <w:lang w:val="en-US" w:eastAsia="zh-CN"/>
                            </w:rPr>
                            <w:t>试验</w:t>
                          </w:r>
                          <w:r>
                            <w:rPr>
                              <w:rFonts w:hint="eastAsia" w:ascii="宋体" w:hAnsi="宋体" w:eastAsia="宋体" w:cs="宋体"/>
                              <w:color w:val="000000"/>
                              <w:kern w:val="0"/>
                              <w:sz w:val="24"/>
                            </w:rPr>
                            <w:t>方案</w:t>
                          </w:r>
                          <w:r>
                            <w:rPr>
                              <w:rFonts w:hint="eastAsia" w:ascii="宋体" w:hAnsi="宋体" w:eastAsia="宋体" w:cs="宋体"/>
                              <w:color w:val="000000"/>
                              <w:kern w:val="0"/>
                              <w:sz w:val="24"/>
                              <w:lang w:val="en-US" w:eastAsia="zh-CN"/>
                            </w:rPr>
                            <w:t>经申办方及PI签字确认后</w:t>
                          </w:r>
                          <w:r>
                            <w:rPr>
                              <w:rFonts w:hint="eastAsia" w:ascii="宋体" w:hAnsi="宋体" w:eastAsia="宋体" w:cs="宋体"/>
                              <w:color w:val="000000"/>
                              <w:kern w:val="0"/>
                              <w:sz w:val="24"/>
                            </w:rPr>
                            <w:t>，申办方/PI填写《印章使用申请表》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可</w:t>
                          </w:r>
                          <w:r>
                            <w:rPr>
                              <w:rFonts w:hint="eastAsia" w:ascii="宋体" w:hAnsi="宋体" w:eastAsia="宋体" w:cs="宋体"/>
                              <w:color w:val="000000"/>
                              <w:kern w:val="0"/>
                              <w:sz w:val="24"/>
                            </w:rPr>
                            <w:t>随立项资料一起递交，申请为试验方案盖机构章。</w:t>
                          </w:r>
                        </w:p>
                      </w:txbxContent>
                    </v:textbox>
                  </v:shape>
                  <v:shape id="_x0000_s1026" o:spid="_x0000_s1026" o:spt="202" type="#_x0000_t202" style="position:absolute;left:9351;top:3786;height:555;width:5375;" fillcolor="#FFFFFF"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hint="eastAsia" w:ascii="宋体" w:hAnsi="宋体" w:eastAsia="宋体" w:cs="宋体"/>
                            </w:rPr>
                          </w:pPr>
                          <w:r>
                            <w:rPr>
                              <w:rFonts w:hint="eastAsia" w:ascii="宋体" w:hAnsi="宋体" w:eastAsia="宋体" w:cs="宋体"/>
                              <w:color w:val="000000"/>
                              <w:kern w:val="0"/>
                              <w:sz w:val="24"/>
                            </w:rPr>
                            <w:t>2.机构办形式审查，与专业科室沟通意向。</w:t>
                          </w:r>
                        </w:p>
                      </w:txbxContent>
                    </v:textbox>
                  </v:shape>
                  <v:shape id="_x0000_s1026" o:spid="_x0000_s1026" o:spt="202" type="#_x0000_t202" style="position:absolute;left:9387;top:6594;height:1099;width:5375;"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rPr>
                              <w:rFonts w:hint="eastAsia" w:ascii="宋体" w:hAnsi="宋体" w:eastAsia="宋体" w:cs="宋体"/>
                            </w:rPr>
                          </w:pPr>
                          <w:r>
                            <w:rPr>
                              <w:rFonts w:hint="eastAsia" w:ascii="宋体" w:hAnsi="宋体" w:eastAsia="宋体" w:cs="宋体"/>
                              <w:color w:val="000000"/>
                              <w:kern w:val="0"/>
                              <w:sz w:val="24"/>
                            </w:rPr>
                            <w:t>4</w:t>
                          </w:r>
                          <w:r>
                            <w:rPr>
                              <w:rFonts w:hint="default" w:ascii="Times New Roman" w:hAnsi="Times New Roman" w:eastAsia="宋体" w:cs="Times New Roman"/>
                              <w:color w:val="000000"/>
                              <w:kern w:val="0"/>
                              <w:sz w:val="24"/>
                            </w:rPr>
                            <w:t>.PI与</w:t>
                          </w:r>
                          <w:r>
                            <w:rPr>
                              <w:rFonts w:hint="eastAsia" w:ascii="宋体" w:hAnsi="宋体" w:eastAsia="宋体" w:cs="宋体"/>
                              <w:color w:val="000000"/>
                              <w:kern w:val="0"/>
                              <w:sz w:val="24"/>
                            </w:rPr>
                            <w:t>专业组负责人签署《</w:t>
                          </w:r>
                          <w:r>
                            <w:rPr>
                              <w:rFonts w:hint="eastAsia" w:ascii="宋体" w:hAnsi="宋体" w:eastAsia="宋体" w:cs="宋体"/>
                              <w:color w:val="000000"/>
                              <w:kern w:val="0"/>
                              <w:sz w:val="24"/>
                              <w:lang w:val="en-US" w:eastAsia="zh-CN"/>
                            </w:rPr>
                            <w:t>药物</w:t>
                          </w:r>
                          <w:r>
                            <w:rPr>
                              <w:rFonts w:hint="eastAsia" w:ascii="宋体" w:hAnsi="宋体" w:eastAsia="宋体" w:cs="宋体"/>
                              <w:color w:val="000000"/>
                              <w:kern w:val="0"/>
                              <w:sz w:val="24"/>
                            </w:rPr>
                            <w:t>临床试验项目立项评估表》</w:t>
                          </w:r>
                          <w:r>
                            <w:rPr>
                              <w:rFonts w:hint="eastAsia" w:ascii="宋体" w:hAnsi="宋体" w:eastAsia="宋体" w:cs="宋体"/>
                              <w:color w:val="000000"/>
                              <w:kern w:val="0"/>
                              <w:sz w:val="24"/>
                              <w:lang w:val="en-US" w:eastAsia="zh-CN"/>
                            </w:rPr>
                            <w:t>或《医疗器械临床试验项目立项评估表》</w:t>
                          </w:r>
                          <w:r>
                            <w:rPr>
                              <w:rFonts w:hint="eastAsia" w:ascii="宋体" w:hAnsi="宋体" w:eastAsia="宋体" w:cs="宋体"/>
                              <w:color w:val="000000"/>
                              <w:kern w:val="0"/>
                              <w:sz w:val="24"/>
                            </w:rPr>
                            <w:t>，递交申请材料</w:t>
                          </w:r>
                          <w:r>
                            <w:rPr>
                              <w:rFonts w:hint="eastAsia" w:ascii="宋体" w:hAnsi="宋体" w:eastAsia="宋体" w:cs="宋体"/>
                              <w:color w:val="000000"/>
                              <w:kern w:val="0"/>
                              <w:sz w:val="24"/>
                              <w:lang w:val="en-US" w:eastAsia="zh-CN"/>
                            </w:rPr>
                            <w:t>至</w:t>
                          </w:r>
                          <w:r>
                            <w:rPr>
                              <w:rFonts w:hint="eastAsia" w:ascii="宋体" w:hAnsi="宋体" w:eastAsia="宋体" w:cs="宋体"/>
                              <w:color w:val="000000"/>
                              <w:kern w:val="0"/>
                              <w:sz w:val="24"/>
                            </w:rPr>
                            <w:t>机构</w:t>
                          </w:r>
                          <w:r>
                            <w:rPr>
                              <w:rFonts w:hint="eastAsia" w:ascii="宋体" w:hAnsi="宋体" w:eastAsia="宋体" w:cs="宋体"/>
                              <w:color w:val="000000"/>
                              <w:kern w:val="0"/>
                              <w:sz w:val="24"/>
                              <w:lang w:val="en-US" w:eastAsia="zh-CN"/>
                            </w:rPr>
                            <w:t>办</w:t>
                          </w:r>
                          <w:r>
                            <w:rPr>
                              <w:rFonts w:hint="eastAsia" w:ascii="宋体" w:hAnsi="宋体" w:eastAsia="宋体" w:cs="宋体"/>
                              <w:color w:val="000000"/>
                              <w:kern w:val="0"/>
                              <w:sz w:val="24"/>
                            </w:rPr>
                            <w:t>进行立项审批。</w:t>
                          </w:r>
                        </w:p>
                      </w:txbxContent>
                    </v:textbox>
                  </v:shape>
                  <v:shape id="_x0000_s1026" o:spid="_x0000_s1026" o:spt="202" type="#_x0000_t202" style="position:absolute;left:9363;top:8122;height:435;width:5390;"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hint="eastAsia" w:ascii="宋体" w:hAnsi="宋体" w:eastAsia="宋体" w:cs="宋体"/>
                            </w:rPr>
                          </w:pPr>
                          <w:r>
                            <w:rPr>
                              <w:rFonts w:hint="eastAsia" w:ascii="宋体" w:hAnsi="宋体" w:eastAsia="宋体" w:cs="宋体"/>
                              <w:color w:val="000000"/>
                              <w:kern w:val="0"/>
                              <w:sz w:val="24"/>
                            </w:rPr>
                            <w:t>5.项目提交伦理委员会审批。</w:t>
                          </w:r>
                        </w:p>
                      </w:txbxContent>
                    </v:textbox>
                  </v:shape>
                  <v:shape id="_x0000_s1026" o:spid="_x0000_s1026" o:spt="202" type="#_x0000_t202" style="position:absolute;left:9347;top:9022;height:495;width:5375;"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hint="eastAsia" w:ascii="宋体" w:hAnsi="宋体" w:eastAsia="宋体" w:cs="宋体"/>
                            </w:rPr>
                          </w:pPr>
                          <w:r>
                            <w:rPr>
                              <w:rFonts w:hint="eastAsia" w:ascii="宋体" w:hAnsi="宋体" w:eastAsia="宋体" w:cs="宋体"/>
                              <w:color w:val="000000"/>
                              <w:kern w:val="0"/>
                              <w:sz w:val="24"/>
                            </w:rPr>
                            <w:t>6.机构主任、</w:t>
                          </w:r>
                          <w:r>
                            <w:rPr>
                              <w:rFonts w:hint="default" w:ascii="Times New Roman" w:hAnsi="Times New Roman" w:eastAsia="宋体" w:cs="Times New Roman"/>
                              <w:color w:val="000000"/>
                              <w:kern w:val="0"/>
                              <w:sz w:val="24"/>
                            </w:rPr>
                            <w:t>PI及申办方/CRO</w:t>
                          </w:r>
                          <w:r>
                            <w:rPr>
                              <w:rFonts w:hint="eastAsia" w:ascii="宋体" w:hAnsi="宋体" w:eastAsia="宋体" w:cs="宋体"/>
                              <w:color w:val="000000"/>
                              <w:kern w:val="0"/>
                              <w:sz w:val="24"/>
                            </w:rPr>
                            <w:t>签订合同。</w:t>
                          </w:r>
                        </w:p>
                      </w:txbxContent>
                    </v:textbox>
                  </v:shape>
                  <v:shape id="_x0000_s1026" o:spid="_x0000_s1026" o:spt="202" type="#_x0000_t202" style="position:absolute;left:9326;top:12000;height:1836;width:5375;"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widowControl/>
                            <w:spacing w:line="4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8.试验经费到账，召开临床试验启动会，研究人员培训，授权分工。由机构办公室、专业科室与申办方三方共同完成试验器械及物资的交接手续，试验即可正式开展。</w:t>
                          </w:r>
                        </w:p>
                        <w:p>
                          <w:pPr>
                            <w:widowControl/>
                            <w:spacing w:line="400" w:lineRule="exact"/>
                            <w:jc w:val="left"/>
                            <w:rPr>
                              <w:rFonts w:hint="eastAsia" w:ascii="宋体" w:hAnsi="宋体" w:eastAsia="宋体" w:cs="宋体"/>
                              <w:color w:val="000000"/>
                              <w:kern w:val="0"/>
                              <w:sz w:val="24"/>
                            </w:rPr>
                          </w:pPr>
                        </w:p>
                        <w:p>
                          <w:pPr>
                            <w:rPr>
                              <w:rFonts w:hint="eastAsia" w:ascii="宋体" w:hAnsi="宋体" w:eastAsia="宋体" w:cs="宋体"/>
                            </w:rPr>
                          </w:pPr>
                        </w:p>
                      </w:txbxContent>
                    </v:textbox>
                  </v:shape>
                  <v:shape id="_x0000_s1026" o:spid="_x0000_s1026" o:spt="32" type="#_x0000_t32" style="position:absolute;left:12027;top:4338;height:297;width:2;"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32" type="#_x0000_t32" style="position:absolute;left:12039;top:6241;height:317;width:2;" filled="f" stroked="t" coordsize="21600,21600" o:gfxdata="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HDAbsAAADa&#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12052;top:9510;height:320;width:2;" filled="f" stroked="t" coordsize="21600,21600" o:gfxdata="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Bsn7sAAADa&#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12035;top:11638;height:316;width:2;" filled="f" stroked="t" coordsize="21600,21600" o:gfxdata="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lUXC5AAAA2g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group>
              </v:group>
            </w:pict>
          </mc:Fallback>
        </mc:AlternateContent>
      </w: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mc:AlternateContent>
          <mc:Choice Requires="wps">
            <w:drawing>
              <wp:anchor distT="0" distB="0" distL="114300" distR="114300" simplePos="0" relativeHeight="251660288" behindDoc="0" locked="0" layoutInCell="1" allowOverlap="1">
                <wp:simplePos x="0" y="0"/>
                <wp:positionH relativeFrom="column">
                  <wp:posOffset>2670810</wp:posOffset>
                </wp:positionH>
                <wp:positionV relativeFrom="paragraph">
                  <wp:posOffset>200025</wp:posOffset>
                </wp:positionV>
                <wp:extent cx="1270" cy="203200"/>
                <wp:effectExtent l="77470" t="7620" r="73660" b="1778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1270" cy="203200"/>
                        </a:xfrm>
                        <a:prstGeom prst="straightConnector1">
                          <a:avLst/>
                        </a:prstGeom>
                        <a:noFill/>
                        <a:ln w="12700">
                          <a:solidFill>
                            <a:srgbClr val="000000"/>
                          </a:solidFill>
                          <a:miter lim="800000"/>
                          <a:tailEnd type="arrow" w="med" len="med"/>
                        </a:ln>
                      </wps:spPr>
                      <wps:bodyPr/>
                    </wps:wsp>
                  </a:graphicData>
                </a:graphic>
              </wp:anchor>
            </w:drawing>
          </mc:Choice>
          <mc:Fallback>
            <w:pict>
              <v:shape id="_x0000_s1026" o:spid="_x0000_s1026" o:spt="32" type="#_x0000_t32" style="position:absolute;left:0pt;margin-left:210.3pt;margin-top:15.75pt;height:16pt;width:0.1pt;z-index:251660288;mso-width-relative:page;mso-height-relative:page;" filled="f" stroked="t" coordsize="21600,21600" o:gfxdata="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UtH1NYAAAAJAQAADwAAAAAAAAAB&#10;ACAAAAAiAAAAZHJzL2Rvd25yZXYueG1sUEsBAhQAFAAAAAgAh07iQBEkoKESAgAA+wMAAA4AAAAA&#10;AAAAAQAgAAAAJQEAAGRycy9lMm9Eb2MueG1sUEsFBgAAAAAGAAYAWQEAAKkFAAAAAA==&#10;">
                <v:fill on="f" focussize="0,0"/>
                <v:stroke weight="1pt" color="#000000" miterlimit="8" joinstyle="miter" endarrow="open"/>
                <v:imagedata o:title=""/>
                <o:lock v:ext="edit" aspectratio="f"/>
              </v:shape>
            </w:pict>
          </mc:Fallback>
        </mc:AlternateContent>
      </w: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mc:AlternateContent>
          <mc:Choice Requires="wps">
            <w:drawing>
              <wp:anchor distT="0" distB="0" distL="114300" distR="114300" simplePos="0" relativeHeight="251661312" behindDoc="0" locked="0" layoutInCell="1" allowOverlap="1">
                <wp:simplePos x="0" y="0"/>
                <wp:positionH relativeFrom="column">
                  <wp:posOffset>2730500</wp:posOffset>
                </wp:positionH>
                <wp:positionV relativeFrom="paragraph">
                  <wp:posOffset>147320</wp:posOffset>
                </wp:positionV>
                <wp:extent cx="1270" cy="203200"/>
                <wp:effectExtent l="95250" t="0" r="74930" b="6350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270" cy="203200"/>
                        </a:xfrm>
                        <a:prstGeom prst="straightConnector1">
                          <a:avLst/>
                        </a:prstGeom>
                        <a:noFill/>
                        <a:ln w="12700">
                          <a:solidFill>
                            <a:srgbClr val="000000"/>
                          </a:solidFill>
                          <a:miter lim="800000"/>
                          <a:tailEnd type="arrow" w="med" len="med"/>
                        </a:ln>
                      </wps:spPr>
                      <wps:bodyPr/>
                    </wps:wsp>
                  </a:graphicData>
                </a:graphic>
              </wp:anchor>
            </w:drawing>
          </mc:Choice>
          <mc:Fallback>
            <w:pict>
              <v:shape id="_x0000_s1026" o:spid="_x0000_s1026" o:spt="32" type="#_x0000_t32" style="position:absolute;left:0pt;margin-left:215pt;margin-top:11.6pt;height:16pt;width:0.1pt;z-index:251661312;mso-width-relative:page;mso-height-relative:page;" filled="f" stroked="t" coordsize="21600,21600" o:gfxdata="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aSZXWAAAACQEAAA8AAAAAAAAAAQAg&#10;AAAAIgAAAGRycy9kb3ducmV2LnhtbFBLAQIUABQAAAAIAIdO4kBnF6plEAIAAPkDAAAOAAAAAAAA&#10;AAEAIAAAACUBAABkcnMvZTJvRG9jLnhtbFBLBQYAAAAABgAGAFkBAACnBQAAAAA=&#10;">
                <v:fill on="f" focussize="0,0"/>
                <v:stroke weight="1pt" color="#000000" miterlimit="8" joinstyle="miter" endarrow="open"/>
                <v:imagedata o:title=""/>
                <o:lock v:ext="edit" aspectratio="f"/>
              </v:shape>
            </w:pict>
          </mc:Fallback>
        </mc:AlternateContent>
      </w: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b/>
          <w:bCs/>
          <w:color w:val="000000"/>
          <w:kern w:val="0"/>
          <w:sz w:val="24"/>
        </w:rPr>
      </w:pPr>
      <w:r>
        <w:rPr>
          <w:rFonts w:hint="default" w:ascii="Times New Roman" w:hAnsi="Times New Roman" w:eastAsia="宋体" w:cs="Times New Roman"/>
          <w:sz w:val="24"/>
        </w:rPr>
        <mc:AlternateContent>
          <mc:Choice Requires="wps">
            <w:drawing>
              <wp:anchor distT="0" distB="0" distL="114300" distR="114300" simplePos="0" relativeHeight="251662336" behindDoc="0" locked="0" layoutInCell="1" allowOverlap="1">
                <wp:simplePos x="0" y="0"/>
                <wp:positionH relativeFrom="column">
                  <wp:posOffset>2730500</wp:posOffset>
                </wp:positionH>
                <wp:positionV relativeFrom="paragraph">
                  <wp:posOffset>188595</wp:posOffset>
                </wp:positionV>
                <wp:extent cx="1270" cy="203200"/>
                <wp:effectExtent l="95250" t="0" r="74930" b="6350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70" cy="203200"/>
                        </a:xfrm>
                        <a:prstGeom prst="straightConnector1">
                          <a:avLst/>
                        </a:prstGeom>
                        <a:noFill/>
                        <a:ln w="12700">
                          <a:solidFill>
                            <a:srgbClr val="000000"/>
                          </a:solidFill>
                          <a:miter lim="800000"/>
                          <a:tailEnd type="arrow" w="med" len="med"/>
                        </a:ln>
                      </wps:spPr>
                      <wps:bodyPr/>
                    </wps:wsp>
                  </a:graphicData>
                </a:graphic>
              </wp:anchor>
            </w:drawing>
          </mc:Choice>
          <mc:Fallback>
            <w:pict>
              <v:shape id="_x0000_s1026" o:spid="_x0000_s1026" o:spt="32" type="#_x0000_t32" style="position:absolute;left:0pt;margin-left:215pt;margin-top:14.85pt;height:16pt;width:0.1pt;z-index:251662336;mso-width-relative:page;mso-height-relative:page;" filled="f" stroked="t" coordsize="21600,21600" o:gfxdata="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9yc11gAAAAkBAAAPAAAAAAAAAAEA&#10;IAAAACIAAABkcnMvZG93bnJldi54bWxQSwECFAAUAAAACACHTuJA3aka/RECAAD5AwAADgAAAAAA&#10;AAABACAAAAAlAQAAZHJzL2Uyb0RvYy54bWxQSwUGAAAAAAYABgBZAQAAqAUAAAAA&#10;">
                <v:fill on="f" focussize="0,0"/>
                <v:stroke weight="1pt" color="#000000" miterlimit="8" joinstyle="miter" endarrow="open"/>
                <v:imagedata o:title=""/>
                <o:lock v:ext="edit" aspectratio="f"/>
              </v:shape>
            </w:pict>
          </mc:Fallback>
        </mc:AlternateContent>
      </w: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r>
        <w:rPr>
          <w:rFonts w:hint="default"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984250</wp:posOffset>
                </wp:positionH>
                <wp:positionV relativeFrom="paragraph">
                  <wp:posOffset>181610</wp:posOffset>
                </wp:positionV>
                <wp:extent cx="3413125" cy="1133475"/>
                <wp:effectExtent l="4445" t="4445" r="11430" b="5080"/>
                <wp:wrapNone/>
                <wp:docPr id="3" name="文本框 3"/>
                <wp:cNvGraphicFramePr/>
                <a:graphic xmlns:a="http://schemas.openxmlformats.org/drawingml/2006/main">
                  <a:graphicData uri="http://schemas.microsoft.com/office/word/2010/wordprocessingShape">
                    <wps:wsp>
                      <wps:cNvSpPr txBox="1"/>
                      <wps:spPr>
                        <a:xfrm>
                          <a:off x="0" y="0"/>
                          <a:ext cx="3413125" cy="1133475"/>
                        </a:xfrm>
                        <a:prstGeom prst="rect">
                          <a:avLst/>
                        </a:prstGeom>
                        <a:solidFill>
                          <a:srgbClr val="FFFFFF"/>
                        </a:solidFill>
                        <a:ln w="6350">
                          <a:solidFill>
                            <a:prstClr val="black"/>
                          </a:solidFill>
                        </a:ln>
                      </wps:spPr>
                      <wps:txbx>
                        <w:txbxContent>
                          <w:p>
                            <w:pPr>
                              <w:widowControl/>
                              <w:spacing w:line="4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7.申办方向所在地省、自治区、直辖市药品监督管理部门备案</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完成</w:t>
                            </w:r>
                            <w:r>
                              <w:rPr>
                                <w:rFonts w:hint="eastAsia" w:ascii="宋体" w:hAnsi="宋体" w:eastAsia="宋体" w:cs="宋体"/>
                                <w:color w:val="000000"/>
                                <w:kern w:val="0"/>
                                <w:sz w:val="24"/>
                              </w:rPr>
                              <w:t>人类遗传资源审批/备案</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如涉及</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人遗申报相关表格表格在“下载专区”查看）</w:t>
                            </w:r>
                          </w:p>
                          <w:p>
                            <w:pPr>
                              <w:rPr>
                                <w:rFonts w:hint="eastAsia" w:ascii="宋体" w:hAnsi="宋体" w:eastAsia="宋体"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pt;margin-top:14.3pt;height:89.25pt;width:268.75pt;z-index:251659264;mso-width-relative:page;mso-height-relative:page;" fillcolor="#FFFFFF" filled="t" stroked="t" coordsize="21600,21600" o:gfxdata="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mSo/1wAA&#10;AAoBAAAPAAAAAAAAAAEAIAAAACIAAABkcnMvZG93bnJldi54bWxQSwECFAAUAAAACACHTuJAu66J&#10;VVgCAAC4BAAADgAAAAAAAAABACAAAAAmAQAAZHJzL2Uyb0RvYy54bWxQSwUGAAAAAAYABgBZAQAA&#10;8AUAAAAA&#10;">
                <v:fill on="t" focussize="0,0"/>
                <v:stroke weight="0.5pt" color="#000000" joinstyle="round"/>
                <v:imagedata o:title=""/>
                <o:lock v:ext="edit" aspectratio="f"/>
                <v:textbox>
                  <w:txbxContent>
                    <w:p>
                      <w:pPr>
                        <w:widowControl/>
                        <w:spacing w:line="4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7.申办方向所在地省、自治区、直辖市药品监督管理部门备案</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完成</w:t>
                      </w:r>
                      <w:r>
                        <w:rPr>
                          <w:rFonts w:hint="eastAsia" w:ascii="宋体" w:hAnsi="宋体" w:eastAsia="宋体" w:cs="宋体"/>
                          <w:color w:val="000000"/>
                          <w:kern w:val="0"/>
                          <w:sz w:val="24"/>
                        </w:rPr>
                        <w:t>人类遗传资源审批/备案</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如涉及</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人遗申报相关表格表格在“下载专区”查看）</w:t>
                      </w:r>
                    </w:p>
                    <w:p>
                      <w:pPr>
                        <w:rPr>
                          <w:rFonts w:hint="eastAsia" w:ascii="宋体" w:hAnsi="宋体" w:eastAsia="宋体" w:cs="宋体"/>
                        </w:rPr>
                      </w:pPr>
                    </w:p>
                  </w:txbxContent>
                </v:textbox>
              </v:shape>
            </w:pict>
          </mc:Fallback>
        </mc:AlternateContent>
      </w: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b/>
          <w:bCs/>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color w:val="000000"/>
          <w:kern w:val="0"/>
          <w:sz w:val="24"/>
        </w:rPr>
      </w:pPr>
    </w:p>
    <w:p>
      <w:pPr>
        <w:widowControl/>
        <w:spacing w:line="400" w:lineRule="exact"/>
        <w:jc w:val="left"/>
        <w:rPr>
          <w:rFonts w:hint="default" w:ascii="Times New Roman" w:hAnsi="Times New Roman" w:eastAsia="宋体" w:cs="Times New Roman"/>
          <w:sz w:val="28"/>
          <w:szCs w:val="28"/>
        </w:rPr>
      </w:pPr>
    </w:p>
    <w:p>
      <w:pPr>
        <w:widowControl/>
        <w:spacing w:line="40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详细流程：</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申办方填写《</w:t>
      </w:r>
      <w:r>
        <w:rPr>
          <w:rFonts w:hint="default" w:ascii="Times New Roman" w:hAnsi="Times New Roman" w:eastAsia="宋体" w:cs="Times New Roman"/>
          <w:color w:val="000000"/>
          <w:kern w:val="0"/>
          <w:sz w:val="28"/>
          <w:szCs w:val="28"/>
          <w:lang w:val="en-US" w:eastAsia="zh-CN"/>
        </w:rPr>
        <w:t>药物</w:t>
      </w:r>
      <w:r>
        <w:rPr>
          <w:rFonts w:hint="default" w:ascii="Times New Roman" w:hAnsi="Times New Roman" w:eastAsia="宋体" w:cs="Times New Roman"/>
          <w:color w:val="000000"/>
          <w:kern w:val="0"/>
          <w:sz w:val="28"/>
          <w:szCs w:val="28"/>
        </w:rPr>
        <w:t>医疗器械临床试验申请表》</w:t>
      </w:r>
      <w:r>
        <w:rPr>
          <w:rFonts w:hint="default" w:ascii="Times New Roman" w:hAnsi="Times New Roman" w:eastAsia="宋体" w:cs="Times New Roman"/>
          <w:color w:val="000000"/>
          <w:kern w:val="0"/>
          <w:sz w:val="28"/>
          <w:szCs w:val="28"/>
          <w:lang w:val="en-US" w:eastAsia="zh-CN"/>
        </w:rPr>
        <w:t>或</w:t>
      </w:r>
      <w:r>
        <w:rPr>
          <w:rFonts w:hint="default" w:ascii="Times New Roman" w:hAnsi="Times New Roman" w:eastAsia="宋体" w:cs="Times New Roman"/>
          <w:color w:val="000000"/>
          <w:kern w:val="0"/>
          <w:sz w:val="28"/>
          <w:szCs w:val="28"/>
        </w:rPr>
        <w:t>《医疗器械临床试验申请表》，提交试验申请（表格在“下载专区”查看）。</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初步审查通过后，机构办公室根据受试产品的类别和技术要求与申办方共同商定负责该研究的专业科室和主要研究者（以下简称PI），商定面谈时间，由申办方与PI沟通试验具体内容，专业科室及PI根据科室的实际情况决定是否参与。</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组建研究团队，召开研究者会议，方案讨论。</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lang w:val="en-US" w:eastAsia="zh-CN"/>
        </w:rPr>
        <w:t>方案确定后，申办方/PI填写《印章使用申请表》，可随立项资料一起递交，申请为试验方案盖机构章。</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PI负责将《</w:t>
      </w:r>
      <w:r>
        <w:rPr>
          <w:rFonts w:hint="default" w:ascii="Times New Roman" w:hAnsi="Times New Roman" w:eastAsia="宋体" w:cs="Times New Roman"/>
          <w:color w:val="000000"/>
          <w:kern w:val="0"/>
          <w:sz w:val="28"/>
          <w:szCs w:val="28"/>
          <w:lang w:val="en-US" w:eastAsia="zh-CN"/>
        </w:rPr>
        <w:t>药物</w:t>
      </w:r>
      <w:r>
        <w:rPr>
          <w:rFonts w:hint="default" w:ascii="Times New Roman" w:hAnsi="Times New Roman" w:eastAsia="宋体" w:cs="Times New Roman"/>
          <w:color w:val="000000"/>
          <w:kern w:val="0"/>
          <w:sz w:val="28"/>
          <w:szCs w:val="28"/>
        </w:rPr>
        <w:t>临床试验项目立项评估表》</w:t>
      </w:r>
      <w:r>
        <w:rPr>
          <w:rFonts w:hint="default" w:ascii="Times New Roman" w:hAnsi="Times New Roman" w:eastAsia="宋体" w:cs="Times New Roman"/>
          <w:color w:val="000000"/>
          <w:kern w:val="0"/>
          <w:sz w:val="28"/>
          <w:szCs w:val="28"/>
          <w:lang w:val="en-US" w:eastAsia="zh-CN"/>
        </w:rPr>
        <w:t>或</w:t>
      </w:r>
      <w:r>
        <w:rPr>
          <w:rFonts w:hint="default" w:ascii="Times New Roman" w:hAnsi="Times New Roman" w:eastAsia="宋体" w:cs="Times New Roman"/>
          <w:color w:val="000000"/>
          <w:kern w:val="0"/>
          <w:sz w:val="28"/>
          <w:szCs w:val="28"/>
        </w:rPr>
        <w:t>《医疗器械临床试验项目立项评估表》与评估表所附《临床试验报送资料列表》要求的相应文件交专业</w:t>
      </w:r>
      <w:r>
        <w:rPr>
          <w:rFonts w:hint="default" w:ascii="Times New Roman" w:hAnsi="Times New Roman" w:eastAsia="宋体" w:cs="Times New Roman"/>
          <w:color w:val="000000"/>
          <w:kern w:val="0"/>
          <w:sz w:val="28"/>
          <w:szCs w:val="28"/>
          <w:lang w:val="en-US" w:eastAsia="zh-CN"/>
        </w:rPr>
        <w:t>组</w:t>
      </w:r>
      <w:r>
        <w:rPr>
          <w:rFonts w:hint="default" w:ascii="Times New Roman" w:hAnsi="Times New Roman" w:eastAsia="宋体" w:cs="Times New Roman"/>
          <w:color w:val="000000"/>
          <w:kern w:val="0"/>
          <w:sz w:val="28"/>
          <w:szCs w:val="28"/>
        </w:rPr>
        <w:t>负责人审核，审核完毕后递交机构办公室，机构进行立项审核,审核要点：科学性、合规性和可行性。</w:t>
      </w:r>
    </w:p>
    <w:p>
      <w:pPr>
        <w:widowControl/>
        <w:numPr>
          <w:ilvl w:val="0"/>
          <w:numId w:val="1"/>
        </w:numPr>
        <w:spacing w:line="360" w:lineRule="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机构立项，项目提交伦理委员会审查。</w:t>
      </w:r>
    </w:p>
    <w:p>
      <w:pPr>
        <w:widowControl/>
        <w:numPr>
          <w:ilvl w:val="0"/>
          <w:numId w:val="1"/>
        </w:num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rPr>
        <w:t>伦理审查通过，申办方与医院签订临床试验合同/协议。</w:t>
      </w:r>
    </w:p>
    <w:p>
      <w:pPr>
        <w:widowControl/>
        <w:numPr>
          <w:ilvl w:val="0"/>
          <w:numId w:val="1"/>
        </w:num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rPr>
        <w:t>申办方向所在地省、自治区、直辖市药品监督管理部门备案</w:t>
      </w:r>
      <w:r>
        <w:rPr>
          <w:rFonts w:hint="default" w:ascii="Times New Roman" w:hAnsi="Times New Roman" w:eastAsia="宋体" w:cs="Times New Roman"/>
          <w:color w:val="000000"/>
          <w:kern w:val="0"/>
          <w:sz w:val="28"/>
          <w:szCs w:val="28"/>
          <w:lang w:eastAsia="zh-CN"/>
        </w:rPr>
        <w:t>，</w:t>
      </w:r>
      <w:r>
        <w:rPr>
          <w:rFonts w:hint="default" w:ascii="Times New Roman" w:hAnsi="Times New Roman" w:eastAsia="宋体" w:cs="Times New Roman"/>
          <w:color w:val="000000"/>
          <w:kern w:val="0"/>
          <w:sz w:val="28"/>
          <w:szCs w:val="28"/>
        </w:rPr>
        <w:t>涉及人类遗传资源采集、保藏、利用、对外提供的应按照法律法规完成相应的人类遗传资源审批/备案。</w:t>
      </w:r>
    </w:p>
    <w:p>
      <w:pPr>
        <w:widowControl/>
        <w:numPr>
          <w:ilvl w:val="0"/>
          <w:numId w:val="1"/>
        </w:num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rPr>
        <w:t>试验经费到账，召开临床试验启动会，进行研究人员培训与授权分工。试验药物由申办方与机构GCP药房交接，试验医疗器械由机构办公室、专业科室与申办方三方共同交接，完成试验物资的交接手续，试验即可正式开展。</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BCB33"/>
    <w:multiLevelType w:val="singleLevel"/>
    <w:tmpl w:val="406BCB33"/>
    <w:lvl w:ilvl="0" w:tentative="0">
      <w:start w:val="1"/>
      <w:numFmt w:val="decimal"/>
      <w:suff w:val="nothing"/>
      <w:lvlText w:val="%1．"/>
      <w:lvlJc w:val="left"/>
      <w:pPr>
        <w:ind w:left="0" w:firstLine="400"/>
      </w:pPr>
      <w:rPr>
        <w:rFonts w:hint="default" w:ascii="Times New Roman" w:hAnsi="Times New Roman"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YjgyZmI3OWM1MzY4MmE0N2IxMTJiMmEzYzE2N2IifQ=="/>
  </w:docVars>
  <w:rsids>
    <w:rsidRoot w:val="00FF4507"/>
    <w:rsid w:val="00022987"/>
    <w:rsid w:val="000F319E"/>
    <w:rsid w:val="00130411"/>
    <w:rsid w:val="00272FD3"/>
    <w:rsid w:val="002C3A8E"/>
    <w:rsid w:val="0074679D"/>
    <w:rsid w:val="007F4548"/>
    <w:rsid w:val="00A87530"/>
    <w:rsid w:val="00DB0AE1"/>
    <w:rsid w:val="00FB45AF"/>
    <w:rsid w:val="00FC32C7"/>
    <w:rsid w:val="00FF4507"/>
    <w:rsid w:val="0BA033AB"/>
    <w:rsid w:val="18F947FB"/>
    <w:rsid w:val="3BEB603B"/>
    <w:rsid w:val="41296DC7"/>
    <w:rsid w:val="458E6970"/>
    <w:rsid w:val="4C9B5D10"/>
    <w:rsid w:val="611C2281"/>
    <w:rsid w:val="6494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468</Characters>
  <Lines>3</Lines>
  <Paragraphs>1</Paragraphs>
  <TotalTime>10</TotalTime>
  <ScaleCrop>false</ScaleCrop>
  <LinksUpToDate>false</LinksUpToDate>
  <CharactersWithSpaces>548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2022-01-11T02:53:00Z</dcterms:created>
  <dc:creator>Ding Liang</dc:creator>
  <cp:lastModifiedBy>LYJ</cp:lastModifiedBy>
  <dcterms:modified xsi:type="dcterms:W3CDTF">2024-01-22T07:57:59Z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B01984645A6A431D8EE5436EC97D0D42_13</vt:lpwstr>
  </property>
</Properties>
</file>