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2024年第</w:t>
      </w:r>
      <w:r>
        <w:rPr>
          <w:rFonts w:hint="eastAsia" w:ascii="宋体" w:hAnsi="宋体" w:cs="Times New Roman"/>
          <w:b/>
          <w:bCs/>
          <w:color w:val="auto"/>
          <w:sz w:val="30"/>
          <w:szCs w:val="30"/>
          <w:highlight w:val="none"/>
          <w:lang w:val="en-US" w:eastAsia="zh-CN"/>
        </w:rPr>
        <w:t>10</w:t>
      </w:r>
      <w:r>
        <w:rPr>
          <w:rFonts w:hint="eastAsia" w:ascii="宋体" w:hAnsi="宋体" w:eastAsia="宋体" w:cs="Times New Roman"/>
          <w:b/>
          <w:bCs/>
          <w:color w:val="auto"/>
          <w:sz w:val="30"/>
          <w:szCs w:val="30"/>
          <w:highlight w:val="none"/>
          <w:lang w:val="en-US" w:eastAsia="zh-CN"/>
        </w:rPr>
        <w:t>期</w:t>
      </w:r>
      <w:r>
        <w:rPr>
          <w:rFonts w:hint="eastAsia" w:ascii="宋体" w:hAnsi="宋体" w:cs="Times New Roman"/>
          <w:b/>
          <w:bCs/>
          <w:color w:val="auto"/>
          <w:sz w:val="30"/>
          <w:szCs w:val="30"/>
          <w:highlight w:val="none"/>
          <w:lang w:val="en-US" w:eastAsia="zh-CN"/>
        </w:rPr>
        <w:t>“互联网+护理”信息系统及可视化平台</w:t>
      </w:r>
      <w:r>
        <w:rPr>
          <w:rFonts w:hint="eastAsia" w:ascii="宋体" w:hAnsi="宋体" w:eastAsia="宋体" w:cs="Times New Roman"/>
          <w:b/>
          <w:bCs/>
          <w:color w:val="auto"/>
          <w:sz w:val="30"/>
          <w:szCs w:val="30"/>
          <w:highlight w:val="none"/>
          <w:lang w:val="en-US" w:eastAsia="zh-CN"/>
        </w:rPr>
        <w:t>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SZSZXYJHYY202401010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 “互联网+护理”信息系统及可视化平台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320000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5</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918  黎</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24</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1月25日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.深圳市中西医结合医院评标小组推荐的预中标单位经审批后在深圳市中西医结合医院官网公示3日,无异议则中标单位领取中标通知书，凭中标通知书10天内到归口职能部门签订合同。</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45</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widowControl/>
              <w:spacing w:line="360" w:lineRule="exact"/>
              <w:jc w:val="center"/>
              <w:rPr>
                <w:rFonts w:hint="eastAsia" w:ascii="宋体" w:hAnsi="宋体" w:eastAsia="宋体" w:cs="宋体"/>
                <w:color w:val="FF0000"/>
                <w:sz w:val="21"/>
                <w:szCs w:val="21"/>
                <w:lang w:val="en-US" w:eastAsia="zh-CN"/>
              </w:rPr>
            </w:pPr>
            <w:r>
              <w:rPr>
                <w:rFonts w:hint="eastAsia" w:ascii="宋体" w:hAnsi="宋体"/>
                <w:color w:val="FF0000"/>
                <w:kern w:val="0"/>
                <w:sz w:val="21"/>
                <w:szCs w:val="21"/>
                <w:lang w:eastAsia="zh-CN"/>
              </w:rPr>
              <w:t>服务要求</w:t>
            </w:r>
            <w:r>
              <w:rPr>
                <w:rFonts w:hint="eastAsia" w:ascii="宋体" w:hAnsi="宋体"/>
                <w:color w:val="FF0000"/>
                <w:kern w:val="0"/>
                <w:sz w:val="21"/>
                <w:szCs w:val="21"/>
              </w:rPr>
              <w:t>偏离情况</w:t>
            </w:r>
          </w:p>
        </w:tc>
        <w:tc>
          <w:tcPr>
            <w:tcW w:w="501" w:type="dxa"/>
            <w:noWrap w:val="0"/>
            <w:vAlign w:val="center"/>
          </w:tcPr>
          <w:p>
            <w:pPr>
              <w:widowControl/>
              <w:spacing w:line="360" w:lineRule="exact"/>
              <w:jc w:val="center"/>
              <w:rPr>
                <w:rFonts w:hint="default" w:ascii="宋体" w:hAnsi="宋体" w:eastAsia="宋体" w:cs="宋体"/>
                <w:b w:val="0"/>
                <w:bCs w:val="0"/>
                <w:color w:val="FF0000"/>
                <w:sz w:val="21"/>
                <w:szCs w:val="21"/>
                <w:highlight w:val="none"/>
                <w:u w:val="none"/>
                <w:shd w:val="clear" w:color="auto" w:fill="auto"/>
                <w:lang w:val="en-US" w:eastAsia="zh-CN"/>
              </w:rPr>
            </w:pPr>
            <w:r>
              <w:rPr>
                <w:rFonts w:hint="eastAsia" w:ascii="宋体" w:hAnsi="宋体"/>
                <w:color w:val="FF0000"/>
                <w:kern w:val="0"/>
                <w:sz w:val="21"/>
                <w:szCs w:val="21"/>
                <w:highlight w:val="none"/>
                <w:u w:val="none"/>
                <w:lang w:val="en-US" w:eastAsia="zh-CN"/>
              </w:rPr>
              <w:t>27</w:t>
            </w:r>
          </w:p>
        </w:tc>
        <w:tc>
          <w:tcPr>
            <w:tcW w:w="6077" w:type="dxa"/>
            <w:noWrap w:val="0"/>
            <w:vAlign w:val="center"/>
          </w:tcPr>
          <w:p>
            <w:pPr>
              <w:pStyle w:val="28"/>
              <w:numPr>
                <w:ilvl w:val="0"/>
                <w:numId w:val="3"/>
              </w:numPr>
              <w:ind w:firstLineChars="0"/>
              <w:rPr>
                <w:b/>
                <w:bCs/>
                <w:color w:val="FF0000"/>
              </w:rPr>
            </w:pPr>
            <w:r>
              <w:rPr>
                <w:rFonts w:hint="eastAsia"/>
                <w:b/>
                <w:bCs/>
                <w:color w:val="FF0000"/>
              </w:rPr>
              <w:t>评分内容：</w:t>
            </w:r>
          </w:p>
          <w:p>
            <w:pPr>
              <w:rPr>
                <w:color w:val="FF0000"/>
              </w:rPr>
            </w:pPr>
            <w:r>
              <w:rPr>
                <w:rFonts w:hint="eastAsia"/>
                <w:color w:val="FF0000"/>
              </w:rPr>
              <w:t>投标人应如实填写《服务要求偏离表》，各项技术参数指标及要求全部满足或优于的得</w:t>
            </w:r>
            <w:r>
              <w:rPr>
                <w:rFonts w:hint="eastAsia"/>
                <w:color w:val="FF0000"/>
                <w:lang w:val="en-US" w:eastAsia="zh-CN"/>
              </w:rPr>
              <w:t>27</w:t>
            </w:r>
            <w:r>
              <w:rPr>
                <w:rFonts w:hint="eastAsia"/>
                <w:color w:val="FF0000"/>
              </w:rPr>
              <w:t xml:space="preserve">分；带“▲”为重要技术参数每负偏离一项扣 </w:t>
            </w:r>
            <w:r>
              <w:rPr>
                <w:rFonts w:hint="eastAsia"/>
                <w:color w:val="FF0000"/>
                <w:lang w:val="en-US" w:eastAsia="zh-CN"/>
              </w:rPr>
              <w:t>1</w:t>
            </w:r>
            <w:r>
              <w:rPr>
                <w:rFonts w:hint="eastAsia"/>
                <w:color w:val="FF0000"/>
              </w:rPr>
              <w:t xml:space="preserve"> 分；其他技术参数每负偏离一项扣 </w:t>
            </w:r>
            <w:r>
              <w:rPr>
                <w:rFonts w:hint="eastAsia"/>
                <w:color w:val="FF0000"/>
                <w:lang w:val="en-US" w:eastAsia="zh-CN"/>
              </w:rPr>
              <w:t>0.5</w:t>
            </w:r>
            <w:r>
              <w:rPr>
                <w:rFonts w:hint="eastAsia"/>
                <w:color w:val="FF0000"/>
              </w:rPr>
              <w:t>分；未响应参数视为负偏离；扣完为止。接受正偏离但不加分</w:t>
            </w:r>
          </w:p>
          <w:p>
            <w:pPr>
              <w:rPr>
                <w:b/>
                <w:bCs/>
                <w:color w:val="FF0000"/>
              </w:rPr>
            </w:pPr>
            <w:r>
              <w:rPr>
                <w:rFonts w:hint="eastAsia"/>
                <w:b/>
                <w:bCs/>
                <w:color w:val="FF0000"/>
              </w:rPr>
              <w:t>（二）评分依据：</w:t>
            </w:r>
          </w:p>
          <w:p>
            <w:pPr>
              <w:pStyle w:val="29"/>
              <w:spacing w:line="360" w:lineRule="exact"/>
              <w:ind w:firstLine="0" w:firstLineChars="0"/>
              <w:rPr>
                <w:rFonts w:hint="eastAsia" w:ascii="宋体" w:hAnsi="宋体" w:eastAsia="宋体" w:cs="宋体"/>
                <w:color w:val="FF0000"/>
                <w:kern w:val="2"/>
                <w:sz w:val="21"/>
                <w:szCs w:val="21"/>
                <w:lang w:val="en-US" w:eastAsia="zh-CN" w:bidi="ar-SA"/>
              </w:rPr>
            </w:pPr>
            <w:r>
              <w:rPr>
                <w:rFonts w:hint="eastAsia"/>
                <w:color w:val="FF0000"/>
              </w:rPr>
              <w:t>评分依据：以投标文件《服务要求偏离表》为评分依据，按招标文件要求提供相应的证明材料复印件或扫描件加盖投标人公章（原件备查），并注明证明材料在投标文件中的具体位置，否则视为负偏离。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jc w:val="center"/>
              <w:rPr>
                <w:rFonts w:hint="eastAsia" w:ascii="宋体" w:hAnsi="宋体" w:eastAsia="宋体" w:cs="宋体"/>
                <w:color w:val="FF0000"/>
                <w:sz w:val="21"/>
                <w:szCs w:val="21"/>
              </w:rPr>
            </w:pPr>
            <w:r>
              <w:rPr>
                <w:rFonts w:hint="eastAsia"/>
                <w:color w:val="FF0000"/>
              </w:rPr>
              <w:t>项目实施方案及保障措施</w:t>
            </w:r>
          </w:p>
        </w:tc>
        <w:tc>
          <w:tcPr>
            <w:tcW w:w="501" w:type="dxa"/>
            <w:noWrap w:val="0"/>
            <w:vAlign w:val="center"/>
          </w:tcPr>
          <w:p>
            <w:pPr>
              <w:widowControl/>
              <w:spacing w:before="100" w:beforeAutospacing="1" w:after="100" w:afterAutospacing="1" w:line="280" w:lineRule="exact"/>
              <w:jc w:val="center"/>
              <w:rPr>
                <w:rFonts w:hint="eastAsia" w:ascii="宋体" w:hAnsi="宋体" w:eastAsia="宋体" w:cs="宋体"/>
                <w:color w:val="FF0000"/>
                <w:sz w:val="21"/>
                <w:szCs w:val="21"/>
                <w:u w:val="none"/>
                <w:lang w:val="en-US" w:eastAsia="zh-CN"/>
              </w:rPr>
            </w:pPr>
            <w:r>
              <w:rPr>
                <w:rFonts w:hint="eastAsia"/>
                <w:color w:val="FF0000"/>
                <w:lang w:val="en-US" w:eastAsia="zh-CN"/>
              </w:rPr>
              <w:t>6</w:t>
            </w:r>
          </w:p>
        </w:tc>
        <w:tc>
          <w:tcPr>
            <w:tcW w:w="6077" w:type="dxa"/>
            <w:noWrap w:val="0"/>
            <w:vAlign w:val="center"/>
          </w:tcPr>
          <w:p>
            <w:pPr>
              <w:pStyle w:val="28"/>
              <w:widowControl/>
              <w:numPr>
                <w:ilvl w:val="0"/>
                <w:numId w:val="4"/>
              </w:numPr>
              <w:ind w:firstLineChars="0"/>
              <w:rPr>
                <w:rFonts w:ascii="宋体" w:hAnsi="宋体" w:cs="宋体"/>
                <w:b/>
                <w:color w:val="FF0000"/>
                <w:szCs w:val="21"/>
              </w:rPr>
            </w:pPr>
            <w:r>
              <w:rPr>
                <w:rFonts w:hint="eastAsia" w:ascii="宋体" w:hAnsi="宋体" w:cs="宋体"/>
                <w:b/>
                <w:color w:val="FF0000"/>
                <w:szCs w:val="21"/>
              </w:rPr>
              <w:t>评分内容：</w:t>
            </w:r>
          </w:p>
          <w:p>
            <w:pPr>
              <w:widowControl/>
              <w:rPr>
                <w:rFonts w:ascii="宋体" w:hAnsi="宋体" w:cs="宋体"/>
                <w:bCs/>
                <w:color w:val="FF0000"/>
                <w:szCs w:val="21"/>
              </w:rPr>
            </w:pPr>
            <w:r>
              <w:rPr>
                <w:rFonts w:ascii="宋体" w:hAnsi="宋体" w:cs="宋体"/>
                <w:bCs/>
                <w:color w:val="FF0000"/>
                <w:szCs w:val="21"/>
              </w:rPr>
              <w:t>投标人提供项目实施方案</w:t>
            </w:r>
            <w:r>
              <w:rPr>
                <w:rFonts w:hint="eastAsia" w:ascii="宋体" w:hAnsi="宋体" w:cs="宋体"/>
                <w:bCs/>
                <w:color w:val="FF0000"/>
                <w:szCs w:val="21"/>
              </w:rPr>
              <w:t>，</w:t>
            </w:r>
            <w:r>
              <w:rPr>
                <w:rFonts w:ascii="宋体" w:hAnsi="宋体" w:cs="宋体"/>
                <w:bCs/>
                <w:color w:val="FF0000"/>
                <w:szCs w:val="21"/>
              </w:rPr>
              <w:t>包括但不限于</w:t>
            </w:r>
          </w:p>
          <w:p>
            <w:pPr>
              <w:widowControl/>
              <w:rPr>
                <w:rFonts w:ascii="宋体" w:hAnsi="宋体"/>
                <w:color w:val="FF0000"/>
              </w:rPr>
            </w:pPr>
            <w:r>
              <w:rPr>
                <w:rFonts w:hint="eastAsia" w:ascii="宋体" w:hAnsi="宋体"/>
                <w:color w:val="FF0000"/>
              </w:rPr>
              <w:t>工作措施、工作方法、工作手段、工作流程等。</w:t>
            </w:r>
          </w:p>
          <w:p>
            <w:pPr>
              <w:widowControl/>
              <w:rPr>
                <w:rFonts w:ascii="宋体" w:hAnsi="宋体" w:cs="宋体"/>
                <w:bCs/>
                <w:color w:val="FF0000"/>
                <w:szCs w:val="21"/>
              </w:rPr>
            </w:pPr>
            <w:r>
              <w:rPr>
                <w:rFonts w:hint="eastAsia" w:ascii="宋体" w:hAnsi="宋体"/>
                <w:b/>
                <w:bCs/>
                <w:color w:val="FF0000"/>
              </w:rPr>
              <w:t>（二）评分依据：</w:t>
            </w:r>
          </w:p>
          <w:p>
            <w:pPr>
              <w:widowControl/>
              <w:rPr>
                <w:rFonts w:ascii="宋体" w:hAnsi="宋体" w:cs="宋体"/>
                <w:bCs/>
                <w:color w:val="FF0000"/>
                <w:szCs w:val="21"/>
              </w:rPr>
            </w:pPr>
            <w:r>
              <w:rPr>
                <w:rFonts w:hint="eastAsia" w:ascii="宋体" w:hAnsi="宋体" w:cs="宋体"/>
                <w:bCs/>
                <w:color w:val="FF0000"/>
                <w:szCs w:val="21"/>
              </w:rPr>
              <w:t>1、上述4项实施方案内容，投标人全部满足得</w:t>
            </w:r>
            <w:r>
              <w:rPr>
                <w:rFonts w:hint="eastAsia" w:ascii="宋体" w:hAnsi="宋体" w:cs="宋体"/>
                <w:bCs/>
                <w:color w:val="FF0000"/>
                <w:szCs w:val="21"/>
                <w:lang w:val="en-US" w:eastAsia="zh-CN"/>
              </w:rPr>
              <w:t>3</w:t>
            </w:r>
            <w:r>
              <w:rPr>
                <w:rFonts w:hint="eastAsia" w:ascii="宋体" w:hAnsi="宋体" w:cs="宋体"/>
                <w:bCs/>
                <w:color w:val="FF0000"/>
                <w:szCs w:val="21"/>
              </w:rPr>
              <w:t>分，满足其中任意3项的得</w:t>
            </w:r>
            <w:r>
              <w:rPr>
                <w:rFonts w:hint="eastAsia" w:ascii="宋体" w:hAnsi="宋体" w:cs="宋体"/>
                <w:bCs/>
                <w:color w:val="FF0000"/>
                <w:szCs w:val="21"/>
                <w:lang w:val="en-US" w:eastAsia="zh-CN"/>
              </w:rPr>
              <w:t>1.5</w:t>
            </w:r>
            <w:r>
              <w:rPr>
                <w:rFonts w:hint="eastAsia" w:ascii="宋体" w:hAnsi="宋体" w:cs="宋体"/>
                <w:bCs/>
                <w:color w:val="FF0000"/>
                <w:szCs w:val="21"/>
              </w:rPr>
              <w:t>分；其他不得分。</w:t>
            </w:r>
          </w:p>
          <w:p>
            <w:pPr>
              <w:widowControl/>
              <w:rPr>
                <w:rFonts w:ascii="宋体" w:hAnsi="宋体" w:cs="宋体"/>
                <w:bCs/>
                <w:color w:val="FF0000"/>
                <w:szCs w:val="21"/>
              </w:rPr>
            </w:pPr>
            <w:r>
              <w:rPr>
                <w:rFonts w:hint="eastAsia" w:ascii="宋体" w:hAnsi="宋体" w:cs="宋体"/>
                <w:bCs/>
                <w:color w:val="FF0000"/>
                <w:szCs w:val="21"/>
              </w:rPr>
              <w:t>2、在上述得分的基础上，根据招标文件的需求和投标文件响应情况进行分档评分：</w:t>
            </w:r>
          </w:p>
          <w:p>
            <w:pPr>
              <w:widowControl/>
              <w:rPr>
                <w:rFonts w:ascii="宋体" w:hAnsi="宋体" w:cs="宋体"/>
                <w:bCs/>
                <w:color w:val="FF0000"/>
                <w:szCs w:val="21"/>
              </w:rPr>
            </w:pPr>
            <w:r>
              <w:rPr>
                <w:rFonts w:hint="eastAsia" w:ascii="宋体" w:hAnsi="宋体" w:cs="宋体"/>
                <w:bCs/>
                <w:color w:val="FF0000"/>
                <w:szCs w:val="21"/>
              </w:rPr>
              <w:t>（1）响应内容全面；</w:t>
            </w:r>
          </w:p>
          <w:p>
            <w:pPr>
              <w:widowControl/>
              <w:rPr>
                <w:rFonts w:ascii="宋体" w:hAnsi="宋体" w:cs="宋体"/>
                <w:bCs/>
                <w:color w:val="FF0000"/>
                <w:szCs w:val="21"/>
              </w:rPr>
            </w:pPr>
            <w:r>
              <w:rPr>
                <w:rFonts w:hint="eastAsia" w:ascii="宋体" w:hAnsi="宋体" w:cs="宋体"/>
                <w:bCs/>
                <w:color w:val="FF0000"/>
                <w:szCs w:val="21"/>
              </w:rPr>
              <w:t>（2）响应内容具体；</w:t>
            </w:r>
          </w:p>
          <w:p>
            <w:pPr>
              <w:widowControl/>
              <w:rPr>
                <w:rFonts w:ascii="宋体" w:hAnsi="宋体" w:cs="宋体"/>
                <w:bCs/>
                <w:color w:val="FF0000"/>
                <w:szCs w:val="21"/>
              </w:rPr>
            </w:pPr>
            <w:r>
              <w:rPr>
                <w:rFonts w:hint="eastAsia" w:ascii="宋体" w:hAnsi="宋体" w:cs="宋体"/>
                <w:bCs/>
                <w:color w:val="FF0000"/>
                <w:szCs w:val="21"/>
              </w:rPr>
              <w:t>（3）响应内容科学合理；</w:t>
            </w:r>
          </w:p>
          <w:p>
            <w:pPr>
              <w:widowControl/>
              <w:rPr>
                <w:rFonts w:ascii="宋体" w:hAnsi="宋体" w:cs="宋体"/>
                <w:bCs/>
                <w:color w:val="FF0000"/>
                <w:szCs w:val="21"/>
              </w:rPr>
            </w:pPr>
            <w:r>
              <w:rPr>
                <w:rFonts w:hint="eastAsia" w:ascii="宋体" w:hAnsi="宋体" w:cs="宋体"/>
                <w:bCs/>
                <w:color w:val="FF0000"/>
                <w:szCs w:val="21"/>
              </w:rPr>
              <w:t>（4）响应内容针对性强；</w:t>
            </w:r>
          </w:p>
          <w:p>
            <w:pPr>
              <w:widowControl/>
              <w:rPr>
                <w:rFonts w:ascii="宋体" w:hAnsi="宋体" w:cs="宋体"/>
                <w:bCs/>
                <w:color w:val="FF0000"/>
                <w:szCs w:val="21"/>
              </w:rPr>
            </w:pPr>
            <w:r>
              <w:rPr>
                <w:rFonts w:hint="eastAsia" w:ascii="宋体" w:hAnsi="宋体" w:cs="宋体"/>
                <w:bCs/>
                <w:color w:val="FF0000"/>
                <w:szCs w:val="21"/>
              </w:rPr>
              <w:t>（5）响应内容可操作性强。</w:t>
            </w:r>
          </w:p>
          <w:p>
            <w:pPr>
              <w:widowControl/>
              <w:rPr>
                <w:rFonts w:ascii="宋体" w:hAnsi="宋体" w:cs="宋体"/>
                <w:bCs/>
                <w:color w:val="FF0000"/>
                <w:szCs w:val="21"/>
              </w:rPr>
            </w:pPr>
            <w:r>
              <w:rPr>
                <w:rFonts w:hint="eastAsia" w:ascii="宋体" w:hAnsi="宋体" w:cs="宋体"/>
                <w:bCs/>
                <w:color w:val="FF0000"/>
                <w:szCs w:val="21"/>
              </w:rPr>
              <w:t>优评分标准：以上五项响应内容要求，全部满足要求的，评价为优，得</w:t>
            </w:r>
            <w:r>
              <w:rPr>
                <w:rFonts w:hint="eastAsia" w:ascii="宋体" w:hAnsi="宋体" w:cs="宋体"/>
                <w:bCs/>
                <w:color w:val="FF0000"/>
                <w:szCs w:val="21"/>
                <w:lang w:val="en-US" w:eastAsia="zh-CN"/>
              </w:rPr>
              <w:t>3</w:t>
            </w:r>
            <w:r>
              <w:rPr>
                <w:rFonts w:hint="eastAsia" w:ascii="宋体" w:hAnsi="宋体" w:cs="宋体"/>
                <w:bCs/>
                <w:color w:val="FF0000"/>
                <w:szCs w:val="21"/>
              </w:rPr>
              <w:t xml:space="preserve">分； </w:t>
            </w:r>
          </w:p>
          <w:p>
            <w:pPr>
              <w:widowControl/>
              <w:rPr>
                <w:rFonts w:ascii="宋体" w:hAnsi="宋体" w:cs="宋体"/>
                <w:bCs/>
                <w:color w:val="FF0000"/>
                <w:szCs w:val="21"/>
              </w:rPr>
            </w:pPr>
            <w:r>
              <w:rPr>
                <w:rFonts w:hint="eastAsia" w:ascii="宋体" w:hAnsi="宋体" w:cs="宋体"/>
                <w:bCs/>
                <w:color w:val="FF0000"/>
                <w:szCs w:val="21"/>
              </w:rPr>
              <w:t>良评分标准：以上五项响应内容要求，满足其中四项要求的，评价为良，得</w:t>
            </w:r>
            <w:r>
              <w:rPr>
                <w:rFonts w:hint="eastAsia" w:ascii="宋体" w:hAnsi="宋体" w:cs="宋体"/>
                <w:bCs/>
                <w:color w:val="FF0000"/>
                <w:szCs w:val="21"/>
                <w:lang w:val="en-US" w:eastAsia="zh-CN"/>
              </w:rPr>
              <w:t>2</w:t>
            </w:r>
            <w:r>
              <w:rPr>
                <w:rFonts w:hint="eastAsia" w:ascii="宋体" w:hAnsi="宋体" w:cs="宋体"/>
                <w:bCs/>
                <w:color w:val="FF0000"/>
                <w:szCs w:val="21"/>
              </w:rPr>
              <w:t xml:space="preserve">分； </w:t>
            </w:r>
          </w:p>
          <w:p>
            <w:pPr>
              <w:widowControl/>
              <w:rPr>
                <w:rFonts w:ascii="宋体" w:hAnsi="宋体" w:cs="宋体"/>
                <w:bCs/>
                <w:color w:val="FF0000"/>
                <w:szCs w:val="21"/>
              </w:rPr>
            </w:pPr>
            <w:r>
              <w:rPr>
                <w:rFonts w:hint="eastAsia" w:ascii="宋体" w:hAnsi="宋体" w:cs="宋体"/>
                <w:bCs/>
                <w:color w:val="FF0000"/>
                <w:szCs w:val="21"/>
              </w:rPr>
              <w:t>中评分标准：以上五项响应内容要求，满足其中三项要求的，评价为中，得</w:t>
            </w:r>
            <w:r>
              <w:rPr>
                <w:rFonts w:hint="eastAsia" w:ascii="宋体" w:hAnsi="宋体" w:cs="宋体"/>
                <w:bCs/>
                <w:color w:val="FF0000"/>
                <w:szCs w:val="21"/>
                <w:lang w:val="en-US" w:eastAsia="zh-CN"/>
              </w:rPr>
              <w:t>1</w:t>
            </w:r>
            <w:r>
              <w:rPr>
                <w:rFonts w:hint="eastAsia" w:ascii="宋体" w:hAnsi="宋体" w:cs="宋体"/>
                <w:bCs/>
                <w:color w:val="FF0000"/>
                <w:szCs w:val="21"/>
              </w:rPr>
              <w:t xml:space="preserve">分； </w:t>
            </w:r>
          </w:p>
          <w:p>
            <w:pPr>
              <w:widowControl/>
              <w:rPr>
                <w:rFonts w:ascii="宋体" w:hAnsi="宋体" w:cs="宋体"/>
                <w:bCs/>
                <w:color w:val="FF0000"/>
                <w:szCs w:val="21"/>
              </w:rPr>
            </w:pPr>
            <w:r>
              <w:rPr>
                <w:rFonts w:hint="eastAsia" w:ascii="宋体" w:hAnsi="宋体" w:cs="宋体"/>
                <w:bCs/>
                <w:color w:val="FF0000"/>
                <w:szCs w:val="21"/>
              </w:rPr>
              <w:t>低评分标准：以上五项响应内容要求，满足其中两项要求的，评价为低，得</w:t>
            </w:r>
            <w:r>
              <w:rPr>
                <w:rFonts w:hint="eastAsia" w:ascii="宋体" w:hAnsi="宋体" w:cs="宋体"/>
                <w:bCs/>
                <w:color w:val="FF0000"/>
                <w:szCs w:val="21"/>
                <w:lang w:val="en-US" w:eastAsia="zh-CN"/>
              </w:rPr>
              <w:t>0.5</w:t>
            </w:r>
            <w:r>
              <w:rPr>
                <w:rFonts w:hint="eastAsia" w:ascii="宋体" w:hAnsi="宋体" w:cs="宋体"/>
                <w:bCs/>
                <w:color w:val="FF0000"/>
                <w:szCs w:val="21"/>
              </w:rPr>
              <w:t xml:space="preserve">分； </w:t>
            </w:r>
          </w:p>
          <w:p>
            <w:pPr>
              <w:widowControl/>
              <w:rPr>
                <w:rFonts w:ascii="宋体" w:hAnsi="宋体" w:cs="宋体"/>
                <w:bCs/>
                <w:color w:val="FF0000"/>
                <w:szCs w:val="21"/>
              </w:rPr>
            </w:pPr>
            <w:r>
              <w:rPr>
                <w:rFonts w:hint="eastAsia" w:ascii="宋体" w:hAnsi="宋体" w:cs="宋体"/>
                <w:bCs/>
                <w:color w:val="FF0000"/>
                <w:szCs w:val="21"/>
              </w:rPr>
              <w:t>差评分标准：上述情况之外的，评差，得0分。</w:t>
            </w:r>
          </w:p>
          <w:p>
            <w:pPr>
              <w:jc w:val="left"/>
              <w:rPr>
                <w:rFonts w:hint="eastAsia" w:ascii="宋体" w:hAnsi="宋体" w:eastAsia="宋体" w:cs="宋体"/>
                <w:color w:val="FF0000"/>
                <w:kern w:val="2"/>
                <w:sz w:val="21"/>
                <w:szCs w:val="21"/>
                <w:lang w:val="en-US" w:eastAsia="zh-CN" w:bidi="ar-SA"/>
              </w:rPr>
            </w:pPr>
            <w:r>
              <w:rPr>
                <w:rFonts w:hint="eastAsia" w:ascii="宋体" w:hAnsi="宋体" w:cs="宋体"/>
                <w:bCs/>
                <w:color w:val="FF0000"/>
                <w:szCs w:val="21"/>
              </w:rPr>
              <w:t>3、上述1、2两项累计得分，最高得</w:t>
            </w:r>
            <w:r>
              <w:rPr>
                <w:rFonts w:hint="eastAsia" w:ascii="宋体" w:hAnsi="宋体" w:cs="宋体"/>
                <w:bCs/>
                <w:color w:val="FF0000"/>
                <w:szCs w:val="21"/>
                <w:lang w:val="en-US" w:eastAsia="zh-CN"/>
              </w:rPr>
              <w:t>6</w:t>
            </w:r>
            <w:r>
              <w:rPr>
                <w:rFonts w:hint="eastAsia" w:ascii="宋体" w:hAnsi="宋体" w:cs="宋体"/>
                <w:bCs/>
                <w:color w:val="FF0000"/>
                <w:szCs w:val="21"/>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360" w:lineRule="exact"/>
              <w:jc w:val="center"/>
              <w:rPr>
                <w:rFonts w:hint="eastAsia" w:ascii="宋体" w:hAnsi="宋体" w:eastAsia="宋体" w:cs="宋体"/>
                <w:color w:val="FF0000"/>
                <w:sz w:val="21"/>
                <w:szCs w:val="21"/>
              </w:rPr>
            </w:pPr>
            <w:r>
              <w:rPr>
                <w:rFonts w:hint="eastAsia"/>
                <w:color w:val="FF0000"/>
              </w:rPr>
              <w:t>拟安排的项目负责人情况</w:t>
            </w:r>
          </w:p>
        </w:tc>
        <w:tc>
          <w:tcPr>
            <w:tcW w:w="501" w:type="dxa"/>
            <w:noWrap w:val="0"/>
            <w:vAlign w:val="center"/>
          </w:tcPr>
          <w:p>
            <w:pPr>
              <w:widowControl/>
              <w:spacing w:line="360" w:lineRule="exact"/>
              <w:jc w:val="center"/>
              <w:rPr>
                <w:rFonts w:hint="eastAsia" w:ascii="宋体" w:hAnsi="宋体" w:eastAsia="宋体" w:cs="宋体"/>
                <w:color w:val="FF0000"/>
                <w:sz w:val="21"/>
                <w:szCs w:val="21"/>
                <w:u w:val="none"/>
                <w:lang w:val="en-US" w:eastAsia="zh-CN"/>
              </w:rPr>
            </w:pPr>
            <w:r>
              <w:rPr>
                <w:rFonts w:hint="eastAsia" w:ascii="宋体" w:hAnsi="宋体" w:eastAsia="宋体" w:cs="仿宋"/>
                <w:color w:val="FF0000"/>
                <w:sz w:val="21"/>
                <w:szCs w:val="21"/>
                <w:lang w:val="en-US" w:eastAsia="zh-CN"/>
              </w:rPr>
              <w:t>4</w:t>
            </w:r>
          </w:p>
        </w:tc>
        <w:tc>
          <w:tcPr>
            <w:tcW w:w="6077" w:type="dxa"/>
            <w:noWrap w:val="0"/>
            <w:vAlign w:val="center"/>
          </w:tcPr>
          <w:p>
            <w:pPr>
              <w:rPr>
                <w:b/>
                <w:bCs/>
                <w:color w:val="FF0000"/>
              </w:rPr>
            </w:pPr>
            <w:r>
              <w:rPr>
                <w:rFonts w:hint="eastAsia"/>
                <w:b/>
                <w:bCs/>
                <w:color w:val="FF0000"/>
              </w:rPr>
              <w:t>（一）评分内容：</w:t>
            </w:r>
          </w:p>
          <w:p>
            <w:pPr>
              <w:rPr>
                <w:color w:val="FF0000"/>
              </w:rPr>
            </w:pPr>
            <w:r>
              <w:rPr>
                <w:rFonts w:hint="eastAsia"/>
                <w:color w:val="FF0000"/>
              </w:rPr>
              <w:t>1.拟安排项目负责人（仅限1人）具有全日制本科学历或以上的，具有医院信息化行业经验且参与过3家或以上医院信息化建设的，得</w:t>
            </w:r>
            <w:r>
              <w:rPr>
                <w:color w:val="FF0000"/>
              </w:rPr>
              <w:t>2</w:t>
            </w:r>
            <w:r>
              <w:rPr>
                <w:rFonts w:hint="eastAsia"/>
                <w:color w:val="FF0000"/>
              </w:rPr>
              <w:t>分；</w:t>
            </w:r>
          </w:p>
          <w:p>
            <w:pPr>
              <w:rPr>
                <w:color w:val="FF0000"/>
              </w:rPr>
            </w:pPr>
            <w:r>
              <w:rPr>
                <w:rFonts w:hint="eastAsia"/>
                <w:color w:val="FF0000"/>
              </w:rPr>
              <w:t>2.拟安排项目负责人（仅限1人）具有项目管理专业人士资格认证证书PMP（Project Management Professional）的，得</w:t>
            </w:r>
            <w:r>
              <w:rPr>
                <w:rFonts w:hint="eastAsia"/>
                <w:color w:val="FF0000"/>
                <w:lang w:val="en-US" w:eastAsia="zh-CN"/>
              </w:rPr>
              <w:t>2</w:t>
            </w:r>
            <w:r>
              <w:rPr>
                <w:rFonts w:hint="eastAsia"/>
                <w:color w:val="FF0000"/>
              </w:rPr>
              <w:t>分；</w:t>
            </w:r>
          </w:p>
          <w:p>
            <w:pPr>
              <w:rPr>
                <w:b/>
                <w:bCs/>
                <w:color w:val="FF0000"/>
              </w:rPr>
            </w:pPr>
            <w:r>
              <w:rPr>
                <w:rFonts w:hint="eastAsia"/>
                <w:b/>
                <w:bCs/>
                <w:color w:val="FF0000"/>
              </w:rPr>
              <w:t>（二）评分依据：</w:t>
            </w:r>
          </w:p>
          <w:p>
            <w:pPr>
              <w:rPr>
                <w:rFonts w:hint="eastAsia"/>
                <w:color w:val="FF0000"/>
              </w:rPr>
            </w:pPr>
            <w:r>
              <w:rPr>
                <w:rFonts w:hint="eastAsia"/>
                <w:color w:val="FF0000"/>
              </w:rPr>
              <w:t>1.提供拟安排项目负责人资格认证证书、学历证书的扫描件及通过投标人缴纳的距开标日前一个月的社保局出具的社保证明（如开标日上一个月的社保材料因社保部门原因暂时无法取得，则可以往前顺延一个月。未按要求提供有效证明材料或提供不清晰导致评委无法识别的不计得分。加盖投标人公章，原件备查。</w:t>
            </w:r>
          </w:p>
          <w:p>
            <w:pPr>
              <w:rPr>
                <w:color w:val="FF0000"/>
              </w:rPr>
            </w:pPr>
            <w:r>
              <w:rPr>
                <w:rFonts w:hint="eastAsia"/>
                <w:color w:val="FF0000"/>
              </w:rPr>
              <w:t>2.经验证明：提供项目合同关键页信息或验收报告复印件，通过合同关键页、验收报告信息无法判断是否得分，可提供合同甲方出具的证明文件（提供的材料中体现项目负责人）；</w:t>
            </w:r>
          </w:p>
          <w:p>
            <w:pPr>
              <w:pStyle w:val="29"/>
              <w:spacing w:line="360" w:lineRule="exact"/>
              <w:ind w:firstLine="0" w:firstLineChars="0"/>
              <w:rPr>
                <w:rFonts w:hint="eastAsia" w:ascii="宋体" w:hAnsi="宋体" w:eastAsia="宋体" w:cs="宋体"/>
                <w:color w:val="FF0000"/>
                <w:kern w:val="2"/>
                <w:sz w:val="21"/>
                <w:szCs w:val="21"/>
                <w:lang w:val="en-US" w:eastAsia="zh-CN" w:bidi="ar-SA"/>
              </w:rPr>
            </w:pPr>
            <w:r>
              <w:rPr>
                <w:rFonts w:hint="eastAsia"/>
                <w:color w:val="FF0000"/>
              </w:rPr>
              <w:t>3.评分中出现无证明资料或专家无法凭所提供资料判断是否得分的情况，一律作不得分处理。</w:t>
            </w:r>
            <w:r>
              <w:rPr>
                <w:rFonts w:hint="eastAsia" w:ascii="宋体" w:hAnsi="宋体"/>
                <w:color w:val="FF0000"/>
                <w:sz w:val="21"/>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jc w:val="center"/>
              <w:rPr>
                <w:color w:val="FF0000"/>
              </w:rPr>
            </w:pPr>
            <w:r>
              <w:rPr>
                <w:rFonts w:hint="eastAsia"/>
                <w:color w:val="FF0000"/>
              </w:rPr>
              <w:t>拟安排的项目主要团队成员</w:t>
            </w:r>
          </w:p>
          <w:p>
            <w:pPr>
              <w:jc w:val="center"/>
              <w:rPr>
                <w:color w:val="FF0000"/>
              </w:rPr>
            </w:pPr>
            <w:r>
              <w:rPr>
                <w:rFonts w:hint="eastAsia"/>
                <w:color w:val="FF0000"/>
              </w:rPr>
              <w:t>（主要技术人员）</w:t>
            </w:r>
          </w:p>
          <w:p>
            <w:pPr>
              <w:jc w:val="center"/>
              <w:rPr>
                <w:color w:val="FF0000"/>
              </w:rPr>
            </w:pPr>
            <w:r>
              <w:rPr>
                <w:rFonts w:hint="eastAsia"/>
                <w:color w:val="FF0000"/>
              </w:rPr>
              <w:t>情况</w:t>
            </w:r>
          </w:p>
          <w:p>
            <w:pPr>
              <w:jc w:val="center"/>
              <w:rPr>
                <w:rFonts w:hint="eastAsia" w:ascii="宋体" w:hAnsi="宋体"/>
                <w:color w:val="FF0000"/>
                <w:szCs w:val="21"/>
              </w:rPr>
            </w:pPr>
            <w:r>
              <w:rPr>
                <w:rFonts w:hint="eastAsia"/>
                <w:color w:val="FF0000"/>
              </w:rPr>
              <w:t>（项目负责人除外）</w:t>
            </w:r>
          </w:p>
        </w:tc>
        <w:tc>
          <w:tcPr>
            <w:tcW w:w="501" w:type="dxa"/>
            <w:noWrap w:val="0"/>
            <w:vAlign w:val="center"/>
          </w:tcPr>
          <w:p>
            <w:pPr>
              <w:widowControl/>
              <w:spacing w:before="100" w:beforeAutospacing="1" w:after="100" w:afterAutospacing="1" w:line="0" w:lineRule="atLeast"/>
              <w:jc w:val="center"/>
              <w:rPr>
                <w:rFonts w:hint="eastAsia" w:ascii="宋体" w:hAnsi="宋体"/>
                <w:color w:val="FF0000"/>
                <w:kern w:val="0"/>
                <w:sz w:val="21"/>
                <w:szCs w:val="21"/>
                <w:u w:val="none"/>
                <w:lang w:val="en-US" w:eastAsia="zh-CN"/>
              </w:rPr>
            </w:pPr>
            <w:r>
              <w:rPr>
                <w:rFonts w:hint="eastAsia"/>
                <w:color w:val="FF0000"/>
                <w:lang w:val="en-US" w:eastAsia="zh-CN"/>
              </w:rPr>
              <w:t>4</w:t>
            </w:r>
          </w:p>
        </w:tc>
        <w:tc>
          <w:tcPr>
            <w:tcW w:w="6077" w:type="dxa"/>
            <w:noWrap w:val="0"/>
            <w:vAlign w:val="center"/>
          </w:tcPr>
          <w:p>
            <w:pPr>
              <w:rPr>
                <w:color w:val="FF0000"/>
              </w:rPr>
            </w:pPr>
            <w:r>
              <w:rPr>
                <w:rFonts w:hint="eastAsia"/>
                <w:b/>
                <w:bCs/>
                <w:color w:val="FF0000"/>
              </w:rPr>
              <w:t>（一）</w:t>
            </w:r>
            <w:r>
              <w:rPr>
                <w:rFonts w:hint="eastAsia"/>
                <w:b/>
                <w:bCs/>
                <w:color w:val="FF0000"/>
              </w:rPr>
              <w:tab/>
            </w:r>
            <w:r>
              <w:rPr>
                <w:rFonts w:hint="eastAsia"/>
                <w:b/>
                <w:bCs/>
                <w:color w:val="FF0000"/>
              </w:rPr>
              <w:t>评分内容：</w:t>
            </w:r>
          </w:p>
          <w:p>
            <w:pPr>
              <w:rPr>
                <w:color w:val="FF0000"/>
              </w:rPr>
            </w:pPr>
            <w:r>
              <w:rPr>
                <w:rFonts w:hint="eastAsia"/>
                <w:color w:val="FF0000"/>
              </w:rPr>
              <w:t>1、本项目参与成员3-5人且其中具有硕士或硕士以上学历成员人数≥1人，硕士专业要求为计算机或信息技术或医学工程类，得</w:t>
            </w:r>
            <w:r>
              <w:rPr>
                <w:rFonts w:hint="eastAsia"/>
                <w:color w:val="FF0000"/>
                <w:lang w:val="en-US" w:eastAsia="zh-CN"/>
              </w:rPr>
              <w:t>2</w:t>
            </w:r>
            <w:r>
              <w:rPr>
                <w:rFonts w:hint="eastAsia"/>
                <w:color w:val="FF0000"/>
              </w:rPr>
              <w:t xml:space="preserve"> 分；</w:t>
            </w:r>
          </w:p>
          <w:p>
            <w:pPr>
              <w:rPr>
                <w:color w:val="FF0000"/>
              </w:rPr>
            </w:pPr>
            <w:r>
              <w:rPr>
                <w:color w:val="FF0000"/>
              </w:rPr>
              <w:t>2</w:t>
            </w:r>
            <w:r>
              <w:rPr>
                <w:rFonts w:hint="eastAsia"/>
                <w:color w:val="FF0000"/>
              </w:rPr>
              <w:t>、本项目参与人员6人（含）以上且其中具有硕士或硕士以上学历成员人数≥2人，硕士专业要求为计算机或信息技术或医学工程类，得</w:t>
            </w:r>
            <w:r>
              <w:rPr>
                <w:rFonts w:hint="eastAsia"/>
                <w:color w:val="FF0000"/>
                <w:lang w:val="en-US" w:eastAsia="zh-CN"/>
              </w:rPr>
              <w:t>4</w:t>
            </w:r>
            <w:r>
              <w:rPr>
                <w:rFonts w:hint="eastAsia"/>
                <w:color w:val="FF0000"/>
              </w:rPr>
              <w:t>分。</w:t>
            </w:r>
          </w:p>
          <w:p>
            <w:pPr>
              <w:rPr>
                <w:b/>
                <w:bCs/>
                <w:color w:val="FF0000"/>
              </w:rPr>
            </w:pPr>
            <w:r>
              <w:rPr>
                <w:rFonts w:hint="eastAsia"/>
                <w:b/>
                <w:bCs/>
                <w:color w:val="FF0000"/>
              </w:rPr>
              <w:t>（二）评分依据：</w:t>
            </w:r>
          </w:p>
          <w:p>
            <w:pPr>
              <w:rPr>
                <w:color w:val="FF0000"/>
              </w:rPr>
            </w:pPr>
            <w:r>
              <w:rPr>
                <w:rFonts w:hint="eastAsia"/>
                <w:color w:val="FF0000"/>
              </w:rPr>
              <w:t>备注：以上两个评分项目得分不累计。</w:t>
            </w:r>
          </w:p>
          <w:p>
            <w:pPr>
              <w:rPr>
                <w:color w:val="FF0000"/>
              </w:rPr>
            </w:pPr>
            <w:r>
              <w:rPr>
                <w:rFonts w:hint="eastAsia"/>
                <w:color w:val="FF0000"/>
              </w:rPr>
              <w:t>1.投标人需提供加盖投标人公章的项目人员学历或学位证书相关资质证书复印件或官方网站截图，以上每一类证书仅计分一次且同一人持有多项上述范围内的证书也仅计分一次。</w:t>
            </w:r>
          </w:p>
          <w:p>
            <w:pPr>
              <w:rPr>
                <w:rFonts w:hint="eastAsia" w:ascii="宋体" w:hAnsi="宋体" w:eastAsia="宋体" w:cs="宋体"/>
                <w:color w:val="FF0000"/>
                <w:kern w:val="2"/>
                <w:sz w:val="21"/>
                <w:szCs w:val="21"/>
                <w:lang w:val="en-US" w:eastAsia="zh-CN" w:bidi="ar-SA"/>
              </w:rPr>
            </w:pPr>
            <w:r>
              <w:rPr>
                <w:rFonts w:hint="eastAsia"/>
                <w:color w:val="FF0000"/>
                <w:lang w:val="en-US" w:eastAsia="zh-CN"/>
              </w:rPr>
              <w:t>2.</w:t>
            </w:r>
            <w:r>
              <w:rPr>
                <w:rFonts w:hint="eastAsia"/>
                <w:color w:val="FF0000"/>
              </w:rPr>
              <w:t>投标人需提供通过投标人缴纳的距开标日前一个月的社保局出具的社保证明（如开标日上一个月的社保材料因社保部门原因暂时无法取得，则可以往前顺延一个月。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jc w:val="center"/>
              <w:rPr>
                <w:color w:val="FF0000"/>
              </w:rPr>
            </w:pPr>
            <w:r>
              <w:rPr>
                <w:rFonts w:hint="eastAsia"/>
                <w:color w:val="FF0000"/>
              </w:rPr>
              <w:t>售后服务</w:t>
            </w:r>
          </w:p>
          <w:p>
            <w:pPr>
              <w:jc w:val="center"/>
              <w:rPr>
                <w:rFonts w:hint="eastAsia" w:ascii="宋体" w:hAnsi="宋体" w:eastAsia="宋体" w:cs="宋体"/>
                <w:color w:val="FF0000"/>
                <w:sz w:val="21"/>
                <w:szCs w:val="21"/>
                <w:lang w:val="en-US" w:eastAsia="zh-CN"/>
              </w:rPr>
            </w:pPr>
            <w:r>
              <w:rPr>
                <w:rFonts w:hint="eastAsia"/>
                <w:color w:val="FF0000"/>
              </w:rPr>
              <w:t>方案</w:t>
            </w:r>
          </w:p>
        </w:tc>
        <w:tc>
          <w:tcPr>
            <w:tcW w:w="501" w:type="dxa"/>
            <w:noWrap w:val="0"/>
            <w:vAlign w:val="center"/>
          </w:tcPr>
          <w:p>
            <w:pPr>
              <w:widowControl/>
              <w:spacing w:before="100" w:beforeAutospacing="1" w:after="100" w:afterAutospacing="1" w:line="0" w:lineRule="atLeast"/>
              <w:jc w:val="center"/>
              <w:rPr>
                <w:rFonts w:hint="eastAsia" w:ascii="宋体" w:hAnsi="宋体" w:eastAsia="宋体" w:cs="宋体"/>
                <w:color w:val="FF0000"/>
                <w:sz w:val="21"/>
                <w:szCs w:val="21"/>
                <w:u w:val="none"/>
                <w:lang w:val="en-US" w:eastAsia="zh-CN"/>
              </w:rPr>
            </w:pPr>
            <w:r>
              <w:rPr>
                <w:rFonts w:hint="eastAsia"/>
                <w:color w:val="FF0000"/>
                <w:lang w:val="en-US" w:eastAsia="zh-CN"/>
              </w:rPr>
              <w:t>4</w:t>
            </w:r>
          </w:p>
        </w:tc>
        <w:tc>
          <w:tcPr>
            <w:tcW w:w="6077" w:type="dxa"/>
            <w:noWrap w:val="0"/>
            <w:vAlign w:val="center"/>
          </w:tcPr>
          <w:p>
            <w:pPr>
              <w:pStyle w:val="28"/>
              <w:widowControl/>
              <w:numPr>
                <w:ilvl w:val="0"/>
                <w:numId w:val="4"/>
              </w:numPr>
              <w:ind w:firstLineChars="0"/>
              <w:rPr>
                <w:rFonts w:ascii="宋体" w:hAnsi="宋体" w:cs="宋体"/>
                <w:b/>
                <w:color w:val="FF0000"/>
                <w:szCs w:val="21"/>
              </w:rPr>
            </w:pPr>
            <w:r>
              <w:rPr>
                <w:rFonts w:hint="eastAsia" w:ascii="宋体" w:hAnsi="宋体" w:cs="宋体"/>
                <w:b/>
                <w:color w:val="FF0000"/>
                <w:szCs w:val="21"/>
              </w:rPr>
              <w:t>评分内容：</w:t>
            </w:r>
          </w:p>
          <w:p>
            <w:pPr>
              <w:widowControl/>
              <w:rPr>
                <w:color w:val="FF0000"/>
              </w:rPr>
            </w:pPr>
            <w:r>
              <w:rPr>
                <w:rFonts w:hint="eastAsia"/>
                <w:color w:val="FF0000"/>
              </w:rPr>
              <w:t>投标人根据招标文件的要求提供项目售后服务方案，包含但不限于以下内容：</w:t>
            </w:r>
          </w:p>
          <w:p>
            <w:pPr>
              <w:widowControl/>
              <w:rPr>
                <w:color w:val="FF0000"/>
              </w:rPr>
            </w:pPr>
            <w:r>
              <w:rPr>
                <w:rFonts w:hint="eastAsia"/>
                <w:color w:val="FF0000"/>
              </w:rPr>
              <w:t>1.专业服务团队负责售前、售中、售后服务的方案及相关承诺；</w:t>
            </w:r>
          </w:p>
          <w:p>
            <w:pPr>
              <w:widowControl/>
              <w:rPr>
                <w:color w:val="FF0000"/>
              </w:rPr>
            </w:pPr>
            <w:r>
              <w:rPr>
                <w:rFonts w:hint="eastAsia"/>
                <w:color w:val="FF0000"/>
              </w:rPr>
              <w:t>2.售后服务响应时间及方式；</w:t>
            </w:r>
          </w:p>
          <w:p>
            <w:pPr>
              <w:widowControl/>
              <w:rPr>
                <w:color w:val="FF0000"/>
              </w:rPr>
            </w:pPr>
            <w:r>
              <w:rPr>
                <w:rFonts w:hint="eastAsia"/>
                <w:color w:val="FF0000"/>
              </w:rPr>
              <w:t>3.售后应急措施；</w:t>
            </w:r>
          </w:p>
          <w:p>
            <w:pPr>
              <w:widowControl/>
              <w:rPr>
                <w:rFonts w:asciiTheme="minorEastAsia" w:hAnsiTheme="minorEastAsia" w:eastAsiaTheme="minorEastAsia"/>
                <w:color w:val="FF0000"/>
                <w:szCs w:val="21"/>
              </w:rPr>
            </w:pPr>
            <w:r>
              <w:rPr>
                <w:rFonts w:hint="eastAsia"/>
                <w:color w:val="FF0000"/>
              </w:rPr>
              <w:t>4.保修期后的维修方案；</w:t>
            </w:r>
            <w:r>
              <w:rPr>
                <w:rFonts w:hint="eastAsia" w:asciiTheme="minorEastAsia" w:hAnsiTheme="minorEastAsia" w:eastAsiaTheme="minorEastAsia"/>
                <w:color w:val="FF0000"/>
                <w:szCs w:val="21"/>
              </w:rPr>
              <w:t xml:space="preserve"> </w:t>
            </w:r>
          </w:p>
          <w:p>
            <w:pPr>
              <w:widowControl/>
              <w:rPr>
                <w:rFonts w:ascii="宋体" w:hAnsi="宋体" w:cs="宋体"/>
                <w:bCs/>
                <w:color w:val="FF0000"/>
                <w:szCs w:val="21"/>
              </w:rPr>
            </w:pPr>
            <w:r>
              <w:rPr>
                <w:rFonts w:hint="eastAsia" w:ascii="宋体" w:hAnsi="宋体"/>
                <w:b/>
                <w:bCs/>
                <w:color w:val="FF0000"/>
              </w:rPr>
              <w:t>（二）评分依据：</w:t>
            </w:r>
          </w:p>
          <w:p>
            <w:pPr>
              <w:widowControl/>
              <w:rPr>
                <w:color w:val="FF0000"/>
              </w:rPr>
            </w:pPr>
            <w:r>
              <w:rPr>
                <w:rFonts w:hint="eastAsia"/>
                <w:color w:val="FF0000"/>
              </w:rPr>
              <w:t>1、根据方案的合理性、可操作性进行综合评审，评价为优得</w:t>
            </w:r>
            <w:r>
              <w:rPr>
                <w:rFonts w:hint="eastAsia"/>
                <w:color w:val="FF0000"/>
                <w:lang w:val="en-US" w:eastAsia="zh-CN"/>
              </w:rPr>
              <w:t>3</w:t>
            </w:r>
            <w:r>
              <w:rPr>
                <w:rFonts w:hint="eastAsia"/>
                <w:color w:val="FF0000"/>
              </w:rPr>
              <w:t>分、评良的得</w:t>
            </w:r>
            <w:r>
              <w:rPr>
                <w:rFonts w:hint="eastAsia"/>
                <w:color w:val="FF0000"/>
                <w:lang w:val="en-US" w:eastAsia="zh-CN"/>
              </w:rPr>
              <w:t>2</w:t>
            </w:r>
            <w:r>
              <w:rPr>
                <w:rFonts w:hint="eastAsia"/>
                <w:color w:val="FF0000"/>
              </w:rPr>
              <w:t>分、评一般的得1分，评价为差、未提供不得分。</w:t>
            </w:r>
          </w:p>
          <w:p>
            <w:pPr>
              <w:widowControl/>
              <w:rPr>
                <w:color w:val="FF0000"/>
              </w:rPr>
            </w:pPr>
            <w:r>
              <w:rPr>
                <w:color w:val="FF0000"/>
              </w:rPr>
              <w:t>2</w:t>
            </w:r>
            <w:r>
              <w:rPr>
                <w:rFonts w:hint="eastAsia"/>
                <w:color w:val="FF0000"/>
              </w:rPr>
              <w:t>、免费售后服务期自信息系统验收合格之日起计算。售后免费维护服务期≥</w:t>
            </w:r>
            <w:r>
              <w:rPr>
                <w:rFonts w:hint="eastAsia"/>
                <w:color w:val="FF0000"/>
                <w:lang w:val="en-US" w:eastAsia="zh-CN"/>
              </w:rPr>
              <w:t>2</w:t>
            </w:r>
            <w:r>
              <w:rPr>
                <w:rFonts w:hint="eastAsia"/>
                <w:color w:val="FF0000"/>
              </w:rPr>
              <w:t>年或更优方案，得</w:t>
            </w:r>
            <w:r>
              <w:rPr>
                <w:rFonts w:hint="eastAsia"/>
                <w:color w:val="FF0000"/>
                <w:lang w:val="en-US" w:eastAsia="zh-CN"/>
              </w:rPr>
              <w:t>1</w:t>
            </w:r>
            <w:r>
              <w:rPr>
                <w:rFonts w:hint="eastAsia"/>
                <w:color w:val="FF0000"/>
              </w:rPr>
              <w:t>分。</w:t>
            </w:r>
          </w:p>
          <w:p>
            <w:pPr>
              <w:rPr>
                <w:rFonts w:hint="eastAsia" w:ascii="宋体" w:hAnsi="宋体" w:eastAsia="宋体" w:cs="宋体"/>
                <w:color w:val="FF0000"/>
                <w:kern w:val="2"/>
                <w:sz w:val="21"/>
                <w:szCs w:val="21"/>
                <w:lang w:val="en-US" w:eastAsia="zh-CN" w:bidi="ar-SA"/>
              </w:rPr>
            </w:pPr>
            <w:r>
              <w:rPr>
                <w:color w:val="FF0000"/>
              </w:rPr>
              <w:t>3</w:t>
            </w:r>
            <w:r>
              <w:rPr>
                <w:rFonts w:hint="eastAsia"/>
                <w:color w:val="FF0000"/>
              </w:rPr>
              <w:t>、以上两项评分项目得分可累计，最高可得</w:t>
            </w:r>
            <w:r>
              <w:rPr>
                <w:rFonts w:hint="eastAsia"/>
                <w:color w:val="FF0000"/>
                <w:lang w:val="en-US" w:eastAsia="zh-CN"/>
              </w:rPr>
              <w:t>4</w:t>
            </w:r>
            <w:r>
              <w:rPr>
                <w:rFonts w:hint="eastAsia"/>
                <w:color w:val="FF0000"/>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25</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宋体"/>
                <w:color w:val="FF0000"/>
                <w:sz w:val="21"/>
                <w:szCs w:val="21"/>
                <w:lang w:val="zh-CN" w:eastAsia="zh-CN"/>
              </w:rPr>
            </w:pPr>
            <w:r>
              <w:rPr>
                <w:rFonts w:hint="eastAsia"/>
                <w:color w:val="FF0000"/>
              </w:rPr>
              <w:t>商务要求偏离情况</w:t>
            </w:r>
          </w:p>
        </w:tc>
        <w:tc>
          <w:tcPr>
            <w:tcW w:w="501" w:type="dxa"/>
            <w:noWrap w:val="0"/>
            <w:vAlign w:val="center"/>
          </w:tcPr>
          <w:p>
            <w:pPr>
              <w:autoSpaceDE w:val="0"/>
              <w:autoSpaceDN w:val="0"/>
              <w:adjustRightInd w:val="0"/>
              <w:jc w:val="center"/>
              <w:rPr>
                <w:rFonts w:hint="default" w:ascii="宋体" w:hAnsi="宋体" w:eastAsia="宋体" w:cs="宋体"/>
                <w:b w:val="0"/>
                <w:bCs w:val="0"/>
                <w:color w:val="FF0000"/>
                <w:sz w:val="21"/>
                <w:szCs w:val="21"/>
                <w:highlight w:val="none"/>
                <w:u w:val="none"/>
                <w:shd w:val="clear" w:color="auto" w:fill="auto"/>
                <w:lang w:val="en-US" w:eastAsia="zh-CN"/>
              </w:rPr>
            </w:pPr>
            <w:r>
              <w:rPr>
                <w:rFonts w:hint="eastAsia"/>
                <w:color w:val="FF0000"/>
                <w:lang w:val="en-US" w:eastAsia="zh-CN"/>
              </w:rPr>
              <w:t>6</w:t>
            </w:r>
          </w:p>
        </w:tc>
        <w:tc>
          <w:tcPr>
            <w:tcW w:w="6077" w:type="dxa"/>
            <w:noWrap w:val="0"/>
            <w:vAlign w:val="center"/>
          </w:tcPr>
          <w:p>
            <w:pPr>
              <w:autoSpaceDE w:val="0"/>
              <w:autoSpaceDN w:val="0"/>
              <w:adjustRightInd w:val="0"/>
              <w:jc w:val="left"/>
              <w:rPr>
                <w:rFonts w:hint="eastAsia" w:ascii="宋体" w:hAnsi="宋体" w:eastAsia="宋体" w:cs="宋体"/>
                <w:color w:val="FF0000"/>
                <w:kern w:val="2"/>
                <w:sz w:val="21"/>
                <w:szCs w:val="21"/>
                <w:lang w:val="sq-AL" w:eastAsia="zh-CN" w:bidi="ar-SA"/>
              </w:rPr>
            </w:pPr>
            <w:r>
              <w:rPr>
                <w:rFonts w:hint="eastAsia"/>
                <w:color w:val="FF0000"/>
              </w:rPr>
              <w:t>投标人应如实填写《商务要求偏离表》，全部满足或优于的得</w:t>
            </w:r>
            <w:r>
              <w:rPr>
                <w:rFonts w:hint="eastAsia"/>
                <w:color w:val="FF0000"/>
                <w:lang w:val="en-US" w:eastAsia="zh-CN"/>
              </w:rPr>
              <w:t>6</w:t>
            </w:r>
            <w:r>
              <w:rPr>
                <w:rFonts w:hint="eastAsia"/>
                <w:color w:val="FF0000"/>
              </w:rPr>
              <w:t>分；每负偏离一项扣</w:t>
            </w:r>
            <w:r>
              <w:rPr>
                <w:rFonts w:hint="eastAsia"/>
                <w:color w:val="FF0000"/>
                <w:lang w:val="en-US" w:eastAsia="zh-CN"/>
              </w:rPr>
              <w:t>0.5</w:t>
            </w:r>
            <w:r>
              <w:rPr>
                <w:rFonts w:hint="eastAsia"/>
                <w:color w:val="FF0000"/>
              </w:rPr>
              <w:t>，未响应参数视为负偏离，扣完为止，接受正偏离但不加分。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color w:val="FF0000"/>
                <w:szCs w:val="21"/>
              </w:rPr>
            </w:pPr>
            <w:r>
              <w:rPr>
                <w:rFonts w:hint="eastAsia"/>
                <w:color w:val="FF0000"/>
              </w:rPr>
              <w:t>投标人通过相关认证情况</w:t>
            </w:r>
          </w:p>
        </w:tc>
        <w:tc>
          <w:tcPr>
            <w:tcW w:w="501" w:type="dxa"/>
            <w:noWrap w:val="0"/>
            <w:vAlign w:val="center"/>
          </w:tcPr>
          <w:p>
            <w:pPr>
              <w:jc w:val="center"/>
              <w:rPr>
                <w:rFonts w:hint="eastAsia" w:ascii="宋体" w:hAnsi="宋体"/>
                <w:color w:val="FF0000"/>
                <w:kern w:val="0"/>
                <w:sz w:val="21"/>
                <w:szCs w:val="21"/>
                <w:u w:val="none"/>
                <w:lang w:val="en-US" w:eastAsia="zh-CN"/>
              </w:rPr>
            </w:pPr>
            <w:r>
              <w:rPr>
                <w:rFonts w:hint="eastAsia"/>
                <w:color w:val="FF0000"/>
                <w:lang w:val="en-US" w:eastAsia="zh-CN"/>
              </w:rPr>
              <w:t>2</w:t>
            </w:r>
          </w:p>
        </w:tc>
        <w:tc>
          <w:tcPr>
            <w:tcW w:w="6077" w:type="dxa"/>
            <w:noWrap w:val="0"/>
            <w:vAlign w:val="center"/>
          </w:tcPr>
          <w:p>
            <w:pPr>
              <w:rPr>
                <w:b/>
                <w:bCs/>
                <w:color w:val="FF0000"/>
              </w:rPr>
            </w:pPr>
            <w:r>
              <w:rPr>
                <w:rFonts w:hint="eastAsia"/>
                <w:b/>
                <w:bCs/>
                <w:color w:val="FF0000"/>
              </w:rPr>
              <w:t>（一）评分内容：</w:t>
            </w:r>
          </w:p>
          <w:p>
            <w:pPr>
              <w:rPr>
                <w:rFonts w:hint="eastAsia" w:eastAsia="宋体"/>
                <w:color w:val="FF0000"/>
                <w:lang w:eastAsia="zh-CN"/>
              </w:rPr>
            </w:pPr>
            <w:r>
              <w:rPr>
                <w:rFonts w:hint="eastAsia"/>
                <w:color w:val="FF0000"/>
                <w:lang w:val="en-US" w:eastAsia="zh-CN"/>
              </w:rPr>
              <w:t>1</w:t>
            </w:r>
            <w:r>
              <w:rPr>
                <w:rFonts w:hint="eastAsia"/>
                <w:color w:val="FF0000"/>
              </w:rPr>
              <w:t>. 提供《ISO9001质量管理体系认证证书》且该体系认证所覆盖的范围是医疗信息管理软件开发，得</w:t>
            </w:r>
            <w:r>
              <w:rPr>
                <w:rFonts w:hint="eastAsia"/>
                <w:color w:val="FF0000"/>
                <w:lang w:val="en-US" w:eastAsia="zh-CN"/>
              </w:rPr>
              <w:t>2</w:t>
            </w:r>
            <w:r>
              <w:rPr>
                <w:rFonts w:hint="eastAsia"/>
                <w:color w:val="FF0000"/>
              </w:rPr>
              <w:t>分</w:t>
            </w:r>
            <w:r>
              <w:rPr>
                <w:rFonts w:hint="eastAsia"/>
                <w:color w:val="FF0000"/>
                <w:lang w:eastAsia="zh-CN"/>
              </w:rPr>
              <w:t>；</w:t>
            </w:r>
          </w:p>
          <w:p>
            <w:pPr>
              <w:pStyle w:val="2"/>
              <w:spacing w:before="0" w:after="0" w:line="240" w:lineRule="auto"/>
              <w:rPr>
                <w:b w:val="0"/>
                <w:bCs w:val="0"/>
                <w:color w:val="FF0000"/>
                <w:kern w:val="2"/>
                <w:sz w:val="21"/>
                <w:szCs w:val="24"/>
              </w:rPr>
            </w:pPr>
            <w:r>
              <w:rPr>
                <w:rFonts w:hint="eastAsia"/>
                <w:b w:val="0"/>
                <w:bCs w:val="0"/>
                <w:color w:val="FF0000"/>
                <w:kern w:val="2"/>
                <w:sz w:val="21"/>
                <w:szCs w:val="24"/>
              </w:rPr>
              <w:t>以上评分项目得分，最高</w:t>
            </w:r>
            <w:r>
              <w:rPr>
                <w:rFonts w:hint="eastAsia"/>
                <w:b w:val="0"/>
                <w:bCs w:val="0"/>
                <w:color w:val="FF0000"/>
                <w:kern w:val="2"/>
                <w:sz w:val="21"/>
                <w:szCs w:val="24"/>
                <w:lang w:val="en-US" w:eastAsia="zh-CN"/>
              </w:rPr>
              <w:t>2</w:t>
            </w:r>
            <w:r>
              <w:rPr>
                <w:rFonts w:hint="eastAsia"/>
                <w:b w:val="0"/>
                <w:bCs w:val="0"/>
                <w:color w:val="FF0000"/>
                <w:kern w:val="2"/>
                <w:sz w:val="21"/>
                <w:szCs w:val="24"/>
              </w:rPr>
              <w:t>分。</w:t>
            </w:r>
          </w:p>
          <w:p>
            <w:pPr>
              <w:rPr>
                <w:b/>
                <w:bCs/>
                <w:color w:val="FF0000"/>
              </w:rPr>
            </w:pPr>
            <w:r>
              <w:rPr>
                <w:rFonts w:hint="eastAsia"/>
                <w:b/>
                <w:bCs/>
                <w:color w:val="FF0000"/>
              </w:rPr>
              <w:t>（二）评分依据：</w:t>
            </w:r>
          </w:p>
          <w:p>
            <w:pPr>
              <w:rPr>
                <w:color w:val="FF0000"/>
              </w:rPr>
            </w:pPr>
            <w:r>
              <w:rPr>
                <w:rFonts w:hint="eastAsia"/>
                <w:color w:val="FF0000"/>
              </w:rPr>
              <w:t>1.要求提供有效的认证证书作为得分依据。</w:t>
            </w:r>
          </w:p>
          <w:p>
            <w:pPr>
              <w:rPr>
                <w:rFonts w:hint="eastAsia" w:ascii="宋体" w:hAnsi="宋体" w:eastAsia="宋体" w:cs="宋体"/>
                <w:color w:val="FF0000"/>
                <w:sz w:val="21"/>
                <w:szCs w:val="21"/>
                <w:lang w:val="en-US" w:eastAsia="zh-CN"/>
              </w:rPr>
            </w:pPr>
            <w:r>
              <w:rPr>
                <w:rFonts w:hint="eastAsia"/>
                <w:color w:val="FF0000"/>
              </w:rPr>
              <w:t>2.以上资料均要求提供扫描件（或官方网站截图），原件备查。评分中出现无证明资料或专家无法凭所提供资料判断是否得分的情况，一律作不得分处理。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color w:val="FF0000"/>
              </w:rPr>
            </w:pPr>
            <w:r>
              <w:rPr>
                <w:rFonts w:hint="eastAsia"/>
                <w:color w:val="FF0000"/>
              </w:rPr>
              <w:t>投标人</w:t>
            </w:r>
          </w:p>
          <w:p>
            <w:pPr>
              <w:autoSpaceDE w:val="0"/>
              <w:autoSpaceDN w:val="0"/>
              <w:adjustRightInd w:val="0"/>
              <w:jc w:val="center"/>
              <w:rPr>
                <w:color w:val="FF0000"/>
              </w:rPr>
            </w:pPr>
            <w:r>
              <w:rPr>
                <w:rFonts w:hint="eastAsia"/>
                <w:color w:val="FF0000"/>
              </w:rPr>
              <w:t>自主知识产权产品</w:t>
            </w:r>
          </w:p>
          <w:p>
            <w:pPr>
              <w:autoSpaceDE w:val="0"/>
              <w:autoSpaceDN w:val="0"/>
              <w:adjustRightInd w:val="0"/>
              <w:jc w:val="center"/>
              <w:rPr>
                <w:color w:val="FF0000"/>
              </w:rPr>
            </w:pPr>
            <w:r>
              <w:rPr>
                <w:rFonts w:hint="eastAsia"/>
                <w:color w:val="FF0000"/>
              </w:rPr>
              <w:t>（创新、设计）</w:t>
            </w:r>
          </w:p>
          <w:p>
            <w:pPr>
              <w:autoSpaceDE w:val="0"/>
              <w:autoSpaceDN w:val="0"/>
              <w:adjustRightInd w:val="0"/>
              <w:jc w:val="center"/>
              <w:rPr>
                <w:rFonts w:hint="eastAsia" w:ascii="宋体" w:hAnsi="宋体"/>
                <w:color w:val="FF0000"/>
                <w:szCs w:val="21"/>
              </w:rPr>
            </w:pPr>
            <w:r>
              <w:rPr>
                <w:rFonts w:hint="eastAsia"/>
                <w:color w:val="FF0000"/>
              </w:rPr>
              <w:t>情况</w:t>
            </w:r>
          </w:p>
        </w:tc>
        <w:tc>
          <w:tcPr>
            <w:tcW w:w="501" w:type="dxa"/>
            <w:noWrap w:val="0"/>
            <w:vAlign w:val="center"/>
          </w:tcPr>
          <w:p>
            <w:pPr>
              <w:spacing w:before="100" w:beforeAutospacing="1" w:after="100" w:afterAutospacing="1" w:line="78" w:lineRule="atLeast"/>
              <w:jc w:val="center"/>
              <w:rPr>
                <w:rFonts w:hint="eastAsia" w:ascii="宋体" w:hAnsi="宋体"/>
                <w:color w:val="FF0000"/>
                <w:kern w:val="0"/>
                <w:sz w:val="21"/>
                <w:szCs w:val="21"/>
                <w:u w:val="none"/>
                <w:lang w:val="en-US" w:eastAsia="zh-CN"/>
              </w:rPr>
            </w:pPr>
            <w:r>
              <w:rPr>
                <w:rFonts w:hint="eastAsia"/>
                <w:color w:val="FF0000"/>
                <w:lang w:val="en-US" w:eastAsia="zh-CN"/>
              </w:rPr>
              <w:t>6</w:t>
            </w:r>
          </w:p>
        </w:tc>
        <w:tc>
          <w:tcPr>
            <w:tcW w:w="6077" w:type="dxa"/>
            <w:noWrap w:val="0"/>
            <w:vAlign w:val="center"/>
          </w:tcPr>
          <w:p>
            <w:pPr>
              <w:rPr>
                <w:b/>
                <w:bCs/>
                <w:color w:val="FF0000"/>
              </w:rPr>
            </w:pPr>
            <w:r>
              <w:rPr>
                <w:rFonts w:hint="eastAsia"/>
                <w:b/>
                <w:bCs/>
                <w:color w:val="FF0000"/>
              </w:rPr>
              <w:t>（一）评分内容：</w:t>
            </w:r>
          </w:p>
          <w:p>
            <w:pPr>
              <w:rPr>
                <w:color w:val="FF0000"/>
                <w:lang w:val="zh-CN"/>
              </w:rPr>
            </w:pPr>
            <w:r>
              <w:rPr>
                <w:rFonts w:hint="eastAsia"/>
                <w:color w:val="FF0000"/>
              </w:rPr>
              <w:t>投标人具有医院信息化相关的计算机软件著作权证书且范围涵盖“互联网护理”关键字，每提供1个得</w:t>
            </w:r>
            <w:r>
              <w:rPr>
                <w:rFonts w:hint="eastAsia"/>
                <w:color w:val="FF0000"/>
                <w:lang w:val="en-US" w:eastAsia="zh-CN"/>
              </w:rPr>
              <w:t>2</w:t>
            </w:r>
            <w:r>
              <w:rPr>
                <w:rFonts w:hint="eastAsia"/>
                <w:color w:val="FF0000"/>
              </w:rPr>
              <w:t xml:space="preserve">分, </w:t>
            </w:r>
            <w:r>
              <w:rPr>
                <w:rFonts w:hint="eastAsia"/>
                <w:color w:val="FF0000"/>
                <w:lang w:val="zh-CN"/>
              </w:rPr>
              <w:t>满分得</w:t>
            </w:r>
            <w:r>
              <w:rPr>
                <w:rFonts w:hint="eastAsia"/>
                <w:color w:val="FF0000"/>
                <w:lang w:val="en-US" w:eastAsia="zh-CN"/>
              </w:rPr>
              <w:t>6</w:t>
            </w:r>
            <w:r>
              <w:rPr>
                <w:rFonts w:hint="eastAsia"/>
                <w:color w:val="FF0000"/>
                <w:lang w:val="zh-CN"/>
              </w:rPr>
              <w:t>分。</w:t>
            </w:r>
          </w:p>
          <w:p>
            <w:pPr>
              <w:rPr>
                <w:b/>
                <w:bCs/>
                <w:color w:val="FF0000"/>
              </w:rPr>
            </w:pPr>
            <w:r>
              <w:rPr>
                <w:rFonts w:hint="eastAsia"/>
                <w:b/>
                <w:bCs/>
                <w:color w:val="FF0000"/>
              </w:rPr>
              <w:t>（二）评分依据：</w:t>
            </w:r>
          </w:p>
          <w:p>
            <w:pPr>
              <w:rPr>
                <w:color w:val="FF0000"/>
              </w:rPr>
            </w:pPr>
            <w:r>
              <w:rPr>
                <w:rFonts w:hint="eastAsia"/>
                <w:color w:val="FF0000"/>
              </w:rPr>
              <w:t>1.要求提供上述有效证书等证明材料作为得分依据。</w:t>
            </w:r>
          </w:p>
          <w:p>
            <w:pPr>
              <w:rPr>
                <w:rFonts w:hint="eastAsia" w:ascii="宋体" w:hAnsi="宋体" w:eastAsia="宋体" w:cs="宋体"/>
                <w:color w:val="FF0000"/>
                <w:sz w:val="21"/>
                <w:szCs w:val="21"/>
                <w:lang w:val="en-US" w:eastAsia="zh-CN"/>
              </w:rPr>
            </w:pPr>
            <w:r>
              <w:rPr>
                <w:rFonts w:hint="eastAsia"/>
                <w:color w:val="FF0000"/>
              </w:rPr>
              <w:t>2.以上资料均要求要求提供扫描件或审查合格通知书，评分中出现无证明资料或专家无法凭所提供资料判断是否得分的情况，一律不得分处理。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宋体"/>
                <w:color w:val="FF0000"/>
                <w:sz w:val="21"/>
                <w:szCs w:val="21"/>
                <w:lang w:val="zh-CN" w:eastAsia="zh-CN"/>
              </w:rPr>
            </w:pPr>
            <w:r>
              <w:rPr>
                <w:rFonts w:hint="eastAsia"/>
                <w:color w:val="FF0000"/>
              </w:rPr>
              <w:t>同类业绩</w:t>
            </w:r>
          </w:p>
        </w:tc>
        <w:tc>
          <w:tcPr>
            <w:tcW w:w="501" w:type="dxa"/>
            <w:noWrap w:val="0"/>
            <w:vAlign w:val="center"/>
          </w:tcPr>
          <w:p>
            <w:pPr>
              <w:spacing w:before="100" w:beforeAutospacing="1" w:after="100" w:afterAutospacing="1" w:line="78" w:lineRule="atLeast"/>
              <w:jc w:val="center"/>
              <w:rPr>
                <w:rFonts w:hint="eastAsia" w:ascii="宋体" w:hAnsi="宋体" w:eastAsia="宋体" w:cs="宋体"/>
                <w:b w:val="0"/>
                <w:bCs w:val="0"/>
                <w:color w:val="FF0000"/>
                <w:kern w:val="2"/>
                <w:sz w:val="21"/>
                <w:szCs w:val="21"/>
                <w:highlight w:val="none"/>
                <w:u w:val="none"/>
                <w:shd w:val="clear" w:color="auto" w:fill="auto"/>
                <w:lang w:val="en-US" w:eastAsia="zh-CN" w:bidi="ar-SA"/>
              </w:rPr>
            </w:pPr>
            <w:r>
              <w:rPr>
                <w:rFonts w:hint="eastAsia"/>
                <w:color w:val="FF0000"/>
                <w:lang w:val="en-US" w:eastAsia="zh-CN"/>
              </w:rPr>
              <w:t>6</w:t>
            </w:r>
          </w:p>
        </w:tc>
        <w:tc>
          <w:tcPr>
            <w:tcW w:w="6077" w:type="dxa"/>
            <w:noWrap w:val="0"/>
            <w:vAlign w:val="center"/>
          </w:tcPr>
          <w:p>
            <w:pPr>
              <w:rPr>
                <w:b/>
                <w:bCs/>
                <w:color w:val="FF0000"/>
                <w:lang w:val="zh-CN"/>
              </w:rPr>
            </w:pPr>
            <w:r>
              <w:rPr>
                <w:rFonts w:hint="eastAsia"/>
                <w:b/>
                <w:bCs/>
                <w:color w:val="FF0000"/>
                <w:lang w:val="zh-CN"/>
              </w:rPr>
              <w:t>（一）评分内容：</w:t>
            </w:r>
          </w:p>
          <w:p>
            <w:pPr>
              <w:rPr>
                <w:color w:val="FF0000"/>
                <w:lang w:val="zh-CN"/>
              </w:rPr>
            </w:pPr>
            <w:r>
              <w:rPr>
                <w:rFonts w:hint="eastAsia"/>
                <w:color w:val="FF0000"/>
                <w:lang w:val="zh-CN"/>
              </w:rPr>
              <w:t>根据投标人提供的为</w:t>
            </w:r>
            <w:r>
              <w:rPr>
                <w:rFonts w:hint="eastAsia"/>
                <w:color w:val="FF0000"/>
                <w:lang w:val="en-US" w:eastAsia="zh-CN"/>
              </w:rPr>
              <w:t>二</w:t>
            </w:r>
            <w:r>
              <w:rPr>
                <w:rFonts w:hint="eastAsia"/>
                <w:color w:val="FF0000"/>
                <w:lang w:val="zh-CN"/>
              </w:rPr>
              <w:t>级</w:t>
            </w:r>
            <w:r>
              <w:rPr>
                <w:rFonts w:hint="eastAsia"/>
                <w:color w:val="FF0000"/>
                <w:lang w:val="en-US" w:eastAsia="zh-CN"/>
              </w:rPr>
              <w:t>及以上</w:t>
            </w:r>
            <w:r>
              <w:rPr>
                <w:rFonts w:hint="eastAsia"/>
                <w:color w:val="FF0000"/>
                <w:lang w:val="zh-CN"/>
              </w:rPr>
              <w:t>医院医疗机构履约（实施、验收合格）完工的“互联网+护理”信息系统平台业绩案例数量评分。</w:t>
            </w:r>
          </w:p>
          <w:p>
            <w:pPr>
              <w:tabs>
                <w:tab w:val="left" w:pos="312"/>
              </w:tabs>
              <w:rPr>
                <w:rFonts w:ascii="宋体" w:hAnsi="宋体"/>
                <w:b/>
                <w:bCs/>
                <w:color w:val="FF0000"/>
              </w:rPr>
            </w:pPr>
            <w:r>
              <w:rPr>
                <w:rFonts w:hint="eastAsia" w:ascii="宋体" w:hAnsi="宋体"/>
                <w:b/>
                <w:bCs/>
                <w:color w:val="FF0000"/>
              </w:rPr>
              <w:t>（二）评分依据：</w:t>
            </w:r>
          </w:p>
          <w:p>
            <w:pPr>
              <w:rPr>
                <w:color w:val="FF0000"/>
                <w:lang w:val="zh-CN"/>
              </w:rPr>
            </w:pPr>
            <w:r>
              <w:rPr>
                <w:rFonts w:hint="eastAsia"/>
                <w:color w:val="FF0000"/>
                <w:lang w:val="zh-CN"/>
              </w:rPr>
              <w:t>投标人每提供一份2021年1月1日至投标截止日期间服务对象是</w:t>
            </w:r>
            <w:r>
              <w:rPr>
                <w:rFonts w:hint="eastAsia"/>
                <w:color w:val="FF0000"/>
                <w:lang w:val="en-US" w:eastAsia="zh-CN"/>
              </w:rPr>
              <w:t>二</w:t>
            </w:r>
            <w:r>
              <w:rPr>
                <w:rFonts w:hint="eastAsia"/>
                <w:color w:val="FF0000"/>
                <w:lang w:val="zh-CN"/>
              </w:rPr>
              <w:t>级</w:t>
            </w:r>
            <w:r>
              <w:rPr>
                <w:rFonts w:hint="eastAsia"/>
                <w:color w:val="FF0000"/>
                <w:lang w:val="en-US" w:eastAsia="zh-CN"/>
              </w:rPr>
              <w:t>及以上</w:t>
            </w:r>
            <w:r>
              <w:rPr>
                <w:rFonts w:hint="eastAsia"/>
                <w:color w:val="FF0000"/>
                <w:lang w:val="zh-CN"/>
              </w:rPr>
              <w:t>医院，并履约（实施、验收合格）完工的“互联网+护理”信息系统医院业绩案例（</w:t>
            </w:r>
            <w:r>
              <w:rPr>
                <w:rFonts w:hint="eastAsia"/>
                <w:color w:val="FF0000"/>
                <w:lang w:val="en-US" w:eastAsia="zh-CN"/>
              </w:rPr>
              <w:t>案例为自建平台</w:t>
            </w:r>
            <w:r>
              <w:rPr>
                <w:rFonts w:hint="eastAsia"/>
                <w:color w:val="FF0000"/>
                <w:lang w:val="zh-CN"/>
              </w:rPr>
              <w:t>），得</w:t>
            </w:r>
            <w:r>
              <w:rPr>
                <w:rFonts w:hint="eastAsia"/>
                <w:color w:val="FF0000"/>
                <w:lang w:val="en-US" w:eastAsia="zh-CN"/>
              </w:rPr>
              <w:t>2</w:t>
            </w:r>
            <w:r>
              <w:rPr>
                <w:rFonts w:hint="eastAsia"/>
                <w:color w:val="FF0000"/>
                <w:lang w:val="zh-CN"/>
              </w:rPr>
              <w:t>分，本项最高可得</w:t>
            </w:r>
            <w:r>
              <w:rPr>
                <w:rFonts w:hint="eastAsia"/>
                <w:color w:val="FF0000"/>
                <w:lang w:val="en-US" w:eastAsia="zh-CN"/>
              </w:rPr>
              <w:t>6</w:t>
            </w:r>
            <w:r>
              <w:rPr>
                <w:rFonts w:hint="eastAsia"/>
                <w:color w:val="FF0000"/>
                <w:lang w:val="zh-CN"/>
              </w:rPr>
              <w:t>分。</w:t>
            </w:r>
          </w:p>
          <w:p>
            <w:pPr>
              <w:rPr>
                <w:color w:val="FF0000"/>
                <w:lang w:val="zh-CN"/>
              </w:rPr>
            </w:pPr>
            <w:r>
              <w:rPr>
                <w:rFonts w:hint="eastAsia"/>
                <w:color w:val="FF0000"/>
                <w:lang w:val="zh-CN"/>
              </w:rPr>
              <w:t>备注：</w:t>
            </w:r>
          </w:p>
          <w:p>
            <w:pPr>
              <w:rPr>
                <w:color w:val="FF0000"/>
                <w:lang w:val="zh-CN"/>
              </w:rPr>
            </w:pPr>
            <w:r>
              <w:rPr>
                <w:rFonts w:hint="eastAsia"/>
                <w:color w:val="FF0000"/>
                <w:lang w:val="zh-CN"/>
              </w:rPr>
              <w:t>1.以上案例需提供加盖公章的合同复印件，原件备査。</w:t>
            </w:r>
          </w:p>
          <w:p>
            <w:pPr>
              <w:rPr>
                <w:color w:val="FF0000"/>
                <w:lang w:val="zh-CN"/>
              </w:rPr>
            </w:pPr>
            <w:r>
              <w:rPr>
                <w:rFonts w:hint="eastAsia"/>
                <w:color w:val="FF0000"/>
                <w:lang w:val="zh-CN"/>
              </w:rPr>
              <w:t>2.合同复印件至少应涵盖合同首尾页、包含货物或服务内容、服务时间等关键内容，否则不得分。</w:t>
            </w:r>
          </w:p>
          <w:p>
            <w:pPr>
              <w:rPr>
                <w:color w:val="FF0000"/>
                <w:lang w:val="zh-CN"/>
              </w:rPr>
            </w:pPr>
            <w:r>
              <w:rPr>
                <w:rFonts w:hint="eastAsia"/>
                <w:color w:val="FF0000"/>
                <w:lang w:val="zh-CN"/>
              </w:rPr>
              <w:t>4.需提供加盖投标人公章的医院验收合格证明材料。原件备查。</w:t>
            </w:r>
          </w:p>
          <w:p>
            <w:pPr>
              <w:rPr>
                <w:rFonts w:hint="eastAsia"/>
                <w:color w:val="FF0000"/>
                <w:lang w:val="zh-CN"/>
              </w:rPr>
            </w:pPr>
            <w:r>
              <w:rPr>
                <w:rFonts w:hint="eastAsia"/>
                <w:color w:val="FF0000"/>
                <w:lang w:val="zh-CN"/>
              </w:rPr>
              <w:t>5.投标人提供的业绩案例必须是以实体医疗机构为主导的软件项目建设方式，投标人提供的业绩案例是第三方提供信息系统平台，医疗机构平台入驻、合作分成性质的不得分。</w:t>
            </w:r>
          </w:p>
          <w:p>
            <w:pPr>
              <w:rPr>
                <w:color w:val="FF0000"/>
                <w:lang w:val="zh-CN"/>
              </w:rPr>
            </w:pPr>
            <w:r>
              <w:rPr>
                <w:rFonts w:hint="eastAsia"/>
                <w:color w:val="FF0000"/>
                <w:lang w:val="zh-CN"/>
              </w:rPr>
              <w:t>5.时间认定以合同签约时间为准，如无签约时间的，按合同中约定的供货时间等相关时点认定。存在多个时点的，按照孰晚原则确定。同一签约对手在不同时间服务对象是同一个医院相同系统的业绩只计算一次。</w:t>
            </w:r>
          </w:p>
          <w:p>
            <w:pPr>
              <w:rPr>
                <w:rFonts w:hint="eastAsia" w:ascii="宋体" w:hAnsi="宋体" w:eastAsia="宋体" w:cs="宋体"/>
                <w:color w:val="FF0000"/>
                <w:sz w:val="21"/>
                <w:szCs w:val="21"/>
                <w:lang w:val="zh-CN"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b/>
                <w:bCs/>
                <w:color w:val="FF0000"/>
                <w:sz w:val="21"/>
                <w:szCs w:val="21"/>
                <w:lang w:val="zh-CN"/>
              </w:rPr>
            </w:pPr>
            <w:r>
              <w:rPr>
                <w:rFonts w:hint="eastAsia" w:ascii="宋体" w:hAnsi="宋体" w:eastAsia="宋体" w:cs="宋体"/>
                <w:b/>
                <w:bCs/>
                <w:color w:val="FF0000"/>
                <w:sz w:val="21"/>
                <w:szCs w:val="21"/>
                <w:lang w:val="zh-CN"/>
              </w:rPr>
              <w:t>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投标人参与政府采购活动在诚信管理中受过主管部门通报处理且仍在实施期限内的本项不得分，否则得5分。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b/>
                <w:bCs/>
                <w:color w:val="FF0000"/>
                <w:sz w:val="21"/>
                <w:szCs w:val="21"/>
                <w:lang w:val="en-US" w:eastAsia="zh-CN"/>
              </w:rPr>
              <w:t>评分依据：</w:t>
            </w:r>
            <w:r>
              <w:rPr>
                <w:rFonts w:hint="eastAsia" w:ascii="宋体" w:hAnsi="宋体" w:eastAsia="宋体" w:cs="宋体"/>
                <w:color w:val="FF0000"/>
                <w:kern w:val="2"/>
                <w:sz w:val="21"/>
                <w:szCs w:val="21"/>
                <w:lang w:val="en-US" w:eastAsia="zh-CN" w:bidi="ar-SA"/>
              </w:rPr>
              <w:t>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4"/>
        <w:rPr>
          <w:rFonts w:hint="eastAsia" w:ascii="宋体" w:hAnsi="宋体" w:eastAsia="宋体" w:cs="Times New Roman"/>
          <w:b/>
          <w:bCs/>
          <w:color w:val="FF0000"/>
          <w:sz w:val="32"/>
          <w:szCs w:val="32"/>
          <w:lang w:val="en-US" w:eastAsia="zh-CN"/>
        </w:rPr>
      </w:pPr>
    </w:p>
    <w:p>
      <w:pPr>
        <w:pStyle w:val="24"/>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w:t>
      </w:r>
      <w:r>
        <w:rPr>
          <w:rFonts w:hint="eastAsia" w:ascii="宋体" w:hAnsi="宋体" w:cs="Times New Roman"/>
          <w:b/>
          <w:bCs/>
          <w:color w:val="auto"/>
          <w:szCs w:val="21"/>
          <w:highlight w:val="none"/>
          <w:lang w:val="en-US" w:eastAsia="zh-CN"/>
        </w:rPr>
        <w:t>服务要求</w:t>
      </w:r>
      <w:r>
        <w:rPr>
          <w:rFonts w:hint="eastAsia" w:ascii="宋体" w:hAnsi="宋体" w:eastAsia="宋体" w:cs="Times New Roman"/>
          <w:b/>
          <w:bCs/>
          <w:color w:val="auto"/>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auto"/>
          <w:kern w:val="0"/>
          <w:sz w:val="21"/>
          <w:szCs w:val="21"/>
          <w:lang w:val="en-US" w:eastAsia="zh-CN" w:bidi="ar-SA"/>
        </w:rPr>
      </w:pPr>
    </w:p>
    <w:p>
      <w:pPr>
        <w:numPr>
          <w:ilvl w:val="0"/>
          <w:numId w:val="5"/>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w:t>
      </w:r>
      <w:r>
        <w:rPr>
          <w:rFonts w:hint="eastAsia" w:ascii="宋体" w:hAnsi="宋体" w:cs="宋体"/>
          <w:bCs/>
          <w:color w:val="auto"/>
          <w:kern w:val="0"/>
          <w:sz w:val="21"/>
          <w:szCs w:val="21"/>
          <w:lang w:val="en-US" w:eastAsia="zh-CN"/>
        </w:rPr>
        <w:t>预算/</w:t>
      </w:r>
      <w:r>
        <w:rPr>
          <w:rFonts w:hint="eastAsia" w:ascii="宋体" w:hAnsi="宋体" w:eastAsia="宋体" w:cs="宋体"/>
          <w:bCs/>
          <w:color w:val="auto"/>
          <w:kern w:val="0"/>
          <w:sz w:val="21"/>
          <w:szCs w:val="21"/>
          <w:lang w:val="en-US" w:eastAsia="zh-CN"/>
        </w:rPr>
        <w:t>最高限价</w:t>
      </w:r>
      <w:r>
        <w:rPr>
          <w:rFonts w:hint="eastAsia" w:ascii="宋体" w:hAnsi="宋体" w:cs="宋体"/>
          <w:bCs/>
          <w:color w:val="auto"/>
          <w:kern w:val="0"/>
          <w:sz w:val="21"/>
          <w:szCs w:val="21"/>
          <w:lang w:val="en-US" w:eastAsia="zh-CN"/>
        </w:rPr>
        <w:t>（支付上限）</w:t>
      </w:r>
      <w:r>
        <w:rPr>
          <w:rFonts w:hint="eastAsia" w:ascii="宋体" w:hAnsi="宋体" w:eastAsia="宋体" w:cs="宋体"/>
          <w:bCs/>
          <w:color w:val="auto"/>
          <w:kern w:val="0"/>
          <w:sz w:val="21"/>
          <w:szCs w:val="21"/>
          <w:lang w:val="en-US" w:eastAsia="zh-CN"/>
        </w:rPr>
        <w:t>将导致</w:t>
      </w:r>
      <w:r>
        <w:rPr>
          <w:rFonts w:hint="eastAsia" w:ascii="宋体" w:hAnsi="宋体" w:cs="宋体"/>
          <w:bCs/>
          <w:color w:val="auto"/>
          <w:kern w:val="0"/>
          <w:sz w:val="21"/>
          <w:szCs w:val="21"/>
          <w:lang w:val="en-US" w:eastAsia="zh-CN"/>
        </w:rPr>
        <w:t>投标无效</w:t>
      </w:r>
      <w:r>
        <w:rPr>
          <w:rFonts w:hint="eastAsia" w:ascii="宋体" w:hAnsi="宋体" w:eastAsia="宋体" w:cs="Times New Roman"/>
          <w:b/>
          <w:bCs/>
          <w:color w:val="auto"/>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18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
                <w:bCs/>
                <w:color w:val="auto"/>
                <w:sz w:val="21"/>
                <w:szCs w:val="21"/>
                <w:lang w:val="en-US" w:eastAsia="zh-CN"/>
              </w:rPr>
              <w:t>序号</w:t>
            </w:r>
          </w:p>
        </w:tc>
        <w:tc>
          <w:tcPr>
            <w:tcW w:w="418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
                <w:bCs/>
                <w:color w:val="auto"/>
                <w:sz w:val="21"/>
                <w:szCs w:val="21"/>
                <w:lang w:val="en-US" w:eastAsia="zh-CN"/>
              </w:rPr>
              <w:t>项目名称</w:t>
            </w:r>
          </w:p>
        </w:tc>
        <w:tc>
          <w:tcPr>
            <w:tcW w:w="310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
                <w:bCs/>
                <w:color w:val="auto"/>
                <w:sz w:val="21"/>
                <w:szCs w:val="21"/>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418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“互联网+护理”信息系统及可视化平台</w:t>
            </w:r>
          </w:p>
        </w:tc>
        <w:tc>
          <w:tcPr>
            <w:tcW w:w="31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320000</w:t>
            </w:r>
          </w:p>
        </w:tc>
      </w:tr>
    </w:tbl>
    <w:p>
      <w:pPr>
        <w:numPr>
          <w:ilvl w:val="0"/>
          <w:numId w:val="0"/>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二、项目概况</w:t>
      </w:r>
    </w:p>
    <w:p>
      <w:pPr>
        <w:numPr>
          <w:ilvl w:val="0"/>
          <w:numId w:val="0"/>
        </w:numPr>
        <w:ind w:leftChars="0"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为贯彻落实国家卫生健康委办发布的《关于开展“互联网+护理服务”试点工作的通知》、广东省卫生健康委发布《关于进一步推进“互联网+护理服务”试点工作的通知》、国家及广东省关于推进公立医院高质量发展的意见，充分利用信息化手段，搭建平台，构建以本院为主体的“互联网+医院-社区-家庭护理”服务模式，拓展护理服务外延及创新服务模式，为有需要的群众提供居家护理、居家康复、慢病管理、健康教育、安宁疗护等服务，不断满足人民群众多样化、多层次的健康服务需求。</w:t>
      </w:r>
    </w:p>
    <w:p>
      <w:pPr>
        <w:numPr>
          <w:ilvl w:val="0"/>
          <w:numId w:val="0"/>
        </w:numPr>
        <w:ind w:leftChars="0"/>
        <w:rPr>
          <w:rFonts w:hint="eastAsia" w:ascii="宋体" w:hAnsi="宋体"/>
          <w:b/>
          <w:bCs/>
          <w:color w:val="auto"/>
          <w:szCs w:val="21"/>
          <w:lang w:eastAsia="zh-CN"/>
        </w:rPr>
      </w:pPr>
      <w:r>
        <w:rPr>
          <w:rFonts w:hint="eastAsia" w:ascii="宋体" w:hAnsi="宋体"/>
          <w:b/>
          <w:bCs/>
          <w:color w:val="auto"/>
          <w:szCs w:val="21"/>
          <w:lang w:eastAsia="zh-CN"/>
        </w:rPr>
        <w:t>三、项目类型</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一次性服务</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四、投标人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auto"/>
          <w:kern w:val="0"/>
          <w:sz w:val="21"/>
          <w:szCs w:val="21"/>
          <w:vertAlign w:val="baseline"/>
          <w:lang w:val="en-US" w:eastAsia="zh-CN"/>
        </w:rPr>
      </w:pPr>
      <w:r>
        <w:rPr>
          <w:rFonts w:hint="eastAsia" w:ascii="宋体" w:hAnsi="宋体" w:eastAsia="宋体" w:cs="宋体"/>
          <w:bCs/>
          <w:color w:val="auto"/>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证明材料</w:t>
      </w:r>
      <w:r>
        <w:rPr>
          <w:rFonts w:hint="eastAsia" w:ascii="宋体" w:hAnsi="宋体" w:cs="宋体"/>
          <w:bCs/>
          <w:color w:val="auto"/>
          <w:kern w:val="0"/>
          <w:sz w:val="21"/>
          <w:szCs w:val="21"/>
          <w:lang w:val="en-US" w:eastAsia="zh-CN"/>
        </w:rPr>
        <w:t>（查询时间须在采购公告之日起至投标截止日前）</w:t>
      </w:r>
      <w:r>
        <w:rPr>
          <w:rFonts w:hint="eastAsia" w:ascii="宋体" w:hAnsi="宋体" w:eastAsia="宋体" w:cs="宋体"/>
          <w:bCs/>
          <w:color w:val="auto"/>
          <w:kern w:val="0"/>
          <w:sz w:val="21"/>
          <w:szCs w:val="21"/>
          <w:lang w:val="en-US" w:eastAsia="zh-CN"/>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ascii="宋体" w:hAnsi="宋体" w:eastAsia="宋体" w:cs="宋体"/>
          <w:bCs/>
          <w:color w:val="auto"/>
          <w:kern w:val="0"/>
          <w:sz w:val="21"/>
          <w:szCs w:val="21"/>
          <w:lang w:val="en-US" w:eastAsia="zh-CN"/>
        </w:rPr>
      </w:pPr>
      <w:r>
        <w:rPr>
          <w:rFonts w:hint="eastAsia" w:ascii="宋体" w:hAnsi="宋体" w:cs="Times New Roman"/>
          <w:b/>
          <w:bCs/>
          <w:color w:val="auto"/>
          <w:szCs w:val="21"/>
          <w:highlight w:val="none"/>
          <w:lang w:val="en-US" w:eastAsia="zh-CN"/>
        </w:rPr>
        <w:t>五</w:t>
      </w:r>
      <w:r>
        <w:rPr>
          <w:rFonts w:hint="eastAsia" w:ascii="宋体" w:hAnsi="宋体" w:eastAsia="宋体" w:cs="Times New Roman"/>
          <w:b/>
          <w:bCs/>
          <w:color w:val="auto"/>
          <w:szCs w:val="21"/>
          <w:highlight w:val="none"/>
          <w:lang w:val="en-US" w:eastAsia="zh-CN"/>
        </w:rPr>
        <w:t>、</w:t>
      </w:r>
      <w:r>
        <w:rPr>
          <w:rFonts w:hint="eastAsia" w:ascii="宋体" w:hAnsi="宋体" w:cs="Times New Roman"/>
          <w:b/>
          <w:bCs/>
          <w:color w:val="auto"/>
          <w:szCs w:val="21"/>
          <w:highlight w:val="none"/>
          <w:lang w:val="en-US" w:eastAsia="zh-CN"/>
        </w:rPr>
        <w:t>服务要求</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8"/>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vertAlign w:val="baseline"/>
                <w:lang w:val="en-US" w:eastAsia="zh-CN"/>
              </w:rPr>
            </w:pPr>
            <w:r>
              <w:rPr>
                <w:rFonts w:hint="eastAsia" w:ascii="宋体" w:hAnsi="宋体" w:eastAsia="宋体" w:cs="Times New Roman"/>
                <w:b/>
                <w:color w:val="auto"/>
                <w:kern w:val="0"/>
                <w:sz w:val="21"/>
                <w:szCs w:val="21"/>
                <w:lang w:eastAsia="zh-CN"/>
              </w:rPr>
              <w:t>内容</w:t>
            </w:r>
          </w:p>
        </w:tc>
        <w:tc>
          <w:tcPr>
            <w:tcW w:w="8605" w:type="dxa"/>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vertAlign w:val="baseline"/>
                <w:lang w:val="en-US" w:eastAsia="zh-CN"/>
              </w:rPr>
            </w:pPr>
            <w:r>
              <w:rPr>
                <w:rFonts w:hint="eastAsia" w:ascii="宋体" w:hAnsi="宋体" w:eastAsia="宋体" w:cs="Times New Roman"/>
                <w:b/>
                <w:color w:val="auto"/>
                <w:kern w:val="0"/>
                <w:sz w:val="21"/>
                <w:szCs w:val="21"/>
                <w:lang w:eastAsia="zh-CN"/>
              </w:rPr>
              <w:t>招标</w:t>
            </w:r>
            <w:r>
              <w:rPr>
                <w:rFonts w:hint="eastAsia" w:ascii="宋体" w:hAnsi="宋体" w:cs="Times New Roman"/>
                <w:b/>
                <w:color w:val="auto"/>
                <w:kern w:val="0"/>
                <w:sz w:val="21"/>
                <w:szCs w:val="21"/>
                <w:lang w:eastAsia="zh-CN"/>
              </w:rPr>
              <w:t>服务</w:t>
            </w:r>
            <w:r>
              <w:rPr>
                <w:rFonts w:hint="eastAsia" w:ascii="宋体" w:hAnsi="宋体" w:eastAsia="宋体" w:cs="Times New Roman"/>
                <w:b/>
                <w:color w:val="auto"/>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numPr>
                <w:ilvl w:val="0"/>
                <w:numId w:val="0"/>
              </w:numPr>
              <w:rPr>
                <w:rFonts w:hint="eastAsia" w:ascii="宋体" w:hAnsi="宋体" w:eastAsia="宋体" w:cs="Times New Roman"/>
                <w:b/>
                <w:color w:val="auto"/>
                <w:kern w:val="0"/>
                <w:sz w:val="21"/>
                <w:szCs w:val="21"/>
                <w:lang w:val="en-US" w:eastAsia="zh-CN"/>
              </w:rPr>
            </w:pPr>
          </w:p>
          <w:p>
            <w:pPr>
              <w:numPr>
                <w:ilvl w:val="0"/>
                <w:numId w:val="0"/>
              </w:numPr>
              <w:rPr>
                <w:rFonts w:hint="eastAsia" w:ascii="宋体" w:hAnsi="宋体" w:eastAsia="宋体" w:cs="Times New Roman"/>
                <w:b/>
                <w:color w:val="auto"/>
                <w:kern w:val="0"/>
                <w:sz w:val="21"/>
                <w:szCs w:val="21"/>
                <w:lang w:val="en-US" w:eastAsia="zh-CN"/>
              </w:rPr>
            </w:pPr>
          </w:p>
          <w:p>
            <w:pPr>
              <w:numPr>
                <w:ilvl w:val="0"/>
                <w:numId w:val="0"/>
              </w:numPr>
              <w:jc w:val="left"/>
              <w:rPr>
                <w:rFonts w:hint="eastAsia" w:ascii="宋体" w:hAnsi="宋体" w:eastAsia="宋体" w:cs="宋体"/>
                <w:bCs/>
                <w:color w:val="auto"/>
                <w:kern w:val="0"/>
                <w:sz w:val="21"/>
                <w:szCs w:val="21"/>
                <w:vertAlign w:val="baseline"/>
                <w:lang w:val="en-US" w:eastAsia="zh-CN"/>
              </w:rPr>
            </w:pPr>
            <w:r>
              <w:rPr>
                <w:rFonts w:hint="eastAsia" w:ascii="宋体" w:hAnsi="宋体" w:eastAsia="宋体" w:cs="Times New Roman"/>
                <w:b/>
                <w:color w:val="auto"/>
                <w:kern w:val="0"/>
                <w:sz w:val="21"/>
                <w:szCs w:val="21"/>
                <w:lang w:val="en-US" w:eastAsia="zh-CN"/>
              </w:rPr>
              <w:t>服务</w:t>
            </w:r>
            <w:r>
              <w:rPr>
                <w:rFonts w:hint="eastAsia" w:ascii="宋体" w:hAnsi="宋体" w:eastAsia="宋体" w:cs="Times New Roman"/>
                <w:b/>
                <w:color w:val="auto"/>
                <w:kern w:val="0"/>
                <w:sz w:val="21"/>
                <w:szCs w:val="21"/>
                <w:lang w:eastAsia="zh-CN"/>
              </w:rPr>
              <w:t>要求</w:t>
            </w:r>
          </w:p>
        </w:tc>
        <w:tc>
          <w:tcPr>
            <w:tcW w:w="8605" w:type="dxa"/>
          </w:tcPr>
          <w:tbl>
            <w:tblPr>
              <w:tblStyle w:val="17"/>
              <w:tblW w:w="83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2"/>
              <w:gridCol w:w="1298"/>
              <w:gridCol w:w="64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7" w:hRule="atLeast"/>
                <w:jc w:val="center"/>
              </w:trPr>
              <w:tc>
                <w:tcPr>
                  <w:tcW w:w="692" w:type="dxa"/>
                  <w:noWrap w:val="0"/>
                  <w:vAlign w:val="center"/>
                </w:tcPr>
                <w:p>
                  <w:pPr>
                    <w:tabs>
                      <w:tab w:val="left" w:pos="420"/>
                      <w:tab w:val="left" w:pos="540"/>
                    </w:tabs>
                    <w:adjustRightInd w:val="0"/>
                    <w:snapToGrid w:val="0"/>
                    <w:spacing w:before="240" w:after="240" w:line="360" w:lineRule="auto"/>
                    <w:jc w:val="center"/>
                    <w:rPr>
                      <w:rFonts w:ascii="宋体" w:eastAsia="宋体" w:cs="宋体"/>
                      <w:b/>
                      <w:bCs/>
                      <w:color w:val="auto"/>
                      <w:sz w:val="22"/>
                      <w:szCs w:val="24"/>
                    </w:rPr>
                  </w:pPr>
                  <w:r>
                    <w:rPr>
                      <w:rFonts w:hint="eastAsia" w:ascii="宋体" w:eastAsia="宋体" w:cs="宋体"/>
                      <w:b/>
                      <w:bCs/>
                      <w:color w:val="auto"/>
                      <w:sz w:val="22"/>
                      <w:szCs w:val="24"/>
                    </w:rPr>
                    <w:t>序号</w:t>
                  </w:r>
                </w:p>
              </w:tc>
              <w:tc>
                <w:tcPr>
                  <w:tcW w:w="1298" w:type="dxa"/>
                  <w:noWrap w:val="0"/>
                  <w:vAlign w:val="center"/>
                </w:tcPr>
                <w:p>
                  <w:pPr>
                    <w:tabs>
                      <w:tab w:val="left" w:pos="420"/>
                      <w:tab w:val="left" w:pos="540"/>
                    </w:tabs>
                    <w:adjustRightInd w:val="0"/>
                    <w:snapToGrid w:val="0"/>
                    <w:spacing w:before="240" w:after="240" w:line="360" w:lineRule="auto"/>
                    <w:jc w:val="center"/>
                    <w:rPr>
                      <w:rFonts w:ascii="宋体" w:eastAsia="宋体" w:cs="宋体"/>
                      <w:b/>
                      <w:bCs/>
                      <w:color w:val="auto"/>
                      <w:sz w:val="22"/>
                      <w:szCs w:val="24"/>
                    </w:rPr>
                  </w:pPr>
                  <w:r>
                    <w:rPr>
                      <w:rFonts w:hint="eastAsia" w:ascii="宋体" w:eastAsia="宋体" w:cs="宋体"/>
                      <w:b/>
                      <w:bCs/>
                      <w:color w:val="auto"/>
                      <w:sz w:val="22"/>
                      <w:szCs w:val="24"/>
                    </w:rPr>
                    <w:t>功能名称</w:t>
                  </w:r>
                </w:p>
              </w:tc>
              <w:tc>
                <w:tcPr>
                  <w:tcW w:w="6409" w:type="dxa"/>
                  <w:noWrap w:val="0"/>
                  <w:vAlign w:val="center"/>
                </w:tcPr>
                <w:p>
                  <w:pPr>
                    <w:tabs>
                      <w:tab w:val="left" w:pos="420"/>
                      <w:tab w:val="left" w:pos="540"/>
                    </w:tabs>
                    <w:adjustRightInd w:val="0"/>
                    <w:snapToGrid w:val="0"/>
                    <w:spacing w:before="240" w:after="240" w:line="360" w:lineRule="auto"/>
                    <w:jc w:val="center"/>
                    <w:rPr>
                      <w:rFonts w:ascii="宋体" w:eastAsia="宋体" w:cs="宋体"/>
                      <w:b/>
                      <w:bCs/>
                      <w:color w:val="auto"/>
                      <w:sz w:val="22"/>
                      <w:szCs w:val="24"/>
                    </w:rPr>
                  </w:pPr>
                  <w:r>
                    <w:rPr>
                      <w:rFonts w:hint="eastAsia" w:ascii="宋体" w:eastAsia="宋体" w:cs="宋体"/>
                      <w:b/>
                      <w:bCs/>
                      <w:color w:val="auto"/>
                      <w:sz w:val="22"/>
                      <w:szCs w:val="24"/>
                    </w:rPr>
                    <w:t>功能描述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5" w:hRule="atLeast"/>
                <w:jc w:val="center"/>
              </w:trPr>
              <w:tc>
                <w:tcPr>
                  <w:tcW w:w="692" w:type="dxa"/>
                  <w:noWrap w:val="0"/>
                  <w:vAlign w:val="center"/>
                </w:tcPr>
                <w:p>
                  <w:pPr>
                    <w:widowControl/>
                    <w:jc w:val="center"/>
                    <w:rPr>
                      <w:rFonts w:ascii="宋体" w:eastAsia="宋体"/>
                      <w:color w:val="auto"/>
                      <w:kern w:val="0"/>
                      <w:sz w:val="21"/>
                      <w:szCs w:val="21"/>
                    </w:rPr>
                  </w:pPr>
                  <w:r>
                    <w:rPr>
                      <w:rFonts w:hint="eastAsia" w:ascii="宋体" w:eastAsia="宋体"/>
                      <w:color w:val="auto"/>
                      <w:kern w:val="0"/>
                      <w:sz w:val="21"/>
                      <w:szCs w:val="21"/>
                    </w:rPr>
                    <w:t>1</w:t>
                  </w:r>
                </w:p>
              </w:tc>
              <w:tc>
                <w:tcPr>
                  <w:tcW w:w="1298" w:type="dxa"/>
                  <w:noWrap w:val="0"/>
                  <w:vAlign w:val="center"/>
                </w:tcPr>
                <w:p>
                  <w:pPr>
                    <w:widowControl/>
                    <w:jc w:val="center"/>
                    <w:rPr>
                      <w:rFonts w:ascii="宋体" w:eastAsia="宋体"/>
                      <w:color w:val="auto"/>
                      <w:kern w:val="0"/>
                      <w:sz w:val="21"/>
                      <w:szCs w:val="21"/>
                    </w:rPr>
                  </w:pPr>
                  <w:r>
                    <w:rPr>
                      <w:rFonts w:hint="eastAsia" w:ascii="宋体" w:eastAsia="宋体"/>
                      <w:color w:val="auto"/>
                      <w:sz w:val="21"/>
                      <w:szCs w:val="21"/>
                    </w:rPr>
                    <w:t>总体要求</w:t>
                  </w:r>
                </w:p>
              </w:tc>
              <w:tc>
                <w:tcPr>
                  <w:tcW w:w="6409" w:type="dxa"/>
                  <w:noWrap w:val="0"/>
                  <w:vAlign w:val="center"/>
                </w:tcPr>
                <w:p>
                  <w:pPr>
                    <w:spacing w:line="360" w:lineRule="exact"/>
                    <w:rPr>
                      <w:rFonts w:ascii="Calibri" w:hAnsi="Calibri" w:eastAsia="宋体"/>
                      <w:color w:val="auto"/>
                      <w:sz w:val="21"/>
                      <w:szCs w:val="22"/>
                    </w:rPr>
                  </w:pPr>
                  <w:r>
                    <w:rPr>
                      <w:rFonts w:hint="eastAsia" w:ascii="宋体" w:eastAsia="宋体" w:cs="宋体"/>
                      <w:color w:val="auto"/>
                      <w:sz w:val="21"/>
                      <w:szCs w:val="22"/>
                    </w:rPr>
                    <w:t>▲</w:t>
                  </w:r>
                  <w:r>
                    <w:rPr>
                      <w:rFonts w:hint="eastAsia" w:ascii="Calibri" w:hAnsi="Calibri" w:eastAsia="宋体"/>
                      <w:color w:val="auto"/>
                      <w:sz w:val="21"/>
                      <w:szCs w:val="22"/>
                    </w:rPr>
                    <w:t>1.1提供患者端（微信小程序）、护士端（微信小程序）、管理端（PC WEB）三端系统，实现“线上申请、线下服务”。并通过互联网连接出院患者，可实现患者咨询、在线下单、审核派单、服务评价、工作量等功能</w:t>
                  </w:r>
                  <w:r>
                    <w:rPr>
                      <w:rFonts w:hint="eastAsia" w:ascii="Calibri" w:hAnsi="Calibri" w:eastAsia="宋体"/>
                      <w:color w:val="auto"/>
                      <w:sz w:val="21"/>
                      <w:szCs w:val="22"/>
                      <w:lang w:eastAsia="zh-CN"/>
                    </w:rPr>
                    <w:t>；</w:t>
                  </w:r>
                  <w:r>
                    <w:rPr>
                      <w:rFonts w:hint="eastAsia" w:ascii="Calibri" w:hAnsi="Calibri" w:eastAsia="宋体"/>
                      <w:color w:val="auto"/>
                      <w:sz w:val="21"/>
                      <w:szCs w:val="22"/>
                      <w:lang w:val="en-US" w:eastAsia="zh-CN"/>
                    </w:rPr>
                    <w:t>提供可视化大屏系统支持实时显示护士所在位置等功能</w:t>
                  </w:r>
                  <w:r>
                    <w:rPr>
                      <w:rFonts w:hint="eastAsia" w:ascii="Calibri" w:hAnsi="Calibri" w:eastAsia="宋体"/>
                      <w:color w:val="auto"/>
                      <w:sz w:val="21"/>
                      <w:szCs w:val="22"/>
                    </w:rPr>
                    <w:t>。</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restart"/>
                  <w:noWrap w:val="0"/>
                  <w:vAlign w:val="center"/>
                </w:tcPr>
                <w:p>
                  <w:pPr>
                    <w:widowControl/>
                    <w:jc w:val="center"/>
                    <w:rPr>
                      <w:rFonts w:ascii="宋体" w:eastAsia="宋体"/>
                      <w:color w:val="auto"/>
                      <w:kern w:val="0"/>
                      <w:sz w:val="21"/>
                      <w:szCs w:val="21"/>
                    </w:rPr>
                  </w:pPr>
                  <w:r>
                    <w:rPr>
                      <w:rFonts w:hint="eastAsia" w:ascii="宋体" w:eastAsia="宋体"/>
                      <w:color w:val="auto"/>
                      <w:kern w:val="0"/>
                      <w:sz w:val="21"/>
                      <w:szCs w:val="21"/>
                    </w:rPr>
                    <w:t>2</w:t>
                  </w:r>
                </w:p>
              </w:tc>
              <w:tc>
                <w:tcPr>
                  <w:tcW w:w="1298" w:type="dxa"/>
                  <w:vMerge w:val="restart"/>
                  <w:noWrap w:val="0"/>
                  <w:vAlign w:val="center"/>
                </w:tcPr>
                <w:p>
                  <w:pPr>
                    <w:jc w:val="center"/>
                    <w:rPr>
                      <w:rFonts w:ascii="宋体" w:eastAsia="宋体"/>
                      <w:color w:val="auto"/>
                      <w:sz w:val="21"/>
                      <w:szCs w:val="21"/>
                    </w:rPr>
                  </w:pPr>
                  <w:r>
                    <w:rPr>
                      <w:rFonts w:hint="eastAsia" w:ascii="宋体" w:eastAsia="宋体"/>
                      <w:color w:val="auto"/>
                      <w:sz w:val="21"/>
                      <w:szCs w:val="21"/>
                    </w:rPr>
                    <w:t>“互联网+护理”</w:t>
                  </w:r>
                </w:p>
                <w:p>
                  <w:pPr>
                    <w:jc w:val="center"/>
                    <w:rPr>
                      <w:rFonts w:ascii="宋体" w:eastAsia="宋体"/>
                      <w:color w:val="auto"/>
                      <w:sz w:val="21"/>
                      <w:szCs w:val="21"/>
                    </w:rPr>
                  </w:pPr>
                  <w:r>
                    <w:rPr>
                      <w:rFonts w:hint="eastAsia" w:ascii="宋体" w:eastAsia="宋体"/>
                      <w:color w:val="auto"/>
                      <w:sz w:val="21"/>
                      <w:szCs w:val="21"/>
                    </w:rPr>
                    <w:t>信息系统平台</w:t>
                  </w:r>
                </w:p>
                <w:p>
                  <w:pPr>
                    <w:jc w:val="center"/>
                    <w:rPr>
                      <w:rFonts w:ascii="宋体" w:eastAsia="宋体"/>
                      <w:color w:val="auto"/>
                      <w:sz w:val="21"/>
                      <w:szCs w:val="21"/>
                    </w:rPr>
                  </w:pPr>
                  <w:r>
                    <w:rPr>
                      <w:rFonts w:hint="eastAsia" w:ascii="宋体" w:eastAsia="宋体"/>
                      <w:color w:val="auto"/>
                      <w:sz w:val="21"/>
                      <w:szCs w:val="21"/>
                    </w:rPr>
                    <w:t>--</w:t>
                  </w:r>
                </w:p>
                <w:p>
                  <w:pPr>
                    <w:jc w:val="center"/>
                    <w:rPr>
                      <w:rFonts w:ascii="宋体" w:eastAsia="宋体"/>
                      <w:color w:val="auto"/>
                      <w:sz w:val="21"/>
                      <w:szCs w:val="21"/>
                    </w:rPr>
                  </w:pPr>
                  <w:r>
                    <w:rPr>
                      <w:rFonts w:hint="eastAsia" w:ascii="宋体" w:eastAsia="宋体"/>
                      <w:color w:val="auto"/>
                      <w:sz w:val="21"/>
                      <w:szCs w:val="21"/>
                    </w:rPr>
                    <w:t>患者端</w:t>
                  </w:r>
                </w:p>
                <w:p>
                  <w:pPr>
                    <w:jc w:val="center"/>
                    <w:rPr>
                      <w:rFonts w:ascii="宋体" w:eastAsia="宋体"/>
                      <w:color w:val="auto"/>
                      <w:sz w:val="21"/>
                      <w:szCs w:val="21"/>
                    </w:rPr>
                  </w:pPr>
                  <w:r>
                    <w:rPr>
                      <w:rFonts w:hint="eastAsia" w:ascii="宋体" w:eastAsia="宋体"/>
                      <w:color w:val="auto"/>
                      <w:sz w:val="21"/>
                      <w:szCs w:val="21"/>
                    </w:rPr>
                    <w:t>（微信小程序）</w:t>
                  </w:r>
                </w:p>
                <w:p>
                  <w:pPr>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sz w:val="21"/>
                      <w:szCs w:val="21"/>
                    </w:rPr>
                  </w:pPr>
                  <w:r>
                    <w:rPr>
                      <w:rFonts w:hint="eastAsia" w:ascii="宋体" w:eastAsia="宋体" w:cs="宋体"/>
                      <w:color w:val="auto"/>
                      <w:sz w:val="21"/>
                      <w:szCs w:val="22"/>
                    </w:rPr>
                    <w:t>▲</w:t>
                  </w:r>
                  <w:r>
                    <w:rPr>
                      <w:rFonts w:hint="eastAsia" w:ascii="宋体" w:eastAsia="宋体"/>
                      <w:color w:val="auto"/>
                      <w:kern w:val="0"/>
                      <w:sz w:val="21"/>
                      <w:szCs w:val="21"/>
                    </w:rPr>
                    <w:t>2.1提供用户使用注册登录功能。含微信用户一键登录、手机验证码登录。提示同意使用协议和隐私协议。</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692" w:type="dxa"/>
                  <w:vMerge w:val="continue"/>
                  <w:noWrap w:val="0"/>
                  <w:vAlign w:val="center"/>
                </w:tcPr>
                <w:p>
                  <w:pPr>
                    <w:widowControl/>
                    <w:jc w:val="center"/>
                    <w:rPr>
                      <w:rFonts w:ascii="宋体" w:eastAsia="宋体"/>
                      <w:color w:val="auto"/>
                      <w:kern w:val="0"/>
                      <w:sz w:val="21"/>
                      <w:szCs w:val="21"/>
                    </w:rPr>
                  </w:pPr>
                </w:p>
              </w:tc>
              <w:tc>
                <w:tcPr>
                  <w:tcW w:w="1298" w:type="dxa"/>
                  <w:vMerge w:val="continue"/>
                  <w:noWrap w:val="0"/>
                  <w:vAlign w:val="center"/>
                </w:tcPr>
                <w:p>
                  <w:pPr>
                    <w:widowControl/>
                    <w:jc w:val="center"/>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sz w:val="21"/>
                      <w:szCs w:val="21"/>
                    </w:rPr>
                  </w:pPr>
                  <w:r>
                    <w:rPr>
                      <w:rFonts w:hint="eastAsia" w:ascii="宋体" w:eastAsia="宋体"/>
                      <w:color w:val="auto"/>
                      <w:kern w:val="0"/>
                      <w:sz w:val="21"/>
                      <w:szCs w:val="21"/>
                    </w:rPr>
                    <w:t>2.2提供被护人管理或者患者管理功能，支持管理3个及以上被护人。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sz w:val="21"/>
                      <w:szCs w:val="22"/>
                    </w:rPr>
                  </w:pPr>
                  <w:r>
                    <w:rPr>
                      <w:rFonts w:hint="eastAsia" w:ascii="宋体" w:eastAsia="宋体"/>
                      <w:color w:val="auto"/>
                      <w:kern w:val="0"/>
                      <w:sz w:val="21"/>
                      <w:szCs w:val="21"/>
                    </w:rPr>
                    <w:t>2.3提供被护人或患者基本资料登记录入、采集，包含身份认证及人脸识别功能。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olor w:val="auto"/>
                      <w:kern w:val="0"/>
                      <w:sz w:val="21"/>
                      <w:szCs w:val="21"/>
                    </w:rPr>
                    <w:t>2.4提供被护人或患者相关基本资料及病历资料上传功能。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5"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2.5提供上门前评估功能，患者端填写的被护人基本资料、对需要上门的护理患者按照医院要求先填写评估表，后台管理人员收到后结合患者的护理需求，疾病情况，家庭情况等因素综合判断是否可以安排护理人员上门。</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hint="eastAsia" w:ascii="宋体" w:eastAsia="宋体"/>
                      <w:color w:val="auto"/>
                      <w:kern w:val="0"/>
                      <w:sz w:val="21"/>
                      <w:szCs w:val="21"/>
                    </w:rPr>
                  </w:pPr>
                  <w:r>
                    <w:rPr>
                      <w:rFonts w:hint="eastAsia" w:ascii="宋体" w:eastAsia="宋体"/>
                      <w:color w:val="auto"/>
                      <w:kern w:val="0"/>
                      <w:sz w:val="21"/>
                      <w:szCs w:val="21"/>
                    </w:rPr>
                    <w:t>2.6提供护理服务查看及预约功能</w:t>
                  </w:r>
                  <w:r>
                    <w:rPr>
                      <w:rFonts w:hint="eastAsia" w:ascii="宋体"/>
                      <w:color w:val="auto"/>
                      <w:kern w:val="0"/>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hint="default" w:ascii="宋体" w:eastAsia="宋体"/>
                      <w:color w:val="auto"/>
                      <w:kern w:val="0"/>
                      <w:sz w:val="21"/>
                      <w:szCs w:val="21"/>
                      <w:lang w:val="en-US" w:eastAsia="zh-CN"/>
                    </w:rPr>
                  </w:pPr>
                  <w:r>
                    <w:rPr>
                      <w:rFonts w:hint="eastAsia" w:ascii="宋体"/>
                      <w:color w:val="auto"/>
                      <w:kern w:val="0"/>
                      <w:sz w:val="21"/>
                      <w:szCs w:val="21"/>
                      <w:lang w:val="en-US" w:eastAsia="zh-CN"/>
                    </w:rPr>
                    <w:t>2.7</w:t>
                  </w:r>
                  <w:r>
                    <w:rPr>
                      <w:rFonts w:hint="eastAsia" w:ascii="宋体" w:eastAsia="宋体"/>
                      <w:color w:val="auto"/>
                      <w:kern w:val="0"/>
                      <w:sz w:val="21"/>
                      <w:szCs w:val="21"/>
                    </w:rPr>
                    <w:t>提供已预约服务管理功能。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2.</w:t>
                  </w:r>
                  <w:r>
                    <w:rPr>
                      <w:rFonts w:hint="eastAsia" w:ascii="宋体"/>
                      <w:color w:val="auto"/>
                      <w:kern w:val="0"/>
                      <w:sz w:val="21"/>
                      <w:szCs w:val="21"/>
                      <w:lang w:val="en-US" w:eastAsia="zh-CN"/>
                    </w:rPr>
                    <w:t>8</w:t>
                  </w:r>
                  <w:r>
                    <w:rPr>
                      <w:rFonts w:hint="eastAsia" w:ascii="宋体" w:eastAsia="宋体"/>
                      <w:color w:val="auto"/>
                      <w:kern w:val="0"/>
                      <w:sz w:val="21"/>
                      <w:szCs w:val="21"/>
                    </w:rPr>
                    <w:t>提供对上门护士资料查看及个人评价功能。</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2.</w:t>
                  </w:r>
                  <w:r>
                    <w:rPr>
                      <w:rFonts w:hint="eastAsia" w:ascii="宋体"/>
                      <w:color w:val="auto"/>
                      <w:kern w:val="0"/>
                      <w:sz w:val="21"/>
                      <w:szCs w:val="21"/>
                      <w:lang w:val="en-US" w:eastAsia="zh-CN"/>
                    </w:rPr>
                    <w:t>9</w:t>
                  </w:r>
                  <w:r>
                    <w:rPr>
                      <w:rFonts w:hint="eastAsia" w:ascii="宋体" w:eastAsia="宋体"/>
                      <w:color w:val="auto"/>
                      <w:kern w:val="0"/>
                      <w:sz w:val="21"/>
                      <w:szCs w:val="21"/>
                    </w:rPr>
                    <w:t>提供即时通讯与定位功能，可以与上门护士及平台即时通讯可以保存相关记录</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hint="eastAsia"/>
                      <w:color w:val="auto"/>
                      <w:lang w:eastAsia="zh-CN"/>
                    </w:rPr>
                  </w:pPr>
                  <w:r>
                    <w:rPr>
                      <w:rFonts w:hint="eastAsia" w:ascii="宋体" w:eastAsia="宋体"/>
                      <w:color w:val="auto"/>
                      <w:kern w:val="0"/>
                      <w:sz w:val="21"/>
                      <w:szCs w:val="21"/>
                    </w:rPr>
                    <w:t>2.</w:t>
                  </w:r>
                  <w:r>
                    <w:rPr>
                      <w:rFonts w:hint="eastAsia" w:ascii="宋体"/>
                      <w:color w:val="auto"/>
                      <w:kern w:val="0"/>
                      <w:sz w:val="21"/>
                      <w:szCs w:val="21"/>
                      <w:lang w:val="en-US" w:eastAsia="zh-CN"/>
                    </w:rPr>
                    <w:t>10</w:t>
                  </w:r>
                  <w:r>
                    <w:rPr>
                      <w:rFonts w:hint="eastAsia" w:ascii="宋体" w:eastAsia="宋体"/>
                      <w:color w:val="auto"/>
                      <w:kern w:val="0"/>
                      <w:sz w:val="21"/>
                      <w:szCs w:val="21"/>
                    </w:rPr>
                    <w:t>提供线上支付功能</w:t>
                  </w:r>
                  <w:r>
                    <w:rPr>
                      <w:rFonts w:hint="eastAsia" w:ascii="宋体" w:eastAsia="宋体"/>
                      <w:color w:val="auto"/>
                      <w:kern w:val="0"/>
                      <w:sz w:val="21"/>
                      <w:szCs w:val="21"/>
                      <w:lang w:eastAsia="zh-CN"/>
                    </w:rPr>
                    <w:t>。</w:t>
                  </w:r>
                  <w:r>
                    <w:rPr>
                      <w:rFonts w:hint="eastAsia" w:ascii="宋体" w:eastAsia="宋体"/>
                      <w:color w:val="auto"/>
                      <w:kern w:val="0"/>
                      <w:sz w:val="21"/>
                      <w:szCs w:val="21"/>
                    </w:rPr>
                    <w:t>取消订单可以原路退回费用，可以全额退或者根据百分比退费。</w:t>
                  </w:r>
                  <w:r>
                    <w:rPr>
                      <w:rFonts w:hint="eastAsia" w:ascii="宋体" w:eastAsia="宋体"/>
                      <w:color w:val="auto"/>
                      <w:kern w:val="0"/>
                      <w:sz w:val="21"/>
                      <w:szCs w:val="21"/>
                      <w:lang w:eastAsia="zh-CN"/>
                    </w:rPr>
                    <w:t>提供电子发票。</w:t>
                  </w:r>
                  <w:r>
                    <w:rPr>
                      <w:rFonts w:hint="eastAsia" w:ascii="宋体" w:eastAsia="宋体"/>
                      <w:color w:val="auto"/>
                      <w:kern w:val="0"/>
                      <w:sz w:val="21"/>
                      <w:szCs w:val="21"/>
                    </w:rPr>
                    <w:t>后期医保政策允许线上医保支付，需无条件配合完成对接。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olor w:val="auto"/>
                      <w:kern w:val="0"/>
                      <w:sz w:val="21"/>
                      <w:szCs w:val="21"/>
                    </w:rPr>
                    <w:t>2.1</w:t>
                  </w:r>
                  <w:r>
                    <w:rPr>
                      <w:rFonts w:hint="eastAsia" w:ascii="宋体"/>
                      <w:color w:val="auto"/>
                      <w:kern w:val="0"/>
                      <w:sz w:val="21"/>
                      <w:szCs w:val="21"/>
                      <w:lang w:val="en-US" w:eastAsia="zh-CN"/>
                    </w:rPr>
                    <w:t>1</w:t>
                  </w:r>
                  <w:r>
                    <w:rPr>
                      <w:rFonts w:hint="eastAsia" w:ascii="宋体" w:eastAsia="宋体"/>
                      <w:color w:val="auto"/>
                      <w:kern w:val="0"/>
                      <w:sz w:val="21"/>
                      <w:szCs w:val="21"/>
                    </w:rPr>
                    <w:t>包括不限于短信，公众号消息形式提供通知提醒功能，对于所有操作在成功后都有通知给到对方。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olor w:val="auto"/>
                      <w:kern w:val="0"/>
                      <w:sz w:val="21"/>
                      <w:szCs w:val="21"/>
                    </w:rPr>
                    <w:t>2.1</w:t>
                  </w:r>
                  <w:r>
                    <w:rPr>
                      <w:rFonts w:hint="eastAsia" w:ascii="宋体"/>
                      <w:color w:val="auto"/>
                      <w:kern w:val="0"/>
                      <w:sz w:val="21"/>
                      <w:szCs w:val="21"/>
                      <w:lang w:val="en-US" w:eastAsia="zh-CN"/>
                    </w:rPr>
                    <w:t>2</w:t>
                  </w:r>
                  <w:r>
                    <w:rPr>
                      <w:rFonts w:hint="eastAsia" w:ascii="宋体" w:eastAsia="宋体"/>
                      <w:color w:val="auto"/>
                      <w:kern w:val="0"/>
                      <w:sz w:val="21"/>
                      <w:szCs w:val="21"/>
                    </w:rPr>
                    <w:t>对已申请的订单进行管理、跟踪订单进度、服务授权、发起咨询及护理评价。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olor w:val="auto"/>
                      <w:kern w:val="0"/>
                      <w:sz w:val="21"/>
                      <w:szCs w:val="21"/>
                    </w:rPr>
                    <w:t>2.1</w:t>
                  </w:r>
                  <w:r>
                    <w:rPr>
                      <w:rFonts w:hint="eastAsia" w:ascii="宋体"/>
                      <w:color w:val="auto"/>
                      <w:kern w:val="0"/>
                      <w:sz w:val="21"/>
                      <w:szCs w:val="21"/>
                      <w:lang w:val="en-US" w:eastAsia="zh-CN"/>
                    </w:rPr>
                    <w:t>3</w:t>
                  </w:r>
                  <w:r>
                    <w:rPr>
                      <w:rFonts w:hint="eastAsia" w:ascii="宋体" w:eastAsia="宋体"/>
                      <w:color w:val="auto"/>
                      <w:kern w:val="0"/>
                      <w:sz w:val="21"/>
                      <w:szCs w:val="21"/>
                    </w:rPr>
                    <w:t>提供服务评价功能，患者可以在服务结束时，直接对本次护理服务进行评价。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olor w:val="auto"/>
                      <w:kern w:val="0"/>
                      <w:sz w:val="21"/>
                      <w:szCs w:val="21"/>
                    </w:rPr>
                    <w:t>2.1</w:t>
                  </w:r>
                  <w:r>
                    <w:rPr>
                      <w:rFonts w:hint="eastAsia" w:ascii="宋体"/>
                      <w:color w:val="auto"/>
                      <w:kern w:val="0"/>
                      <w:sz w:val="21"/>
                      <w:szCs w:val="21"/>
                      <w:lang w:val="en-US" w:eastAsia="zh-CN"/>
                    </w:rPr>
                    <w:t>4</w:t>
                  </w:r>
                  <w:r>
                    <w:rPr>
                      <w:rFonts w:hint="eastAsia" w:ascii="宋体" w:eastAsia="宋体"/>
                      <w:color w:val="auto"/>
                      <w:kern w:val="0"/>
                      <w:sz w:val="21"/>
                      <w:szCs w:val="21"/>
                    </w:rPr>
                    <w:t>提供线上协议签订、线上护理项目的风险告知等各项知情同意书的手写签字同意功能</w:t>
                  </w:r>
                  <w:r>
                    <w:rPr>
                      <w:rFonts w:hint="eastAsia" w:ascii="宋体" w:eastAsia="宋体"/>
                      <w:color w:val="auto"/>
                      <w:kern w:val="0"/>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jc w:val="lef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2.1</w:t>
                  </w:r>
                  <w:r>
                    <w:rPr>
                      <w:rFonts w:hint="eastAsia" w:ascii="宋体"/>
                      <w:color w:val="auto"/>
                      <w:kern w:val="0"/>
                      <w:sz w:val="21"/>
                      <w:szCs w:val="21"/>
                      <w:lang w:val="en-US" w:eastAsia="zh-CN"/>
                    </w:rPr>
                    <w:t>5</w:t>
                  </w:r>
                  <w:r>
                    <w:rPr>
                      <w:rFonts w:hint="eastAsia" w:ascii="宋体" w:eastAsia="宋体"/>
                      <w:color w:val="auto"/>
                      <w:kern w:val="0"/>
                      <w:sz w:val="21"/>
                      <w:szCs w:val="21"/>
                    </w:rPr>
                    <w:t>能提供朋友圈分享功能，可以分享微信小程序。</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r>
                    <w:rPr>
                      <w:rFonts w:hint="eastAsia" w:ascii="宋体" w:eastAsia="宋体"/>
                      <w:color w:val="auto"/>
                      <w:kern w:val="0"/>
                      <w:sz w:val="21"/>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692" w:type="dxa"/>
                  <w:vMerge w:val="restart"/>
                  <w:noWrap w:val="0"/>
                  <w:vAlign w:val="center"/>
                </w:tcPr>
                <w:p>
                  <w:pPr>
                    <w:widowControl/>
                    <w:jc w:val="center"/>
                    <w:rPr>
                      <w:rFonts w:ascii="宋体" w:eastAsia="宋体"/>
                      <w:color w:val="auto"/>
                      <w:kern w:val="0"/>
                      <w:sz w:val="21"/>
                      <w:szCs w:val="21"/>
                    </w:rPr>
                  </w:pPr>
                  <w:r>
                    <w:rPr>
                      <w:rFonts w:hint="eastAsia" w:ascii="宋体" w:eastAsia="宋体"/>
                      <w:color w:val="auto"/>
                      <w:kern w:val="0"/>
                      <w:sz w:val="21"/>
                      <w:szCs w:val="21"/>
                    </w:rPr>
                    <w:t>3</w:t>
                  </w:r>
                </w:p>
              </w:tc>
              <w:tc>
                <w:tcPr>
                  <w:tcW w:w="1298" w:type="dxa"/>
                  <w:vMerge w:val="restart"/>
                  <w:noWrap w:val="0"/>
                  <w:vAlign w:val="center"/>
                </w:tcPr>
                <w:p>
                  <w:pPr>
                    <w:jc w:val="center"/>
                    <w:rPr>
                      <w:rFonts w:ascii="Calibri" w:hAnsi="Calibri" w:eastAsia="宋体"/>
                      <w:color w:val="auto"/>
                      <w:sz w:val="21"/>
                      <w:szCs w:val="22"/>
                    </w:rPr>
                  </w:pPr>
                  <w:r>
                    <w:rPr>
                      <w:rFonts w:hint="eastAsia" w:ascii="宋体" w:eastAsia="宋体"/>
                      <w:color w:val="auto"/>
                      <w:sz w:val="21"/>
                      <w:szCs w:val="21"/>
                    </w:rPr>
                    <w:t>“互联网+护理”信息系统平台--</w:t>
                  </w:r>
                  <w:r>
                    <w:rPr>
                      <w:rFonts w:hint="eastAsia" w:ascii="Calibri" w:hAnsi="Calibri" w:eastAsia="宋体"/>
                      <w:color w:val="auto"/>
                      <w:sz w:val="21"/>
                      <w:szCs w:val="22"/>
                    </w:rPr>
                    <w:t>护士端</w:t>
                  </w:r>
                </w:p>
                <w:p>
                  <w:pPr>
                    <w:jc w:val="center"/>
                    <w:rPr>
                      <w:rFonts w:ascii="Calibri" w:hAnsi="Calibri" w:eastAsia="宋体"/>
                      <w:color w:val="auto"/>
                      <w:sz w:val="21"/>
                      <w:szCs w:val="22"/>
                    </w:rPr>
                  </w:pPr>
                  <w:r>
                    <w:rPr>
                      <w:rFonts w:hint="eastAsia" w:ascii="Calibri" w:hAnsi="Calibri" w:eastAsia="宋体"/>
                      <w:color w:val="auto"/>
                      <w:sz w:val="21"/>
                      <w:szCs w:val="22"/>
                    </w:rPr>
                    <w:t>（微信小程序）</w:t>
                  </w:r>
                </w:p>
                <w:p>
                  <w:pPr>
                    <w:jc w:val="center"/>
                    <w:rPr>
                      <w:rFonts w:ascii="宋体" w:eastAsia="宋体"/>
                      <w:color w:val="auto"/>
                      <w:sz w:val="21"/>
                      <w:szCs w:val="24"/>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3.1提供用户使用注册登录功能。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hint="default" w:ascii="宋体" w:eastAsia="宋体"/>
                      <w:color w:val="auto"/>
                      <w:kern w:val="0"/>
                      <w:sz w:val="21"/>
                      <w:szCs w:val="21"/>
                      <w:lang w:val="en-US" w:eastAsia="zh-CN"/>
                    </w:rPr>
                  </w:pPr>
                  <w:r>
                    <w:rPr>
                      <w:rFonts w:hint="eastAsia" w:ascii="宋体" w:eastAsia="宋体"/>
                      <w:color w:val="auto"/>
                      <w:kern w:val="0"/>
                      <w:sz w:val="21"/>
                      <w:szCs w:val="21"/>
                    </w:rPr>
                    <w:t>3.2提供护士资料填报，资质上传，后台管理人员可以审核是否符合要求。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5"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3.3提供任务管理功能，护士可以查看每一天的护理任务列表，对每一个护理任务，详细记录任务出发时间和地点、到达时间和地点、任务开始时间和地点、任务结束时间和地点。利用护士端的GPS服务和地图服务，帮助护士导航到用户家庭住址，标记护士服务地图痕迹。</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3.4提供位置服务显示功能，能实时显示所在位置方便导航。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3.5提供一键报警功能，当遇到危险系统支持一键报警。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3.6提供护理评估单填写功能并上传；可线下评估，评估结果签字后上传至PC WEB端。</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3.7提供护嘱功能，护士在服务现场，通过护士端根据服务项目开具护嘱。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1"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3.8提供护理记录填写功能，护士在护理结束后，在服务现场直接填写护理记录单。护理记录单可以根据医院实际需求设计，可以自动根据系统已记录的数据，自动填充。</w:t>
                  </w:r>
                </w:p>
                <w:p>
                  <w:pPr>
                    <w:spacing w:line="360" w:lineRule="exact"/>
                    <w:rPr>
                      <w:rFonts w:ascii="宋体" w:eastAsia="宋体"/>
                      <w:color w:val="auto"/>
                      <w:kern w:val="0"/>
                      <w:sz w:val="21"/>
                      <w:szCs w:val="21"/>
                    </w:rPr>
                  </w:pP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6" w:hRule="atLeast"/>
                <w:jc w:val="center"/>
              </w:trPr>
              <w:tc>
                <w:tcPr>
                  <w:tcW w:w="692" w:type="dxa"/>
                  <w:vMerge w:val="continue"/>
                  <w:noWrap w:val="0"/>
                  <w:vAlign w:val="center"/>
                </w:tcPr>
                <w:p>
                  <w:pPr>
                    <w:widowControl/>
                    <w:jc w:val="center"/>
                    <w:rPr>
                      <w:rFonts w:ascii="宋体" w:eastAsia="宋体"/>
                      <w:color w:val="auto"/>
                      <w:kern w:val="0"/>
                      <w:sz w:val="21"/>
                      <w:szCs w:val="21"/>
                    </w:rPr>
                  </w:pPr>
                </w:p>
              </w:tc>
              <w:tc>
                <w:tcPr>
                  <w:tcW w:w="1298" w:type="dxa"/>
                  <w:vMerge w:val="continue"/>
                  <w:noWrap w:val="0"/>
                  <w:vAlign w:val="center"/>
                </w:tcPr>
                <w:p>
                  <w:pPr>
                    <w:jc w:val="center"/>
                    <w:rPr>
                      <w:rFonts w:ascii="宋体" w:eastAsia="宋体"/>
                      <w:color w:val="auto"/>
                      <w:sz w:val="21"/>
                      <w:szCs w:val="21"/>
                    </w:rPr>
                  </w:pPr>
                </w:p>
              </w:tc>
              <w:tc>
                <w:tcPr>
                  <w:tcW w:w="6409" w:type="dxa"/>
                  <w:noWrap w:val="0"/>
                  <w:vAlign w:val="center"/>
                </w:tcPr>
                <w:p>
                  <w:pPr>
                    <w:spacing w:line="360" w:lineRule="auto"/>
                    <w:rPr>
                      <w:rFonts w:ascii="宋体" w:eastAsia="宋体"/>
                      <w:color w:val="auto"/>
                      <w:kern w:val="0"/>
                      <w:sz w:val="21"/>
                      <w:szCs w:val="21"/>
                    </w:rPr>
                  </w:pPr>
                  <w:r>
                    <w:rPr>
                      <w:rFonts w:hint="eastAsia" w:ascii="宋体" w:eastAsia="宋体" w:cs="宋体"/>
                      <w:color w:val="auto"/>
                      <w:sz w:val="21"/>
                      <w:szCs w:val="22"/>
                    </w:rPr>
                    <w:t>▲</w:t>
                  </w:r>
                  <w:r>
                    <w:rPr>
                      <w:rFonts w:ascii="宋体" w:eastAsia="宋体"/>
                      <w:color w:val="auto"/>
                      <w:sz w:val="21"/>
                      <w:szCs w:val="21"/>
                    </w:rPr>
                    <w:t>3.9提供退款审核功能</w:t>
                  </w:r>
                  <w:r>
                    <w:rPr>
                      <w:rFonts w:hint="eastAsia" w:ascii="宋体" w:eastAsia="宋体"/>
                      <w:color w:val="auto"/>
                      <w:sz w:val="21"/>
                      <w:szCs w:val="21"/>
                      <w:lang w:eastAsia="zh-CN"/>
                    </w:rPr>
                    <w:t>；</w:t>
                  </w:r>
                  <w:r>
                    <w:rPr>
                      <w:rFonts w:hint="eastAsia" w:ascii="宋体" w:eastAsia="宋体"/>
                      <w:color w:val="auto"/>
                      <w:kern w:val="0"/>
                      <w:sz w:val="21"/>
                      <w:szCs w:val="21"/>
                    </w:rPr>
                    <w:t>提供批量安排功能。</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restart"/>
                  <w:noWrap w:val="0"/>
                  <w:vAlign w:val="center"/>
                </w:tcPr>
                <w:p>
                  <w:pPr>
                    <w:widowControl/>
                    <w:jc w:val="center"/>
                    <w:rPr>
                      <w:rFonts w:ascii="宋体" w:eastAsia="宋体"/>
                      <w:color w:val="auto"/>
                      <w:kern w:val="0"/>
                      <w:sz w:val="21"/>
                      <w:szCs w:val="21"/>
                    </w:rPr>
                  </w:pPr>
                  <w:r>
                    <w:rPr>
                      <w:rFonts w:hint="eastAsia" w:ascii="宋体" w:eastAsia="宋体"/>
                      <w:color w:val="auto"/>
                      <w:kern w:val="0"/>
                      <w:sz w:val="21"/>
                      <w:szCs w:val="21"/>
                    </w:rPr>
                    <w:t>4</w:t>
                  </w:r>
                </w:p>
              </w:tc>
              <w:tc>
                <w:tcPr>
                  <w:tcW w:w="1298" w:type="dxa"/>
                  <w:vMerge w:val="restart"/>
                  <w:noWrap w:val="0"/>
                  <w:vAlign w:val="center"/>
                </w:tcPr>
                <w:p>
                  <w:pPr>
                    <w:jc w:val="center"/>
                    <w:rPr>
                      <w:rFonts w:ascii="Calibri" w:hAnsi="Calibri" w:eastAsia="宋体"/>
                      <w:color w:val="auto"/>
                      <w:sz w:val="21"/>
                      <w:szCs w:val="22"/>
                    </w:rPr>
                  </w:pPr>
                  <w:r>
                    <w:rPr>
                      <w:rFonts w:hint="eastAsia" w:ascii="宋体" w:eastAsia="宋体"/>
                      <w:color w:val="auto"/>
                      <w:sz w:val="21"/>
                      <w:szCs w:val="21"/>
                    </w:rPr>
                    <w:t>“互联网+护理”信息系统平台--</w:t>
                  </w:r>
                  <w:r>
                    <w:rPr>
                      <w:rFonts w:hint="eastAsia" w:ascii="Calibri" w:hAnsi="Calibri" w:eastAsia="宋体"/>
                      <w:color w:val="auto"/>
                      <w:sz w:val="21"/>
                      <w:szCs w:val="22"/>
                    </w:rPr>
                    <w:t>管理端</w:t>
                  </w:r>
                </w:p>
                <w:p>
                  <w:pPr>
                    <w:jc w:val="center"/>
                    <w:rPr>
                      <w:rFonts w:ascii="Calibri" w:hAnsi="Calibri" w:eastAsia="宋体"/>
                      <w:color w:val="auto"/>
                      <w:sz w:val="21"/>
                      <w:szCs w:val="22"/>
                    </w:rPr>
                  </w:pPr>
                  <w:r>
                    <w:rPr>
                      <w:rFonts w:hint="eastAsia" w:ascii="Calibri" w:hAnsi="Calibri" w:eastAsia="宋体"/>
                      <w:color w:val="auto"/>
                      <w:sz w:val="21"/>
                      <w:szCs w:val="22"/>
                    </w:rPr>
                    <w:t>（PC WEB）</w:t>
                  </w:r>
                </w:p>
                <w:p>
                  <w:pPr>
                    <w:jc w:val="center"/>
                    <w:rPr>
                      <w:rFonts w:ascii="宋体" w:eastAsia="宋体"/>
                      <w:color w:val="auto"/>
                      <w:sz w:val="21"/>
                      <w:szCs w:val="24"/>
                    </w:rPr>
                  </w:pPr>
                </w:p>
              </w:tc>
              <w:tc>
                <w:tcPr>
                  <w:tcW w:w="6409" w:type="dxa"/>
                  <w:noWrap w:val="0"/>
                  <w:vAlign w:val="center"/>
                </w:tcPr>
                <w:p>
                  <w:pPr>
                    <w:spacing w:line="360" w:lineRule="exact"/>
                    <w:rPr>
                      <w:rFonts w:hint="eastAsia" w:eastAsia="宋体"/>
                      <w:color w:val="auto"/>
                      <w:lang w:val="en-US" w:eastAsia="zh-CN"/>
                    </w:rPr>
                  </w:pPr>
                  <w:r>
                    <w:rPr>
                      <w:rFonts w:hint="eastAsia" w:ascii="宋体" w:eastAsia="宋体"/>
                      <w:color w:val="auto"/>
                      <w:kern w:val="0"/>
                      <w:sz w:val="21"/>
                      <w:szCs w:val="21"/>
                    </w:rPr>
                    <w:t>4.1提供护士资料管理，后台管理人员可以新增护士资料以及账号、修改护士基本资料以及护士简介说明。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4.</w:t>
                  </w:r>
                  <w:r>
                    <w:rPr>
                      <w:rFonts w:hint="eastAsia" w:ascii="宋体"/>
                      <w:color w:val="auto"/>
                      <w:kern w:val="0"/>
                      <w:sz w:val="21"/>
                      <w:szCs w:val="21"/>
                      <w:lang w:val="en-US" w:eastAsia="zh-CN"/>
                    </w:rPr>
                    <w:t>2</w:t>
                  </w:r>
                  <w:r>
                    <w:rPr>
                      <w:rFonts w:hint="eastAsia" w:ascii="宋体" w:eastAsia="宋体"/>
                      <w:color w:val="auto"/>
                      <w:kern w:val="0"/>
                      <w:sz w:val="21"/>
                      <w:szCs w:val="21"/>
                    </w:rPr>
                    <w:t>未审核申请管理，后台管理人员可以查看到未审核的申请人资料，可以查看申请人的详细信息、申请人所期望的护士上门时间以及所期望的服务项目。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4.</w:t>
                  </w:r>
                  <w:r>
                    <w:rPr>
                      <w:rFonts w:hint="eastAsia" w:ascii="宋体"/>
                      <w:color w:val="auto"/>
                      <w:kern w:val="0"/>
                      <w:sz w:val="21"/>
                      <w:szCs w:val="21"/>
                      <w:lang w:val="en-US" w:eastAsia="zh-CN"/>
                    </w:rPr>
                    <w:t>3</w:t>
                  </w:r>
                  <w:r>
                    <w:rPr>
                      <w:rFonts w:hint="eastAsia" w:ascii="宋体" w:eastAsia="宋体"/>
                      <w:color w:val="auto"/>
                      <w:kern w:val="0"/>
                      <w:sz w:val="21"/>
                      <w:szCs w:val="21"/>
                    </w:rPr>
                    <w:t>提供申请人资料查看，后台管理人员可以查看申请人资料进行上门前的综合评估。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4.</w:t>
                  </w:r>
                  <w:r>
                    <w:rPr>
                      <w:rFonts w:hint="eastAsia" w:ascii="宋体"/>
                      <w:color w:val="auto"/>
                      <w:kern w:val="0"/>
                      <w:sz w:val="21"/>
                      <w:szCs w:val="21"/>
                      <w:lang w:val="en-US" w:eastAsia="zh-CN"/>
                    </w:rPr>
                    <w:t>4</w:t>
                  </w:r>
                  <w:r>
                    <w:rPr>
                      <w:rFonts w:hint="eastAsia" w:ascii="宋体" w:eastAsia="宋体"/>
                      <w:color w:val="auto"/>
                      <w:kern w:val="0"/>
                      <w:sz w:val="21"/>
                      <w:szCs w:val="21"/>
                    </w:rPr>
                    <w:t>提供即时通讯功能，可以与被护人、患者即时通讯支持文字、语言、图片等内容沟通以及虚拟号码播出。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4.</w:t>
                  </w:r>
                  <w:r>
                    <w:rPr>
                      <w:rFonts w:hint="eastAsia" w:ascii="宋体"/>
                      <w:color w:val="auto"/>
                      <w:kern w:val="0"/>
                      <w:sz w:val="21"/>
                      <w:szCs w:val="21"/>
                      <w:lang w:val="en-US" w:eastAsia="zh-CN"/>
                    </w:rPr>
                    <w:t>5</w:t>
                  </w:r>
                  <w:r>
                    <w:rPr>
                      <w:rFonts w:hint="eastAsia" w:ascii="宋体" w:eastAsia="宋体"/>
                      <w:color w:val="auto"/>
                      <w:kern w:val="0"/>
                      <w:sz w:val="21"/>
                      <w:szCs w:val="21"/>
                    </w:rPr>
                    <w:t>提供上门服务申请审批功能。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4.</w:t>
                  </w:r>
                  <w:r>
                    <w:rPr>
                      <w:rFonts w:hint="eastAsia" w:ascii="宋体"/>
                      <w:color w:val="auto"/>
                      <w:kern w:val="0"/>
                      <w:sz w:val="21"/>
                      <w:szCs w:val="21"/>
                      <w:lang w:val="en-US" w:eastAsia="zh-CN"/>
                    </w:rPr>
                    <w:t>6</w:t>
                  </w:r>
                  <w:r>
                    <w:rPr>
                      <w:rFonts w:hint="eastAsia" w:ascii="宋体" w:eastAsia="宋体"/>
                      <w:color w:val="auto"/>
                      <w:kern w:val="0"/>
                      <w:sz w:val="21"/>
                      <w:szCs w:val="21"/>
                    </w:rPr>
                    <w:t>提供上门护士安排及排班功能，管理人员对患者上门前的资料进行申请，通过后安排护士上门，安排方式通过日历方式能显示上门护士一周的排班情况。</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4.</w:t>
                  </w:r>
                  <w:r>
                    <w:rPr>
                      <w:rFonts w:hint="eastAsia" w:ascii="宋体"/>
                      <w:color w:val="auto"/>
                      <w:kern w:val="0"/>
                      <w:sz w:val="21"/>
                      <w:szCs w:val="21"/>
                      <w:lang w:val="en-US" w:eastAsia="zh-CN"/>
                    </w:rPr>
                    <w:t>7</w:t>
                  </w:r>
                  <w:r>
                    <w:rPr>
                      <w:rFonts w:hint="eastAsia" w:ascii="宋体" w:eastAsia="宋体"/>
                      <w:color w:val="auto"/>
                      <w:kern w:val="0"/>
                      <w:sz w:val="21"/>
                      <w:szCs w:val="21"/>
                    </w:rPr>
                    <w:t>提供护理记录单设置功能，根据医院的要求设置护理记录单；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hint="eastAsia" w:eastAsia="宋体"/>
                      <w:color w:val="auto"/>
                      <w:lang w:val="en-US" w:eastAsia="zh-CN"/>
                    </w:rPr>
                  </w:pPr>
                  <w:r>
                    <w:rPr>
                      <w:rFonts w:hint="eastAsia" w:ascii="宋体" w:eastAsia="宋体"/>
                      <w:color w:val="auto"/>
                      <w:kern w:val="0"/>
                      <w:sz w:val="21"/>
                      <w:szCs w:val="21"/>
                    </w:rPr>
                    <w:t>4.</w:t>
                  </w:r>
                  <w:r>
                    <w:rPr>
                      <w:rFonts w:hint="eastAsia" w:ascii="宋体"/>
                      <w:color w:val="auto"/>
                      <w:kern w:val="0"/>
                      <w:sz w:val="21"/>
                      <w:szCs w:val="21"/>
                      <w:lang w:val="en-US" w:eastAsia="zh-CN"/>
                    </w:rPr>
                    <w:t>8</w:t>
                  </w:r>
                  <w:r>
                    <w:rPr>
                      <w:rFonts w:hint="eastAsia" w:ascii="宋体" w:eastAsia="宋体"/>
                      <w:color w:val="auto"/>
                      <w:kern w:val="0"/>
                      <w:sz w:val="21"/>
                      <w:szCs w:val="21"/>
                    </w:rPr>
                    <w:t>提供工作量统计功能，能通过条形图、饼状图等图表方式显示护士工作量、服务人数等内容，所有数据</w:t>
                  </w:r>
                  <w:r>
                    <w:rPr>
                      <w:rFonts w:hint="eastAsia" w:ascii="宋体" w:eastAsia="宋体"/>
                      <w:color w:val="auto"/>
                      <w:kern w:val="0"/>
                      <w:sz w:val="21"/>
                      <w:szCs w:val="21"/>
                      <w:lang w:eastAsia="zh-CN"/>
                    </w:rPr>
                    <w:t>；</w:t>
                  </w:r>
                  <w:r>
                    <w:rPr>
                      <w:rFonts w:hint="eastAsia" w:ascii="宋体" w:eastAsia="宋体"/>
                      <w:color w:val="auto"/>
                      <w:kern w:val="0"/>
                      <w:sz w:val="21"/>
                      <w:szCs w:val="21"/>
                    </w:rPr>
                    <w:t>提供微信对账功能，医院财务人员可以通过管理端使用对账功能，对比系统流水与微信流水。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4.</w:t>
                  </w:r>
                  <w:r>
                    <w:rPr>
                      <w:rFonts w:hint="eastAsia" w:ascii="宋体"/>
                      <w:color w:val="auto"/>
                      <w:kern w:val="0"/>
                      <w:sz w:val="21"/>
                      <w:szCs w:val="21"/>
                      <w:lang w:val="en-US" w:eastAsia="zh-CN"/>
                    </w:rPr>
                    <w:t>9</w:t>
                  </w:r>
                  <w:r>
                    <w:rPr>
                      <w:rFonts w:hint="eastAsia" w:ascii="宋体" w:hAnsi="宋体" w:eastAsia="宋体" w:cs="Times New Roman"/>
                      <w:color w:val="auto"/>
                      <w:kern w:val="0"/>
                      <w:sz w:val="21"/>
                      <w:szCs w:val="21"/>
                    </w:rPr>
                    <w:t>提供收款至微信商户号，商户号管理员自行设置提现方式（A.自行提现；B.自动提现[选择提现时间与留存金额]，提现至对公账户。</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hint="default" w:ascii="宋体" w:eastAsia="宋体"/>
                      <w:color w:val="auto"/>
                      <w:kern w:val="0"/>
                      <w:sz w:val="21"/>
                      <w:szCs w:val="21"/>
                      <w:lang w:val="en-US" w:eastAsia="zh-CN"/>
                    </w:rPr>
                  </w:pPr>
                  <w:r>
                    <w:rPr>
                      <w:rFonts w:hint="eastAsia" w:ascii="宋体"/>
                      <w:color w:val="auto"/>
                      <w:kern w:val="0"/>
                      <w:sz w:val="21"/>
                      <w:szCs w:val="21"/>
                      <w:lang w:val="en-US" w:eastAsia="zh-CN"/>
                    </w:rPr>
                    <w:t>4.10</w:t>
                  </w:r>
                  <w:r>
                    <w:rPr>
                      <w:rFonts w:hint="eastAsia" w:ascii="宋体" w:hAnsi="Times New Roman" w:eastAsia="宋体" w:cs="Times New Roman"/>
                      <w:color w:val="auto"/>
                      <w:kern w:val="0"/>
                      <w:sz w:val="21"/>
                      <w:szCs w:val="21"/>
                      <w:lang w:val="en-US" w:eastAsia="zh-CN"/>
                    </w:rPr>
                    <w:t>支持与医院财务对账平台对接。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olor w:val="auto"/>
                      <w:kern w:val="0"/>
                      <w:sz w:val="21"/>
                      <w:szCs w:val="21"/>
                    </w:rPr>
                    <w:t>4.1</w:t>
                  </w:r>
                  <w:r>
                    <w:rPr>
                      <w:rFonts w:hint="eastAsia" w:ascii="宋体"/>
                      <w:color w:val="auto"/>
                      <w:kern w:val="0"/>
                      <w:sz w:val="21"/>
                      <w:szCs w:val="21"/>
                      <w:lang w:val="en-US" w:eastAsia="zh-CN"/>
                    </w:rPr>
                    <w:t>1</w:t>
                  </w:r>
                  <w:r>
                    <w:rPr>
                      <w:rFonts w:hint="eastAsia" w:ascii="宋体" w:eastAsia="宋体"/>
                      <w:color w:val="auto"/>
                      <w:kern w:val="0"/>
                      <w:sz w:val="21"/>
                      <w:szCs w:val="21"/>
                    </w:rPr>
                    <w:t>提供随行上门护士设置功能，可以给上门护士配备一个随行上门护士，跟同主治护士一同上门服务。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5"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ascii="宋体" w:eastAsia="宋体"/>
                      <w:color w:val="auto"/>
                      <w:kern w:val="0"/>
                      <w:sz w:val="21"/>
                      <w:szCs w:val="21"/>
                    </w:rPr>
                  </w:pPr>
                  <w:r>
                    <w:rPr>
                      <w:rFonts w:hint="eastAsia" w:ascii="宋体" w:eastAsia="宋体" w:cs="宋体"/>
                      <w:color w:val="auto"/>
                      <w:sz w:val="21"/>
                      <w:szCs w:val="22"/>
                    </w:rPr>
                    <w:t>▲</w:t>
                  </w:r>
                  <w:r>
                    <w:rPr>
                      <w:rFonts w:hint="eastAsia" w:ascii="宋体" w:eastAsia="宋体"/>
                      <w:color w:val="auto"/>
                      <w:kern w:val="0"/>
                      <w:sz w:val="21"/>
                      <w:szCs w:val="21"/>
                    </w:rPr>
                    <w:t>4.1</w:t>
                  </w:r>
                  <w:r>
                    <w:rPr>
                      <w:rFonts w:hint="eastAsia" w:ascii="宋体"/>
                      <w:color w:val="auto"/>
                      <w:kern w:val="0"/>
                      <w:sz w:val="21"/>
                      <w:szCs w:val="21"/>
                      <w:lang w:val="en-US" w:eastAsia="zh-CN"/>
                    </w:rPr>
                    <w:t>2</w:t>
                  </w:r>
                  <w:r>
                    <w:rPr>
                      <w:rFonts w:hint="eastAsia" w:ascii="宋体" w:eastAsia="宋体"/>
                      <w:color w:val="auto"/>
                      <w:kern w:val="0"/>
                      <w:sz w:val="21"/>
                      <w:szCs w:val="21"/>
                    </w:rPr>
                    <w:t>提供护士订单统计查询功能，可以根据自己设置的范围时间内查询到各个护士的订单数量，金额，花费交通时间，交通距离，服务时间</w:t>
                  </w:r>
                  <w:r>
                    <w:rPr>
                      <w:rFonts w:hint="eastAsia" w:ascii="宋体" w:eastAsia="宋体"/>
                      <w:color w:val="auto"/>
                      <w:kern w:val="0"/>
                      <w:sz w:val="21"/>
                      <w:szCs w:val="21"/>
                      <w:lang w:eastAsia="zh-CN"/>
                    </w:rPr>
                    <w:t>；</w:t>
                  </w:r>
                  <w:r>
                    <w:rPr>
                      <w:rFonts w:hint="eastAsia" w:ascii="宋体" w:eastAsia="宋体"/>
                      <w:color w:val="auto"/>
                      <w:kern w:val="0"/>
                      <w:sz w:val="21"/>
                      <w:szCs w:val="21"/>
                    </w:rPr>
                    <w:t>提供服务项目统计查询功能，可以根据自己设置的范围时间内查询到各个服务项目的个数，总订单数，占所有服务项目百分比。</w:t>
                  </w:r>
                  <w:r>
                    <w:rPr>
                      <w:rFonts w:hint="eastAsia" w:ascii="Calibri" w:hAnsi="Calibri" w:eastAsia="宋体"/>
                      <w:b/>
                      <w:bCs/>
                      <w:color w:val="auto"/>
                      <w:sz w:val="21"/>
                      <w:szCs w:val="22"/>
                    </w:rPr>
                    <w:t>（</w:t>
                  </w:r>
                  <w:r>
                    <w:rPr>
                      <w:rFonts w:hint="eastAsia" w:ascii="Calibri" w:hAnsi="Calibri"/>
                      <w:b/>
                      <w:bCs/>
                      <w:color w:val="auto"/>
                      <w:sz w:val="21"/>
                      <w:szCs w:val="22"/>
                      <w:lang w:eastAsia="zh-CN"/>
                    </w:rPr>
                    <w:t>需</w:t>
                  </w:r>
                  <w:r>
                    <w:rPr>
                      <w:rFonts w:hint="eastAsia" w:ascii="Calibri" w:hAnsi="Calibri" w:eastAsia="宋体"/>
                      <w:b/>
                      <w:bCs/>
                      <w:color w:val="auto"/>
                      <w:sz w:val="21"/>
                      <w:szCs w:val="22"/>
                    </w:rPr>
                    <w:t>提供系统功能截图及说明）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hint="eastAsia" w:ascii="Calibri" w:hAnsi="Calibri" w:eastAsia="宋体"/>
                      <w:b/>
                      <w:bCs/>
                      <w:color w:val="auto"/>
                      <w:sz w:val="21"/>
                      <w:szCs w:val="22"/>
                    </w:rPr>
                  </w:pPr>
                  <w:r>
                    <w:rPr>
                      <w:rFonts w:hint="eastAsia" w:ascii="宋体" w:eastAsia="宋体"/>
                      <w:color w:val="auto"/>
                      <w:kern w:val="0"/>
                      <w:sz w:val="21"/>
                      <w:szCs w:val="21"/>
                    </w:rPr>
                    <w:t>4.1</w:t>
                  </w:r>
                  <w:r>
                    <w:rPr>
                      <w:rFonts w:hint="eastAsia" w:ascii="宋体"/>
                      <w:color w:val="auto"/>
                      <w:kern w:val="0"/>
                      <w:sz w:val="21"/>
                      <w:szCs w:val="21"/>
                      <w:lang w:val="en-US" w:eastAsia="zh-CN"/>
                    </w:rPr>
                    <w:t>3</w:t>
                  </w:r>
                  <w:r>
                    <w:rPr>
                      <w:rFonts w:hint="eastAsia" w:ascii="宋体" w:eastAsia="宋体"/>
                      <w:color w:val="auto"/>
                      <w:kern w:val="0"/>
                      <w:sz w:val="21"/>
                      <w:szCs w:val="21"/>
                    </w:rPr>
                    <w:t>提供服务项目统计查询功能，可以根据自己设置的范围时间内查询到各个服务项目的个数，总订单数，占所有服务项目百分比。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jc w:val="center"/>
              </w:trPr>
              <w:tc>
                <w:tcPr>
                  <w:tcW w:w="692" w:type="dxa"/>
                  <w:vMerge w:val="continue"/>
                  <w:noWrap w:val="0"/>
                  <w:vAlign w:val="center"/>
                </w:tcPr>
                <w:p>
                  <w:pPr>
                    <w:widowControl/>
                    <w:jc w:val="left"/>
                    <w:rPr>
                      <w:rFonts w:ascii="宋体" w:eastAsia="宋体"/>
                      <w:color w:val="auto"/>
                      <w:kern w:val="0"/>
                      <w:sz w:val="21"/>
                      <w:szCs w:val="21"/>
                    </w:rPr>
                  </w:pPr>
                </w:p>
              </w:tc>
              <w:tc>
                <w:tcPr>
                  <w:tcW w:w="1298" w:type="dxa"/>
                  <w:vMerge w:val="continue"/>
                  <w:noWrap w:val="0"/>
                  <w:vAlign w:val="center"/>
                </w:tcPr>
                <w:p>
                  <w:pPr>
                    <w:widowControl/>
                    <w:jc w:val="left"/>
                    <w:rPr>
                      <w:rFonts w:ascii="宋体" w:eastAsia="宋体"/>
                      <w:color w:val="auto"/>
                      <w:kern w:val="0"/>
                      <w:sz w:val="21"/>
                      <w:szCs w:val="21"/>
                    </w:rPr>
                  </w:pPr>
                </w:p>
              </w:tc>
              <w:tc>
                <w:tcPr>
                  <w:tcW w:w="6409" w:type="dxa"/>
                  <w:noWrap w:val="0"/>
                  <w:vAlign w:val="center"/>
                </w:tcPr>
                <w:p>
                  <w:pPr>
                    <w:spacing w:line="360" w:lineRule="exact"/>
                    <w:rPr>
                      <w:rFonts w:hint="eastAsia" w:ascii="宋体" w:hAnsi="宋体" w:eastAsia="宋体" w:cs="Times New Roman"/>
                      <w:color w:val="auto"/>
                      <w:kern w:val="0"/>
                      <w:sz w:val="21"/>
                      <w:szCs w:val="21"/>
                    </w:rPr>
                  </w:pPr>
                  <w:r>
                    <w:rPr>
                      <w:rFonts w:ascii="宋体" w:eastAsia="宋体"/>
                      <w:color w:val="auto"/>
                      <w:sz w:val="21"/>
                      <w:szCs w:val="21"/>
                    </w:rPr>
                    <w:t>▲</w:t>
                  </w:r>
                  <w:r>
                    <w:rPr>
                      <w:rFonts w:hint="eastAsia" w:ascii="宋体" w:eastAsia="宋体"/>
                      <w:color w:val="auto"/>
                      <w:kern w:val="0"/>
                      <w:sz w:val="21"/>
                      <w:szCs w:val="21"/>
                    </w:rPr>
                    <w:t>4.1</w:t>
                  </w:r>
                  <w:r>
                    <w:rPr>
                      <w:rFonts w:hint="eastAsia" w:ascii="宋体"/>
                      <w:color w:val="auto"/>
                      <w:kern w:val="0"/>
                      <w:sz w:val="21"/>
                      <w:szCs w:val="21"/>
                      <w:lang w:val="en-US" w:eastAsia="zh-CN"/>
                    </w:rPr>
                    <w:t>4</w:t>
                  </w:r>
                  <w:r>
                    <w:rPr>
                      <w:rFonts w:hint="eastAsia" w:ascii="宋体" w:eastAsia="宋体"/>
                      <w:color w:val="auto"/>
                      <w:kern w:val="0"/>
                      <w:sz w:val="21"/>
                      <w:szCs w:val="21"/>
                      <w:lang w:val="en-US" w:eastAsia="zh-CN"/>
                    </w:rPr>
                    <w:t>提供</w:t>
                  </w:r>
                  <w:r>
                    <w:rPr>
                      <w:rFonts w:hint="eastAsia" w:ascii="宋体" w:hAnsi="宋体" w:eastAsia="宋体" w:cs="Times New Roman"/>
                      <w:color w:val="auto"/>
                      <w:kern w:val="0"/>
                      <w:sz w:val="21"/>
                      <w:szCs w:val="21"/>
                    </w:rPr>
                    <w:t>交通费</w:t>
                  </w:r>
                  <w:r>
                    <w:rPr>
                      <w:rFonts w:hint="eastAsia" w:ascii="宋体" w:hAnsi="宋体" w:eastAsia="宋体" w:cs="Times New Roman"/>
                      <w:color w:val="auto"/>
                      <w:kern w:val="0"/>
                      <w:sz w:val="21"/>
                      <w:szCs w:val="21"/>
                      <w:lang w:val="en-US" w:eastAsia="zh-CN"/>
                    </w:rPr>
                    <w:t>设置功能</w:t>
                  </w:r>
                  <w:r>
                    <w:rPr>
                      <w:rFonts w:hint="eastAsia" w:ascii="宋体" w:hAnsi="宋体" w:eastAsia="宋体" w:cs="Times New Roman"/>
                      <w:color w:val="auto"/>
                      <w:kern w:val="0"/>
                      <w:sz w:val="21"/>
                      <w:szCs w:val="21"/>
                    </w:rPr>
                    <w:t>管理员</w:t>
                  </w:r>
                  <w:r>
                    <w:rPr>
                      <w:rFonts w:hint="eastAsia" w:ascii="宋体" w:hAnsi="宋体" w:eastAsia="宋体" w:cs="Times New Roman"/>
                      <w:color w:val="auto"/>
                      <w:kern w:val="0"/>
                      <w:sz w:val="21"/>
                      <w:szCs w:val="21"/>
                      <w:lang w:val="en-US" w:eastAsia="zh-CN"/>
                    </w:rPr>
                    <w:t>可以</w:t>
                  </w:r>
                  <w:r>
                    <w:rPr>
                      <w:rFonts w:hint="eastAsia" w:ascii="宋体" w:hAnsi="宋体" w:eastAsia="宋体" w:cs="Times New Roman"/>
                      <w:color w:val="auto"/>
                      <w:kern w:val="0"/>
                      <w:sz w:val="21"/>
                      <w:szCs w:val="21"/>
                    </w:rPr>
                    <w:t>配置交通费收取规则（收取交通费范围、起步价、起步公里数、单价；等待时间、等待单价；返空费），患者预约上门服务时系统根据患者填写的居住地址计算出所需交通费，并在提交上门服务订单时支付该费用。</w:t>
                  </w:r>
                </w:p>
                <w:p>
                  <w:pPr>
                    <w:spacing w:line="360" w:lineRule="exact"/>
                    <w:rPr>
                      <w:rFonts w:ascii="宋体" w:eastAsia="宋体"/>
                      <w:color w:val="auto"/>
                      <w:kern w:val="0"/>
                      <w:sz w:val="21"/>
                      <w:szCs w:val="21"/>
                    </w:rPr>
                  </w:pPr>
                  <w:r>
                    <w:rPr>
                      <w:rFonts w:hint="eastAsia" w:ascii="Calibri" w:hAnsi="Calibri" w:eastAsia="宋体" w:cs="Times New Roman"/>
                      <w:b/>
                      <w:bCs/>
                      <w:color w:val="auto"/>
                      <w:sz w:val="21"/>
                      <w:szCs w:val="22"/>
                    </w:rPr>
                    <w:t>（</w:t>
                  </w:r>
                  <w:r>
                    <w:rPr>
                      <w:rFonts w:hint="eastAsia" w:ascii="Calibri" w:hAnsi="Calibri"/>
                      <w:b/>
                      <w:bCs/>
                      <w:color w:val="auto"/>
                      <w:sz w:val="21"/>
                      <w:szCs w:val="22"/>
                      <w:lang w:eastAsia="zh-CN"/>
                    </w:rPr>
                    <w:t>需</w:t>
                  </w:r>
                  <w:r>
                    <w:rPr>
                      <w:rFonts w:hint="eastAsia" w:ascii="Calibri" w:hAnsi="Calibri" w:eastAsia="宋体" w:cs="Times New Roman"/>
                      <w:b/>
                      <w:bCs/>
                      <w:color w:val="auto"/>
                      <w:sz w:val="21"/>
                      <w:szCs w:val="22"/>
                    </w:rPr>
                    <w:t>提供系统功能截图及说明）</w:t>
                  </w:r>
                </w:p>
              </w:tc>
            </w:tr>
          </w:tbl>
          <w:p>
            <w:pPr>
              <w:numPr>
                <w:ilvl w:val="0"/>
                <w:numId w:val="0"/>
              </w:numPr>
              <w:rPr>
                <w:rFonts w:hint="eastAsia" w:ascii="宋体" w:hAnsi="宋体" w:eastAsia="宋体" w:cs="宋体"/>
                <w:bCs/>
                <w:color w:val="auto"/>
                <w:kern w:val="0"/>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bookmarkStart w:id="16" w:name="_GoBack"/>
      <w:r>
        <w:rPr>
          <w:rFonts w:hint="eastAsia" w:ascii="宋体" w:hAnsi="宋体" w:cs="Times New Roman"/>
          <w:b/>
          <w:bCs/>
          <w:color w:val="auto"/>
          <w:szCs w:val="21"/>
          <w:lang w:val="en-US" w:eastAsia="zh-CN"/>
        </w:rPr>
        <w:t>六</w:t>
      </w:r>
      <w:r>
        <w:rPr>
          <w:rFonts w:hint="eastAsia" w:ascii="宋体" w:hAnsi="宋体" w:eastAsia="宋体" w:cs="Times New Roman"/>
          <w:b/>
          <w:bCs/>
          <w:color w:val="auto"/>
          <w:szCs w:val="21"/>
          <w:lang w:val="en-US" w:eastAsia="zh-CN"/>
        </w:rPr>
        <w:t>、商务</w:t>
      </w:r>
      <w:r>
        <w:rPr>
          <w:rFonts w:hint="eastAsia" w:ascii="宋体" w:hAnsi="宋体" w:cs="Times New Roman"/>
          <w:b/>
          <w:bCs/>
          <w:color w:val="auto"/>
          <w:szCs w:val="21"/>
          <w:lang w:val="en-US" w:eastAsia="zh-CN"/>
        </w:rPr>
        <w:t>要求</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auto"/>
                <w:kern w:val="0"/>
                <w:sz w:val="21"/>
                <w:szCs w:val="21"/>
                <w:lang w:eastAsia="zh-CN"/>
              </w:rPr>
            </w:pPr>
            <w:r>
              <w:rPr>
                <w:rFonts w:hint="eastAsia" w:ascii="宋体" w:hAnsi="宋体"/>
                <w:b/>
                <w:color w:val="auto"/>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1.本次项目中涉及的系统软件至少提供原厂2年维护服务，不额外收费；</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2.投标人应在投标文件中说明在保修期内提供的服务计划，维护范围包括（包括但不限于）软件安装，调试、维修，接口等内容；</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3.在系统的服务期内，投标人应确保系统的正常使用。在接到用户服务要求后应立即做出回应，并在承诺的服务时间内实施服务；</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有良好的售后服务能力，并提供服务期内的软件升级，不额外收费；需提供全年7天24小时服务（电话、远程或现场），并在接到招标人通知后2小时内到达现场。项目验收合格后，每年不低于4次的例行维护及巡检。例行维护内容包括：软件的功能增强性维护等应用软件系统扩充升级（其中包括系统维护、跟踪检测），保证投标人所开发的软件正常运行；硬件的现场巡检、调整优化并提交维护报告等；</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5.所供系统，在今后利用新技术从硬件或软件方面有任何性能或功能的改进以及产品革新，投标人有义务书面通知买方其改进和详细情况，并提供不额外收费升级服务；</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6、根据医院信息化建设的发展需要，配合系统的迁移、部署、调试等，确保系统能正常稳定运行，不额外收费；</w:t>
            </w:r>
          </w:p>
          <w:p>
            <w:pPr>
              <w:numPr>
                <w:ilvl w:val="0"/>
                <w:numId w:val="0"/>
              </w:numPr>
              <w:ind w:left="0" w:leftChars="0" w:firstLine="0" w:firstLineChars="0"/>
              <w:jc w:val="lef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w:t>
            </w:r>
            <w:r>
              <w:rPr>
                <w:rFonts w:hint="default" w:ascii="宋体" w:hAnsi="宋体" w:eastAsia="宋体" w:cs="宋体"/>
                <w:bCs/>
                <w:color w:val="auto"/>
                <w:kern w:val="0"/>
                <w:sz w:val="21"/>
                <w:szCs w:val="21"/>
                <w:lang w:val="en-US" w:eastAsia="zh-CN"/>
              </w:rPr>
              <w:t>本项目</w:t>
            </w:r>
            <w:r>
              <w:rPr>
                <w:rFonts w:hint="eastAsia" w:ascii="宋体" w:hAnsi="宋体" w:eastAsia="宋体" w:cs="宋体"/>
                <w:bCs/>
                <w:color w:val="auto"/>
                <w:kern w:val="0"/>
                <w:sz w:val="21"/>
                <w:szCs w:val="21"/>
                <w:lang w:val="en-US" w:eastAsia="zh-CN"/>
              </w:rPr>
              <w:t>系统与</w:t>
            </w:r>
            <w:r>
              <w:rPr>
                <w:rFonts w:hint="default" w:ascii="宋体" w:hAnsi="宋体" w:eastAsia="宋体" w:cs="宋体"/>
                <w:bCs/>
                <w:color w:val="auto"/>
                <w:kern w:val="0"/>
                <w:sz w:val="21"/>
                <w:szCs w:val="21"/>
                <w:lang w:val="en-US" w:eastAsia="zh-CN"/>
              </w:rPr>
              <w:t>HIS系统、电子发票、健康云及宝安通</w:t>
            </w:r>
            <w:r>
              <w:rPr>
                <w:rFonts w:hint="eastAsia" w:ascii="宋体" w:hAnsi="宋体" w:eastAsia="宋体" w:cs="宋体"/>
                <w:bCs/>
                <w:color w:val="auto"/>
                <w:kern w:val="0"/>
                <w:sz w:val="21"/>
                <w:szCs w:val="21"/>
                <w:lang w:val="en-US" w:eastAsia="zh-CN"/>
              </w:rPr>
              <w:t>第三方系统做数据交互或对接产生的接口费用，由</w:t>
            </w:r>
            <w:r>
              <w:rPr>
                <w:rFonts w:hint="default" w:ascii="宋体" w:hAnsi="宋体" w:eastAsia="宋体" w:cs="宋体"/>
                <w:bCs/>
                <w:color w:val="auto"/>
                <w:kern w:val="0"/>
                <w:sz w:val="21"/>
                <w:szCs w:val="21"/>
                <w:lang w:val="en-US" w:eastAsia="zh-CN"/>
              </w:rPr>
              <w:t>中标方</w:t>
            </w:r>
            <w:r>
              <w:rPr>
                <w:rFonts w:hint="eastAsia" w:ascii="宋体" w:hAnsi="宋体" w:eastAsia="宋体" w:cs="宋体"/>
                <w:bCs/>
                <w:color w:val="auto"/>
                <w:kern w:val="0"/>
                <w:sz w:val="21"/>
                <w:szCs w:val="21"/>
                <w:lang w:val="en-US" w:eastAsia="zh-CN"/>
              </w:rPr>
              <w:t>承担</w:t>
            </w:r>
            <w:r>
              <w:rPr>
                <w:rFonts w:hint="default" w:ascii="宋体" w:hAnsi="宋体" w:eastAsia="宋体" w:cs="宋体"/>
                <w:bCs/>
                <w:color w:val="auto"/>
                <w:kern w:val="0"/>
                <w:sz w:val="21"/>
                <w:szCs w:val="21"/>
                <w:lang w:val="en-US" w:eastAsia="zh-CN"/>
              </w:rPr>
              <w:t>；</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Hans"/>
              </w:rPr>
            </w:pPr>
            <w:r>
              <w:rPr>
                <w:rFonts w:hint="eastAsia" w:ascii="宋体" w:hAnsi="宋体" w:eastAsia="宋体" w:cs="宋体"/>
                <w:bCs/>
                <w:color w:val="auto"/>
                <w:kern w:val="0"/>
                <w:sz w:val="21"/>
                <w:szCs w:val="21"/>
                <w:lang w:val="en-US" w:eastAsia="zh-CN"/>
              </w:rPr>
              <w:t>8、投标人必须保证我院数据安全，做好保密措施，签订保密、安全生产协议。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1、系统正式运行3个月后，根据投标文件及合同所规定的技术规范标准要求，由双方检验系统功能并签署验收报告。</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2、当满足以下条件时，采购人才向中标方签发验收报告：</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（1）中标方已按照合同规定完成了系统的联调，确保系统运行稳定，数据准确。</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（2）系统功能符合招标文件系统功能技术参数的要求。</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（3）需通过宝安区卫生事业发展中心组织的“信息系统上线前网络安全评测”。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报价要求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投标总价不得高于32万元/套，此价格包含投标费、人工费、保险费、管理费、技术培训费、售后服务费、中标方承诺项目所产生的费用及国家规定的各项税费等全部费用，除此之外，采购方不需要向中标方支付其他任何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付款方式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1、第一期款：系统上线运行经过初步验收后，在收到中标方开具合法发票后30个工作日内，采购方付款合同总金额30%；</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2、第二期款：系统功能符合要求，双方签署验收报告后，在收到中标方开具合法发票后30个工作日内，采购方付款合同总金额65%；</w:t>
            </w:r>
          </w:p>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3、第三期款：系统验收合格一年后，在收到中标方开具合法发票后30个工作日内，采购方付款合同总金额5%。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cs="Times New Roman"/>
                <w:b/>
                <w:bCs/>
                <w:color w:val="auto"/>
                <w:kern w:val="0"/>
                <w:sz w:val="21"/>
                <w:szCs w:val="21"/>
                <w:lang w:val="en-US" w:eastAsia="zh-CN"/>
              </w:rPr>
              <w:t>服务期限</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合同签订生效之日起180个日历日内，中标方完成系统的开发调试并交付采购人使用。</w:t>
            </w:r>
          </w:p>
        </w:tc>
      </w:tr>
    </w:tbl>
    <w:p>
      <w:pPr>
        <w:spacing w:after="60"/>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w:t>
      </w:r>
      <w:bookmarkStart w:id="2" w:name="_Toc135293341"/>
      <w:r>
        <w:rPr>
          <w:rFonts w:hint="eastAsia" w:ascii="宋体" w:hAnsi="宋体"/>
          <w:szCs w:val="21"/>
          <w:lang w:val="en-US" w:eastAsia="zh-CN"/>
        </w:rPr>
        <w:t>政府采购违法行为风险知悉确认书</w:t>
      </w:r>
      <w:bookmarkEnd w:id="2"/>
      <w:r>
        <w:rPr>
          <w:rFonts w:hint="eastAsia" w:ascii="宋体" w:hAnsi="宋体"/>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ascii="宋体" w:hAnsi="宋体"/>
          <w:szCs w:val="21"/>
          <w:lang w:val="en-US" w:eastAsia="zh-CN"/>
        </w:rPr>
      </w:pPr>
      <w:r>
        <w:rPr>
          <w:rFonts w:hint="eastAsia" w:ascii="宋体" w:hAnsi="宋体"/>
          <w:szCs w:val="21"/>
          <w:lang w:val="en-US" w:eastAsia="zh-CN"/>
        </w:rPr>
        <w:t>9.政府采购投标及履约承诺函---------------------------------------见第（）页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项目实施方案及保障措施</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售后服务方案</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拟安排的项目主要团队成员情况</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14.服务要求偏离表------------------------------------------------</w:t>
      </w:r>
      <w:r>
        <w:rPr>
          <w:rFonts w:hint="eastAsia" w:ascii="宋体" w:hAnsi="宋体" w:eastAsia="宋体" w:cs="宋体"/>
          <w:color w:val="auto"/>
          <w:kern w:val="0"/>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lang w:eastAsia="zh-CN"/>
        </w:rPr>
        <w:t>商务要求偏离表</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color w:val="auto"/>
          <w:kern w:val="0"/>
          <w:szCs w:val="21"/>
          <w:highlight w:val="none"/>
          <w:lang w:val="en-US" w:eastAsia="zh-CN"/>
        </w:rPr>
        <w:t>16.投标人通过相关</w:t>
      </w:r>
      <w:r>
        <w:rPr>
          <w:rFonts w:hint="eastAsia" w:ascii="宋体" w:hAnsi="宋体" w:eastAsia="宋体" w:cs="Times New Roman"/>
          <w:color w:val="auto"/>
          <w:szCs w:val="21"/>
          <w:highlight w:val="none"/>
          <w:lang w:val="en-US" w:eastAsia="zh-CN"/>
        </w:rPr>
        <w:t>认证情况</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autoSpaceDE w:val="0"/>
        <w:autoSpaceDN w:val="0"/>
        <w:adjustRightInd w:val="0"/>
        <w:ind w:firstLine="420" w:firstLineChars="20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17.</w:t>
      </w:r>
      <w:r>
        <w:rPr>
          <w:rFonts w:hint="eastAsia"/>
          <w:color w:val="auto"/>
          <w:highlight w:val="none"/>
        </w:rPr>
        <w:t>投标人自主知识产权产品（创新、设计）情况</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highlight w:val="none"/>
          <w:lang w:val="en-US" w:eastAsia="zh-CN"/>
        </w:rPr>
        <w:t>18.</w:t>
      </w:r>
      <w:r>
        <w:rPr>
          <w:rFonts w:hint="eastAsia" w:ascii="宋体" w:hAnsi="宋体"/>
          <w:color w:val="auto"/>
          <w:szCs w:val="21"/>
          <w:highlight w:val="none"/>
        </w:rPr>
        <w:t>同类项目成功案例一览表</w:t>
      </w:r>
      <w:r>
        <w:rPr>
          <w:rFonts w:hint="eastAsia" w:ascii="宋体" w:hAnsi="宋体"/>
          <w:color w:val="auto"/>
          <w:szCs w:val="21"/>
          <w:highlight w:val="none"/>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9</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20.</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21.</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rPr>
              <w:t>投标文件</w:t>
            </w:r>
            <w:r>
              <w:rPr>
                <w:rFonts w:hint="eastAsia" w:ascii="宋体" w:hAnsi="宋体" w:cs="宋体"/>
                <w:color w:val="000000" w:themeColor="text1"/>
                <w:szCs w:val="21"/>
                <w14:textFill>
                  <w14:solidFill>
                    <w14:schemeClr w14:val="tx1"/>
                  </w14:solidFill>
                </w14:textFill>
              </w:rPr>
              <w:t>按照招标文件要求进行报价</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b/>
                <w:szCs w:val="21"/>
                <w:lang w:eastAsia="zh-CN"/>
              </w:rPr>
              <w:t>一、</w:t>
            </w: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52" w:type="dxa"/>
            <w:gridSpan w:val="4"/>
            <w:noWrap w:val="0"/>
            <w:vAlign w:val="top"/>
          </w:tcPr>
          <w:p>
            <w:pPr>
              <w:spacing w:line="360" w:lineRule="exact"/>
              <w:jc w:val="center"/>
              <w:rPr>
                <w:rFonts w:ascii="宋体" w:hAnsi="宋体"/>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center"/>
          </w:tcPr>
          <w:p>
            <w:pPr>
              <w:spacing w:line="360" w:lineRule="exact"/>
              <w:jc w:val="center"/>
              <w:rPr>
                <w:rFonts w:hint="eastAsia" w:ascii="宋体" w:hAnsi="宋体"/>
                <w:szCs w:val="21"/>
                <w:lang w:eastAsia="zh-CN"/>
              </w:rPr>
            </w:pPr>
            <w:r>
              <w:rPr>
                <w:rFonts w:hint="eastAsia" w:ascii="宋体" w:hAnsi="宋体"/>
                <w:szCs w:val="21"/>
              </w:rPr>
              <w:t>其他资料</w:t>
            </w:r>
          </w:p>
        </w:tc>
        <w:tc>
          <w:tcPr>
            <w:tcW w:w="4188" w:type="dxa"/>
            <w:noWrap w:val="0"/>
            <w:vAlign w:val="center"/>
          </w:tcPr>
          <w:p>
            <w:pPr>
              <w:rPr>
                <w:rFonts w:hint="eastAsia" w:ascii="宋体" w:hAnsi="宋体"/>
                <w:szCs w:val="21"/>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835" w:type="dxa"/>
            <w:noWrap w:val="0"/>
            <w:vAlign w:val="center"/>
          </w:tcPr>
          <w:p>
            <w:pPr>
              <w:spacing w:line="360" w:lineRule="exact"/>
              <w:jc w:val="center"/>
              <w:rPr>
                <w:rFonts w:hint="eastAsia" w:ascii="宋体" w:hAnsi="宋体" w:eastAsia="宋体"/>
                <w:szCs w:val="21"/>
                <w:lang w:eastAsia="zh-CN"/>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0"/>
        <w:rPr>
          <w:sz w:val="28"/>
          <w:szCs w:val="28"/>
        </w:rPr>
      </w:pPr>
    </w:p>
    <w:p>
      <w:pPr>
        <w:pStyle w:val="10"/>
        <w:rPr>
          <w:sz w:val="28"/>
          <w:szCs w:val="28"/>
        </w:rPr>
      </w:pPr>
    </w:p>
    <w:p>
      <w:pPr>
        <w:pStyle w:val="10"/>
        <w:rPr>
          <w:sz w:val="28"/>
          <w:szCs w:val="28"/>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6.政府采购违法行为风险知悉确认书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jc w:val="left"/>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bookmarkStart w:id="3" w:name="_Toc12573"/>
      <w:bookmarkStart w:id="4" w:name="_Toc29350"/>
      <w:r>
        <w:rPr>
          <w:rFonts w:hint="eastAsia" w:ascii="宋体" w:hAnsi="宋体" w:eastAsia="宋体" w:cs="Times New Roman"/>
          <w:b/>
          <w:bCs/>
          <w:szCs w:val="21"/>
          <w:lang w:val="en-US" w:eastAsia="zh-CN"/>
        </w:rPr>
        <w:t>提供投标单位法定代表人、主要经营负责人、项目投标授权代表人、项目负责人、主要技术人员最近一个月的社会保险</w:t>
      </w:r>
      <w:bookmarkEnd w:id="3"/>
      <w:bookmarkEnd w:id="4"/>
      <w:r>
        <w:rPr>
          <w:rFonts w:hint="eastAsia" w:ascii="宋体" w:hAnsi="宋体" w:eastAsia="宋体" w:cs="Times New Roman"/>
          <w:b/>
          <w:bCs/>
          <w:szCs w:val="21"/>
          <w:lang w:val="en-US" w:eastAsia="zh-CN"/>
        </w:rPr>
        <w:t>查询记录（包含在投标单位及其他缴纳社保单位的记录）；社保缴纳不满一年的按实际缴纳情况提供。</w:t>
      </w:r>
    </w:p>
    <w:p>
      <w:pPr>
        <w:spacing w:line="240" w:lineRule="auto"/>
        <w:rPr>
          <w:rFonts w:hint="eastAsia" w:ascii="宋体" w:hAnsi="宋体" w:eastAsia="宋体" w:cs="Times New Roman"/>
          <w:b w:val="0"/>
          <w:bCs/>
          <w:color w:val="FF0000"/>
          <w:szCs w:val="21"/>
          <w:lang w:eastAsia="zh-CN"/>
        </w:rPr>
      </w:pPr>
    </w:p>
    <w:p>
      <w:pPr>
        <w:spacing w:line="240" w:lineRule="auto"/>
        <w:rPr>
          <w:rFonts w:hint="eastAsia" w:ascii="宋体" w:hAnsi="宋体" w:eastAsia="宋体" w:cs="Times New Roman"/>
          <w:b w:val="0"/>
          <w:bCs/>
          <w:color w:val="FF0000"/>
          <w:szCs w:val="21"/>
          <w:lang w:eastAsia="zh-CN"/>
        </w:rPr>
      </w:pPr>
    </w:p>
    <w:p>
      <w:pPr>
        <w:spacing w:line="240" w:lineRule="auto"/>
        <w:rPr>
          <w:rFonts w:hint="eastAsia" w:ascii="宋体" w:hAnsi="宋体" w:eastAsia="宋体" w:cs="Times New Roman"/>
          <w:b w:val="0"/>
          <w:bCs/>
          <w:color w:val="FF0000"/>
          <w:szCs w:val="21"/>
        </w:rPr>
      </w:pPr>
      <w:r>
        <w:rPr>
          <w:rFonts w:hint="eastAsia" w:ascii="宋体" w:hAnsi="宋体" w:eastAsia="宋体" w:cs="Times New Roman"/>
          <w:b w:val="0"/>
          <w:bCs/>
          <w:color w:val="FF0000"/>
          <w:szCs w:val="21"/>
          <w:lang w:eastAsia="zh-CN"/>
        </w:rPr>
        <w:t>注：</w:t>
      </w:r>
      <w:r>
        <w:rPr>
          <w:rFonts w:hint="eastAsia" w:ascii="宋体" w:hAnsi="宋体" w:eastAsia="宋体" w:cs="Times New Roman"/>
          <w:b w:val="0"/>
          <w:bCs/>
          <w:color w:val="FF0000"/>
          <w:szCs w:val="21"/>
        </w:rPr>
        <w:t>由于社保部门或税务部门原因最近一个月的社保证明无法提供的可往前顺延一个月</w:t>
      </w:r>
      <w:r>
        <w:rPr>
          <w:rFonts w:hint="eastAsia" w:ascii="宋体" w:hAnsi="宋体" w:eastAsia="宋体" w:cs="Times New Roman"/>
          <w:b w:val="0"/>
          <w:bCs/>
          <w:color w:val="FF0000"/>
          <w:szCs w:val="21"/>
          <w:lang w:eastAsia="zh-CN"/>
        </w:rPr>
        <w:t>；如投标人为新成立企业且成立时间不足一个月可提供加盖投标人公章的情况说明或者证明材料亦视为符合。</w:t>
      </w:r>
      <w:r>
        <w:rPr>
          <w:rFonts w:hint="eastAsia" w:ascii="宋体" w:hAnsi="宋体" w:eastAsia="宋体" w:cs="Times New Roman"/>
          <w:b w:val="0"/>
          <w:bCs/>
          <w:color w:val="FF0000"/>
          <w:szCs w:val="21"/>
        </w:rPr>
        <w:t>如本项目未安排项目投标授权代表人、项目负责人、主要技术人员的，无需提供投标授权代表人、项目负责人、主要技术人员的社会保险证明</w:t>
      </w:r>
      <w:r>
        <w:rPr>
          <w:rFonts w:hint="eastAsia" w:ascii="宋体" w:hAnsi="宋体" w:eastAsia="宋体" w:cs="Times New Roman"/>
          <w:b w:val="0"/>
          <w:bCs/>
          <w:color w:val="FF0000"/>
          <w:szCs w:val="21"/>
          <w:lang w:eastAsia="zh-CN"/>
        </w:rPr>
        <w:t>。</w:t>
      </w:r>
      <w:r>
        <w:rPr>
          <w:rFonts w:hint="eastAsia" w:ascii="宋体" w:hAnsi="宋体" w:eastAsia="宋体" w:cs="Times New Roman"/>
          <w:b w:val="0"/>
          <w:bCs/>
          <w:color w:val="FF0000"/>
          <w:szCs w:val="21"/>
          <w:lang w:val="en-US" w:eastAsia="zh-CN"/>
        </w:rPr>
        <w:t>如为退休返聘人员提供退休证明和聘用合同。</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adjustRightInd w:val="0"/>
        <w:snapToGrid w:val="0"/>
        <w:spacing w:line="360" w:lineRule="auto"/>
        <w:jc w:val="right"/>
      </w:pP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8</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9.</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5" w:name="_Hlk72587269"/>
      <w:bookmarkStart w:id="6"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highlight w:val="none"/>
        </w:rPr>
        <w:t>。</w:t>
      </w:r>
    </w:p>
    <w:bookmarkEnd w:id="6"/>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spacing w:after="60"/>
        <w:jc w:val="center"/>
        <w:rPr>
          <w:rFonts w:hint="eastAsia"/>
        </w:rPr>
      </w:pPr>
      <w:r>
        <w:rPr>
          <w:rFonts w:hint="eastAsia"/>
        </w:rPr>
        <w:t>年     月    日</w:t>
      </w:r>
    </w:p>
    <w:p>
      <w:pPr>
        <w:spacing w:after="60"/>
        <w:jc w:val="center"/>
        <w:rPr>
          <w:rFonts w:hint="eastAsia"/>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7" w:name="_Toc9184"/>
      <w:bookmarkStart w:id="8" w:name="_Toc4720"/>
      <w:bookmarkStart w:id="9" w:name="_Toc1762"/>
      <w:bookmarkStart w:id="10" w:name="_Toc20322_WPSOffice_Level1"/>
      <w:bookmarkStart w:id="11" w:name="_Toc435515294"/>
      <w:bookmarkStart w:id="12" w:name="_Toc275865605"/>
      <w:bookmarkStart w:id="13" w:name="_Toc435514854"/>
      <w:r>
        <w:rPr>
          <w:rFonts w:hint="eastAsia" w:ascii="宋体" w:hAnsi="宋体"/>
          <w:b/>
          <w:bCs/>
          <w:szCs w:val="21"/>
        </w:rPr>
        <w:t>投标函</w:t>
      </w:r>
      <w:bookmarkEnd w:id="7"/>
      <w:bookmarkEnd w:id="8"/>
      <w:bookmarkEnd w:id="9"/>
      <w:bookmarkEnd w:id="10"/>
      <w:bookmarkEnd w:id="11"/>
      <w:bookmarkEnd w:id="12"/>
      <w:bookmarkEnd w:id="13"/>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pStyle w:val="23"/>
        <w:ind w:left="0" w:leftChars="0" w:firstLine="0" w:firstLineChars="0"/>
        <w:jc w:val="center"/>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lang w:eastAsia="zh-CN"/>
        </w:rPr>
        <w:t>项目实施方案及保障措施</w:t>
      </w:r>
    </w:p>
    <w:p>
      <w:pPr>
        <w:pStyle w:val="23"/>
        <w:ind w:left="0" w:leftChars="0" w:firstLine="0" w:firstLineChars="0"/>
        <w:jc w:val="center"/>
        <w:rPr>
          <w:rFonts w:hint="eastAsia" w:ascii="宋体" w:hAnsi="宋体" w:eastAsia="宋体" w:cs="Times New Roman"/>
          <w:b/>
          <w:bCs/>
          <w:szCs w:val="21"/>
          <w:highlight w:val="none"/>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pStyle w:val="23"/>
        <w:ind w:left="0" w:leftChars="0" w:firstLine="0" w:firstLineChars="0"/>
        <w:jc w:val="center"/>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lang w:eastAsia="zh-CN"/>
        </w:rPr>
        <w:t>售后服务方案</w:t>
      </w: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rPr>
      </w:pPr>
    </w:p>
    <w:p>
      <w:pPr>
        <w:pStyle w:val="23"/>
        <w:ind w:left="0" w:leftChars="0" w:firstLine="0" w:firstLineChars="0"/>
        <w:jc w:val="center"/>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1</w:t>
      </w:r>
      <w:r>
        <w:rPr>
          <w:rFonts w:hint="eastAsia" w:ascii="宋体" w:hAnsi="宋体" w:cs="Times New Roman"/>
          <w:b/>
          <w:bCs/>
          <w:szCs w:val="21"/>
          <w:highlight w:val="none"/>
          <w:lang w:val="en-US" w:eastAsia="zh-CN"/>
        </w:rPr>
        <w:t>3</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拟安排的项目主要团队成员情况</w:t>
      </w:r>
    </w:p>
    <w:p>
      <w:pPr>
        <w:spacing w:after="60"/>
        <w:ind w:left="842" w:leftChars="200" w:hanging="422" w:hangingChars="200"/>
        <w:jc w:val="center"/>
        <w:rPr>
          <w:rFonts w:hint="eastAsia" w:ascii="宋体" w:hAnsi="宋体" w:eastAsia="宋体" w:cs="Times New Roman"/>
          <w:b/>
          <w:bCs/>
          <w:szCs w:val="21"/>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3"/>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r>
              <w:rPr>
                <w:rFonts w:hint="eastAsia" w:ascii="宋体" w:eastAsia="宋体"/>
                <w:color w:val="auto"/>
                <w:sz w:val="21"/>
                <w:szCs w:val="21"/>
              </w:rPr>
              <w:t>总体要求</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可根据实际内容自行调整、延长，横版</w:t>
      </w: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5" w:name="_Hlk73558164"/>
      <w:r>
        <w:rPr>
          <w:rFonts w:hint="eastAsia" w:ascii="宋体" w:hAnsi="宋体" w:eastAsia="宋体" w:cs="仿宋"/>
          <w:b/>
          <w:bCs/>
          <w:color w:val="FF0000"/>
          <w:szCs w:val="21"/>
          <w:highlight w:val="none"/>
        </w:rPr>
        <w:t>均视为负偏离。</w:t>
      </w:r>
      <w:bookmarkEnd w:id="1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15.商务要求偏离表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4"/>
        <w:rPr>
          <w:rFonts w:hint="eastAsia" w:ascii="宋体" w:hAnsi="宋体" w:eastAsia="宋体" w:cs="Times New Roman"/>
          <w:b/>
          <w:bCs/>
          <w:szCs w:val="21"/>
          <w:lang w:val="en-US" w:eastAsia="zh-CN"/>
        </w:rPr>
      </w:pPr>
    </w:p>
    <w:p>
      <w:pPr>
        <w:pStyle w:val="24"/>
        <w:rPr>
          <w:rFonts w:hint="eastAsia" w:ascii="宋体" w:hAnsi="宋体" w:eastAsia="宋体" w:cs="Times New Roman"/>
          <w:b/>
          <w:bCs/>
          <w:szCs w:val="21"/>
          <w:lang w:val="en-US" w:eastAsia="zh-CN"/>
        </w:rPr>
      </w:pPr>
    </w:p>
    <w:p>
      <w:pPr>
        <w:pStyle w:val="7"/>
        <w:ind w:left="0" w:leftChars="0" w:firstLine="0" w:firstLineChars="0"/>
        <w:rPr>
          <w:rFonts w:hint="eastAsia"/>
          <w:lang w:val="en-US" w:eastAsia="zh-CN"/>
        </w:rPr>
      </w:pPr>
    </w:p>
    <w:p>
      <w:pPr>
        <w:numPr>
          <w:ilvl w:val="0"/>
          <w:numId w:val="0"/>
        </w:num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16.投标人通过相关认证情况</w:t>
      </w: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17.</w:t>
      </w:r>
      <w:r>
        <w:rPr>
          <w:rFonts w:hint="eastAsia" w:ascii="宋体" w:hAnsi="宋体" w:eastAsia="宋体" w:cs="Times New Roman"/>
          <w:b/>
          <w:bCs/>
          <w:szCs w:val="21"/>
        </w:rPr>
        <w:t>投标人自主知识产权产品（创新、设计）情况</w:t>
      </w: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18.</w:t>
      </w:r>
      <w:r>
        <w:rPr>
          <w:rFonts w:hint="eastAsia" w:ascii="宋体" w:hAnsi="宋体" w:eastAsia="宋体" w:cs="Times New Roman"/>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9.</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hint="eastAsia" w:ascii="Times New Roman" w:hAnsi="Times New Roman" w:eastAsia="宋体" w:cs="Times New Roman"/>
          <w:b/>
        </w:rPr>
      </w:pPr>
    </w:p>
    <w:p>
      <w:pPr>
        <w:spacing w:line="360" w:lineRule="auto"/>
        <w:rPr>
          <w:rFonts w:hint="eastAsia" w:ascii="Times New Roman" w:hAnsi="Times New Roman" w:eastAsia="宋体" w:cs="Times New Roman"/>
          <w:b/>
        </w:rPr>
      </w:pPr>
      <w:r>
        <w:rPr>
          <w:rFonts w:hint="eastAsia" w:ascii="Times New Roman" w:hAnsi="Times New Roman" w:eastAsia="宋体" w:cs="Times New Roman"/>
          <w:b/>
        </w:rPr>
        <w:t>致</w:t>
      </w:r>
      <w:r>
        <w:rPr>
          <w:rFonts w:hint="eastAsia" w:ascii="Times New Roman" w:hAnsi="Times New Roman" w:eastAsia="宋体" w:cs="Times New Roman"/>
          <w:b/>
          <w:lang w:eastAsia="zh-CN"/>
        </w:rPr>
        <w:t>深圳市中西医结合医院</w:t>
      </w:r>
      <w:r>
        <w:rPr>
          <w:rFonts w:hint="eastAsia" w:ascii="Times New Roman" w:hAnsi="Times New Roman" w:eastAsia="宋体" w:cs="Times New Roman"/>
          <w:b/>
        </w:rPr>
        <w:t>：</w:t>
      </w:r>
    </w:p>
    <w:p>
      <w:pPr>
        <w:spacing w:line="400" w:lineRule="exact"/>
        <w:ind w:left="1" w:firstLine="420" w:firstLineChars="200"/>
        <w:rPr>
          <w:rFonts w:hint="eastAsia" w:ascii="宋体" w:hAnsi="宋体"/>
          <w:szCs w:val="21"/>
        </w:rPr>
      </w:pPr>
    </w:p>
    <w:p>
      <w:pPr>
        <w:spacing w:line="400" w:lineRule="exact"/>
        <w:ind w:left="1"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（公司名称）   </w:t>
      </w:r>
      <w:r>
        <w:rPr>
          <w:rFonts w:hint="eastAsia" w:ascii="宋体" w:hAnsi="宋体"/>
          <w:szCs w:val="21"/>
        </w:rPr>
        <w:t>参与贵代理机构组织的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）投标，现就企业诚信作如下承诺：</w:t>
      </w:r>
    </w:p>
    <w:p>
      <w:pPr>
        <w:spacing w:line="400" w:lineRule="exact"/>
        <w:ind w:firstLine="420" w:firstLineChars="20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截止至投标截止前一天下午17：00（北京时间）止，</w:t>
      </w:r>
      <w:r>
        <w:rPr>
          <w:rFonts w:hint="eastAsia" w:ascii="宋体" w:hAnsi="宋体"/>
          <w:szCs w:val="21"/>
        </w:rPr>
        <w:t>我司未有任何仍处于受惩罚和禁止期内的违法违规、不良信用等记录。</w:t>
      </w:r>
    </w:p>
    <w:p>
      <w:pPr>
        <w:spacing w:line="400" w:lineRule="exact"/>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400" w:lineRule="exact"/>
        <w:ind w:firstLine="420" w:firstLineChars="200"/>
        <w:rPr>
          <w:rFonts w:ascii="宋体" w:hAnsi="宋体"/>
          <w:szCs w:val="21"/>
        </w:rPr>
      </w:pPr>
      <w:r>
        <w:rPr>
          <w:rFonts w:hint="eastAsia" w:ascii="宋体" w:hAnsi="宋体"/>
          <w:szCs w:val="21"/>
        </w:rPr>
        <w:t>我司对上述内容的真实性负责。如有虚假，将依法承担相应责任。</w:t>
      </w:r>
    </w:p>
    <w:p>
      <w:pPr>
        <w:spacing w:line="400" w:lineRule="exact"/>
        <w:ind w:firstLine="420" w:firstLineChars="200"/>
        <w:jc w:val="left"/>
        <w:rPr>
          <w:rFonts w:ascii="宋体" w:hAnsi="宋体"/>
          <w:szCs w:val="21"/>
        </w:rPr>
      </w:pPr>
      <w:r>
        <w:rPr>
          <w:rFonts w:hint="eastAsia" w:ascii="宋体" w:hAnsi="宋体"/>
          <w:szCs w:val="21"/>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rPr>
      </w:pPr>
      <w:r>
        <w:rPr>
          <w:rFonts w:hint="eastAsia" w:ascii="宋体" w:hAnsi="宋体"/>
          <w:b/>
          <w:bCs/>
          <w:szCs w:val="21"/>
          <w:lang w:val="en-US" w:eastAsia="zh-CN"/>
        </w:rPr>
        <w:t>20.</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2"/>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SZSZXYJHYY202401010</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576"/>
        <w:gridCol w:w="258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项目名称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w:t>
            </w:r>
            <w:r>
              <w:rPr>
                <w:rFonts w:hint="eastAsia" w:cs="Times New Roman"/>
                <w:color w:val="FF0000"/>
                <w:sz w:val="18"/>
                <w:szCs w:val="18"/>
                <w:lang w:val="en-US" w:eastAsia="zh-CN"/>
              </w:rPr>
              <w:t>“互联网+护理”信息系统及可视化平台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30"/>
          <w:szCs w:val="30"/>
        </w:rPr>
        <w:t>（如有）</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表中的报价合计金额一致。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w:t>
      </w:r>
      <w:r>
        <w:rPr>
          <w:rFonts w:hint="eastAsia" w:ascii="宋体" w:hAnsi="宋体" w:cs="Arial"/>
          <w:color w:val="000000"/>
          <w:kern w:val="0"/>
          <w:sz w:val="18"/>
          <w:szCs w:val="18"/>
          <w:lang w:eastAsia="zh-CN"/>
        </w:rPr>
        <w:t>投标单价</w:t>
      </w:r>
      <w:r>
        <w:rPr>
          <w:rFonts w:hint="eastAsia" w:ascii="宋体" w:hAnsi="宋体" w:eastAsia="宋体" w:cs="Arial"/>
          <w:color w:val="000000"/>
          <w:kern w:val="0"/>
          <w:sz w:val="18"/>
          <w:szCs w:val="18"/>
          <w:lang w:eastAsia="zh-CN"/>
        </w:rPr>
        <w:t>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报价（投标单价）为空白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（投标单价）</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1F301B93"/>
    <w:multiLevelType w:val="multilevel"/>
    <w:tmpl w:val="1F301B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9839A8"/>
    <w:multiLevelType w:val="multilevel"/>
    <w:tmpl w:val="1F9839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17D9A"/>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A50E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0A60E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2B4C72"/>
    <w:rsid w:val="16682A4D"/>
    <w:rsid w:val="16976668"/>
    <w:rsid w:val="16B06CB0"/>
    <w:rsid w:val="16CF6EA7"/>
    <w:rsid w:val="16E73BF2"/>
    <w:rsid w:val="16F322EC"/>
    <w:rsid w:val="16FE7144"/>
    <w:rsid w:val="171D395F"/>
    <w:rsid w:val="17244343"/>
    <w:rsid w:val="173E4D36"/>
    <w:rsid w:val="176C1D8E"/>
    <w:rsid w:val="17737B58"/>
    <w:rsid w:val="179961E4"/>
    <w:rsid w:val="17A34B99"/>
    <w:rsid w:val="17A925A5"/>
    <w:rsid w:val="17B85BEA"/>
    <w:rsid w:val="17CF370E"/>
    <w:rsid w:val="17D648CC"/>
    <w:rsid w:val="17F90C5D"/>
    <w:rsid w:val="180E2250"/>
    <w:rsid w:val="181D7982"/>
    <w:rsid w:val="18447D7E"/>
    <w:rsid w:val="189C216D"/>
    <w:rsid w:val="189E62C7"/>
    <w:rsid w:val="18A84B5D"/>
    <w:rsid w:val="18CB35CA"/>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C827B3"/>
    <w:rsid w:val="1BE61499"/>
    <w:rsid w:val="1C191021"/>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9D0A56"/>
    <w:rsid w:val="22AD5AB9"/>
    <w:rsid w:val="22AF5C0A"/>
    <w:rsid w:val="22B34460"/>
    <w:rsid w:val="22C20924"/>
    <w:rsid w:val="22C5630B"/>
    <w:rsid w:val="22C73F51"/>
    <w:rsid w:val="230D7C4B"/>
    <w:rsid w:val="233A160D"/>
    <w:rsid w:val="234343DB"/>
    <w:rsid w:val="235454AA"/>
    <w:rsid w:val="235C432D"/>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162708"/>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353BA3"/>
    <w:rsid w:val="2A3858DD"/>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3F712F"/>
    <w:rsid w:val="2C416842"/>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5E430F"/>
    <w:rsid w:val="2E640B9D"/>
    <w:rsid w:val="2E6464CE"/>
    <w:rsid w:val="2E704FCB"/>
    <w:rsid w:val="2EA319BC"/>
    <w:rsid w:val="2EBA783B"/>
    <w:rsid w:val="2ECD1FFB"/>
    <w:rsid w:val="2ED901B3"/>
    <w:rsid w:val="2EE66610"/>
    <w:rsid w:val="2EFA10EB"/>
    <w:rsid w:val="2F267D97"/>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3F71F3A"/>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590826"/>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8A6F7D"/>
    <w:rsid w:val="41A97753"/>
    <w:rsid w:val="420924A2"/>
    <w:rsid w:val="42383A3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1C228B"/>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04478"/>
    <w:rsid w:val="496833C9"/>
    <w:rsid w:val="49761F90"/>
    <w:rsid w:val="49930838"/>
    <w:rsid w:val="49DF34A6"/>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CDE1D38"/>
    <w:rsid w:val="4D1A38E3"/>
    <w:rsid w:val="4D201B11"/>
    <w:rsid w:val="4D2515D1"/>
    <w:rsid w:val="4D600B2B"/>
    <w:rsid w:val="4DE1199C"/>
    <w:rsid w:val="4E0C130F"/>
    <w:rsid w:val="4E347D1E"/>
    <w:rsid w:val="4E361CE8"/>
    <w:rsid w:val="4E8F5BAA"/>
    <w:rsid w:val="4EAF00C0"/>
    <w:rsid w:val="4F0F4042"/>
    <w:rsid w:val="4F5A7C58"/>
    <w:rsid w:val="4F7401D1"/>
    <w:rsid w:val="4FAD7EE7"/>
    <w:rsid w:val="4FB2638A"/>
    <w:rsid w:val="4FB5472F"/>
    <w:rsid w:val="50004A96"/>
    <w:rsid w:val="5006632F"/>
    <w:rsid w:val="50226667"/>
    <w:rsid w:val="50302767"/>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66141B"/>
    <w:rsid w:val="587720BA"/>
    <w:rsid w:val="58832CFD"/>
    <w:rsid w:val="58BB0201"/>
    <w:rsid w:val="58CB0554"/>
    <w:rsid w:val="58DD0FB2"/>
    <w:rsid w:val="58F61A44"/>
    <w:rsid w:val="59656994"/>
    <w:rsid w:val="59730E5F"/>
    <w:rsid w:val="597C07CB"/>
    <w:rsid w:val="59982BEC"/>
    <w:rsid w:val="59B312EF"/>
    <w:rsid w:val="59BC747E"/>
    <w:rsid w:val="59C45C79"/>
    <w:rsid w:val="59FD66E3"/>
    <w:rsid w:val="5A464050"/>
    <w:rsid w:val="5A9336B3"/>
    <w:rsid w:val="5B0A1BC6"/>
    <w:rsid w:val="5B8A0775"/>
    <w:rsid w:val="5B8E21EC"/>
    <w:rsid w:val="5BC36D74"/>
    <w:rsid w:val="5BDB7A2A"/>
    <w:rsid w:val="5C026DC7"/>
    <w:rsid w:val="5C5F523E"/>
    <w:rsid w:val="5C646491"/>
    <w:rsid w:val="5C653CAB"/>
    <w:rsid w:val="5C6C5216"/>
    <w:rsid w:val="5C7C3E2C"/>
    <w:rsid w:val="5C8B32B0"/>
    <w:rsid w:val="5C8C02D4"/>
    <w:rsid w:val="5C8C4481"/>
    <w:rsid w:val="5CA51D25"/>
    <w:rsid w:val="5D0019E7"/>
    <w:rsid w:val="5D093E95"/>
    <w:rsid w:val="5D1F7DEB"/>
    <w:rsid w:val="5D236BEC"/>
    <w:rsid w:val="5D3450FE"/>
    <w:rsid w:val="5D3F704E"/>
    <w:rsid w:val="5D61053F"/>
    <w:rsid w:val="5D965549"/>
    <w:rsid w:val="5DB50452"/>
    <w:rsid w:val="5DCC7650"/>
    <w:rsid w:val="5E121CB6"/>
    <w:rsid w:val="5E143F51"/>
    <w:rsid w:val="5E157B50"/>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216FB"/>
    <w:rsid w:val="650A4969"/>
    <w:rsid w:val="650F0261"/>
    <w:rsid w:val="655628AA"/>
    <w:rsid w:val="6560466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8F1773A"/>
    <w:rsid w:val="695953E3"/>
    <w:rsid w:val="697F6375"/>
    <w:rsid w:val="699A190E"/>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AF0839"/>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E289F"/>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5D47C3"/>
    <w:rsid w:val="749D3FBF"/>
    <w:rsid w:val="74D86DD0"/>
    <w:rsid w:val="74E17DA6"/>
    <w:rsid w:val="7513138F"/>
    <w:rsid w:val="75330480"/>
    <w:rsid w:val="75664763"/>
    <w:rsid w:val="75722D56"/>
    <w:rsid w:val="75972DD8"/>
    <w:rsid w:val="75F61BD9"/>
    <w:rsid w:val="76364BE7"/>
    <w:rsid w:val="76421FBB"/>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905EA0"/>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40F3A"/>
    <w:rsid w:val="7EAB0BB3"/>
    <w:rsid w:val="7ED607F9"/>
    <w:rsid w:val="7EED6BBA"/>
    <w:rsid w:val="7F061C9D"/>
    <w:rsid w:val="7F4B0A8D"/>
    <w:rsid w:val="7F720D1E"/>
    <w:rsid w:val="7F792F33"/>
    <w:rsid w:val="7FB2532D"/>
    <w:rsid w:val="7FB5214A"/>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cs="宋体"/>
      <w:szCs w:val="21"/>
    </w:rPr>
  </w:style>
  <w:style w:type="paragraph" w:styleId="11">
    <w:name w:val="Body Text Indent 2"/>
    <w:basedOn w:val="1"/>
    <w:next w:val="1"/>
    <w:autoRedefine/>
    <w:qFormat/>
    <w:uiPriority w:val="0"/>
    <w:pPr>
      <w:widowControl/>
      <w:spacing w:line="360" w:lineRule="auto"/>
      <w:ind w:left="784"/>
      <w:jc w:val="left"/>
    </w:pPr>
    <w:rPr>
      <w:kern w:val="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autoRedefine/>
    <w:unhideWhenUsed/>
    <w:qFormat/>
    <w:uiPriority w:val="0"/>
    <w:pPr>
      <w:spacing w:before="25" w:after="25" w:line="300" w:lineRule="auto"/>
    </w:pPr>
    <w:rPr>
      <w:rFonts w:ascii="Times" w:hAnsi="Times"/>
      <w:spacing w:val="10"/>
      <w:sz w:val="24"/>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22</TotalTime>
  <ScaleCrop>false</ScaleCrop>
  <LinksUpToDate>false</LinksUpToDate>
  <CharactersWithSpaces>20593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油菜花-郑工</cp:lastModifiedBy>
  <dcterms:modified xsi:type="dcterms:W3CDTF">2024-01-25T02:03:14Z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87E93087799B476A960718123136401A_13</vt:lpwstr>
  </property>
</Properties>
</file>