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100" w:beforeAutospacing="1" w:after="100" w:afterAutospacing="1"/>
        <w:jc w:val="left"/>
        <w:rPr>
          <w:rFonts w:hint="eastAsia" w:ascii="宋体" w:hAnsi="宋体" w:eastAsia="宋体" w:cs="宋体"/>
          <w:b/>
          <w:bCs/>
          <w:sz w:val="28"/>
          <w:szCs w:val="28"/>
        </w:rPr>
      </w:pPr>
      <w:r>
        <w:rPr>
          <w:rFonts w:hint="eastAsia" w:ascii="宋体" w:hAnsi="宋体" w:eastAsia="宋体" w:cs="宋体"/>
          <w:b/>
          <w:bCs/>
          <w:sz w:val="28"/>
          <w:szCs w:val="28"/>
        </w:rPr>
        <w:t>附件6</w:t>
      </w:r>
    </w:p>
    <w:tbl>
      <w:tblPr>
        <w:tblStyle w:val="2"/>
        <w:tblW w:w="9460" w:type="dxa"/>
        <w:tblInd w:w="108" w:type="dxa"/>
        <w:tblLayout w:type="fixed"/>
        <w:tblCellMar>
          <w:top w:w="0" w:type="dxa"/>
          <w:left w:w="108" w:type="dxa"/>
          <w:bottom w:w="0" w:type="dxa"/>
          <w:right w:w="108" w:type="dxa"/>
        </w:tblCellMar>
      </w:tblPr>
      <w:tblGrid>
        <w:gridCol w:w="760"/>
        <w:gridCol w:w="5300"/>
        <w:gridCol w:w="1580"/>
        <w:gridCol w:w="1820"/>
      </w:tblGrid>
      <w:tr>
        <w:tblPrEx>
          <w:tblCellMar>
            <w:top w:w="0" w:type="dxa"/>
            <w:left w:w="108" w:type="dxa"/>
            <w:bottom w:w="0" w:type="dxa"/>
            <w:right w:w="108" w:type="dxa"/>
          </w:tblCellMar>
        </w:tblPrEx>
        <w:trPr>
          <w:trHeight w:val="645" w:hRule="atLeast"/>
        </w:trPr>
        <w:tc>
          <w:tcPr>
            <w:tcW w:w="9460" w:type="dxa"/>
            <w:gridSpan w:val="4"/>
            <w:tcBorders>
              <w:top w:val="nil"/>
              <w:left w:val="nil"/>
              <w:bottom w:val="nil"/>
              <w:right w:val="nil"/>
            </w:tcBorders>
            <w:shd w:val="clear" w:color="auto" w:fill="auto"/>
            <w:vAlign w:val="center"/>
          </w:tcPr>
          <w:p>
            <w:pPr>
              <w:widowControl/>
              <w:snapToGrid w:val="0"/>
              <w:spacing w:before="100" w:beforeAutospacing="1" w:after="100" w:afterAutospacing="1"/>
              <w:jc w:val="center"/>
              <w:rPr>
                <w:rFonts w:ascii="宋体" w:hAnsi="宋体" w:cs="宋体"/>
                <w:b/>
                <w:bCs/>
                <w:kern w:val="0"/>
                <w:sz w:val="28"/>
                <w:szCs w:val="28"/>
              </w:rPr>
            </w:pPr>
            <w:r>
              <w:rPr>
                <w:rFonts w:hint="eastAsia" w:ascii="仿宋_GB2312" w:eastAsia="仿宋_GB2312"/>
                <w:b/>
                <w:bCs/>
                <w:sz w:val="40"/>
              </w:rPr>
              <w:t>售后服务响应表</w:t>
            </w:r>
          </w:p>
        </w:tc>
      </w:tr>
      <w:tr>
        <w:tblPrEx>
          <w:tblCellMar>
            <w:top w:w="0" w:type="dxa"/>
            <w:left w:w="108" w:type="dxa"/>
            <w:bottom w:w="0" w:type="dxa"/>
            <w:right w:w="108" w:type="dxa"/>
          </w:tblCellMar>
        </w:tblPrEx>
        <w:trPr>
          <w:trHeight w:val="675" w:hRule="atLeast"/>
        </w:trPr>
        <w:tc>
          <w:tcPr>
            <w:tcW w:w="9460" w:type="dxa"/>
            <w:gridSpan w:val="4"/>
            <w:tcBorders>
              <w:top w:val="nil"/>
              <w:left w:val="nil"/>
              <w:bottom w:val="single" w:color="auto" w:sz="8"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注意：响应情况分为</w:t>
            </w:r>
            <w:r>
              <w:rPr>
                <w:rFonts w:hint="eastAsia" w:ascii="宋体" w:hAnsi="宋体" w:cs="宋体"/>
                <w:kern w:val="0"/>
                <w:sz w:val="24"/>
                <w:lang w:val="en-US" w:eastAsia="zh-CN"/>
              </w:rPr>
              <w:t>四</w:t>
            </w:r>
            <w:r>
              <w:rPr>
                <w:rFonts w:hint="eastAsia" w:ascii="宋体" w:hAnsi="宋体" w:cs="宋体"/>
                <w:kern w:val="0"/>
                <w:sz w:val="24"/>
              </w:rPr>
              <w:t>种，</w:t>
            </w:r>
            <w:r>
              <w:rPr>
                <w:rFonts w:hint="eastAsia" w:ascii="宋体" w:hAnsi="宋体" w:cs="宋体"/>
                <w:kern w:val="0"/>
                <w:sz w:val="24"/>
                <w:lang w:eastAsia="zh-CN"/>
              </w:rPr>
              <w:t>“</w:t>
            </w:r>
            <w:r>
              <w:rPr>
                <w:rFonts w:hint="eastAsia" w:ascii="宋体" w:hAnsi="宋体" w:cs="宋体"/>
                <w:kern w:val="0"/>
                <w:sz w:val="24"/>
                <w:lang w:val="en-US" w:eastAsia="zh-CN"/>
              </w:rPr>
              <w:t>不适用</w:t>
            </w:r>
            <w:r>
              <w:rPr>
                <w:rFonts w:hint="eastAsia" w:ascii="宋体" w:hAnsi="宋体" w:cs="宋体"/>
                <w:kern w:val="0"/>
                <w:sz w:val="24"/>
                <w:lang w:eastAsia="zh-CN"/>
              </w:rPr>
              <w:t>”、</w:t>
            </w:r>
            <w:r>
              <w:rPr>
                <w:rFonts w:hint="eastAsia" w:ascii="宋体" w:hAnsi="宋体" w:cs="宋体"/>
                <w:kern w:val="0"/>
                <w:sz w:val="24"/>
              </w:rPr>
              <w:t>“不响应”、“响应”和“优于”，请投标企业根据实际情况填写。若填写的是</w:t>
            </w:r>
            <w:r>
              <w:rPr>
                <w:rFonts w:hint="eastAsia" w:ascii="宋体" w:hAnsi="宋体" w:cs="宋体"/>
                <w:kern w:val="0"/>
                <w:sz w:val="24"/>
                <w:lang w:eastAsia="zh-CN"/>
              </w:rPr>
              <w:t>“</w:t>
            </w:r>
            <w:r>
              <w:rPr>
                <w:rFonts w:hint="eastAsia" w:ascii="宋体" w:hAnsi="宋体" w:cs="宋体"/>
                <w:kern w:val="0"/>
                <w:sz w:val="24"/>
                <w:lang w:val="en-US" w:eastAsia="zh-CN"/>
              </w:rPr>
              <w:t>不适用</w:t>
            </w:r>
            <w:r>
              <w:rPr>
                <w:rFonts w:hint="eastAsia" w:ascii="宋体" w:hAnsi="宋体" w:cs="宋体"/>
                <w:kern w:val="0"/>
                <w:sz w:val="24"/>
                <w:lang w:eastAsia="zh-CN"/>
              </w:rPr>
              <w:t>”、</w:t>
            </w:r>
            <w:r>
              <w:rPr>
                <w:rFonts w:hint="eastAsia" w:ascii="宋体" w:hAnsi="宋体" w:cs="宋体"/>
                <w:kern w:val="0"/>
                <w:sz w:val="24"/>
              </w:rPr>
              <w:t>“不响应”和“优于”，必须详细填写“说明”。</w:t>
            </w: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53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服务条款</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响应情况（不响应/响应/优于）</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tblPrEx>
          <w:tblCellMar>
            <w:top w:w="0" w:type="dxa"/>
            <w:left w:w="108" w:type="dxa"/>
            <w:bottom w:w="0" w:type="dxa"/>
            <w:right w:w="108" w:type="dxa"/>
          </w:tblCellMar>
        </w:tblPrEx>
        <w:trPr>
          <w:trHeight w:val="412"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1</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送货及库存：</w:t>
            </w:r>
          </w:p>
        </w:tc>
      </w:tr>
      <w:tr>
        <w:tblPrEx>
          <w:tblCellMar>
            <w:top w:w="0" w:type="dxa"/>
            <w:left w:w="108" w:type="dxa"/>
            <w:bottom w:w="0" w:type="dxa"/>
            <w:right w:w="108" w:type="dxa"/>
          </w:tblCellMar>
        </w:tblPrEx>
        <w:trPr>
          <w:trHeight w:val="555"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在本地（深圳市）设有产品库，在合同有效期内，保证货源充足，无偿提供配套器械。</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保证按照医院指定地点和时间准时送货上门（不分节假日），公司承担全部运费且到达前的损失由公司承担。</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紧急配送（如急诊手术等）保证1小时内送达，同时保证配套仪器随产品一起送达。</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825"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按照医院要求，高值类手术耗材的产品须在医院建立库存。手术数量明显增加的情况下，必须在医院放置备用的手术所需的耗材。</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46"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所有植入物必须提供原厂完整齐备的资料。</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1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特殊的产品可紧急进行市外调货，以满足医院临床要求。</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2</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退换货：</w:t>
            </w:r>
          </w:p>
        </w:tc>
      </w:tr>
      <w:tr>
        <w:tblPrEx>
          <w:tblCellMar>
            <w:top w:w="0" w:type="dxa"/>
            <w:left w:w="108" w:type="dxa"/>
            <w:bottom w:w="0" w:type="dxa"/>
            <w:right w:w="108" w:type="dxa"/>
          </w:tblCellMar>
        </w:tblPrEx>
        <w:trPr>
          <w:trHeight w:val="585"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医院接受货物后若有疑义或使用前发现不宜使用的现象，公司随时提供免费退换货服务。</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138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近效期退换：对于接近有效期的产品（近效期3个月或以上的），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281"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3</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技术支持：</w:t>
            </w:r>
          </w:p>
        </w:tc>
      </w:tr>
      <w:tr>
        <w:tblPrEx>
          <w:tblCellMar>
            <w:top w:w="0" w:type="dxa"/>
            <w:left w:w="108" w:type="dxa"/>
            <w:bottom w:w="0" w:type="dxa"/>
            <w:right w:w="108" w:type="dxa"/>
          </w:tblCellMar>
        </w:tblPrEx>
        <w:trPr>
          <w:trHeight w:val="234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免费跟台服务：①跟台人员严格遵守医院植入类耗材的相关管理制度，并保证按医院流程和规范进行操作。跟台人员必须为专业人员，完全熟悉耗材产品的种类、型号及其用途。②术前认真了解病人的病情，以保证术中产品的正确使用。必须派专人跟台，跟台人员必须提前30分钟到达手术室，协助手术室护士查手术所需的耗材，手术过程中有专业跟台人员配合手术并进行台旁指导，并确保护士知道产品配套仪器的使用。③24小时服务支持,包括一个专门的人员和电话号码。服务支持应该包括节假日。</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89"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免费提供产品的售后技术培训与医用支持，定期配合医院免费为临床医护人员提供新技术培训，确保我院医护人员能够有效和</w:t>
            </w:r>
            <w:r>
              <w:rPr>
                <w:rFonts w:hint="eastAsia" w:ascii="宋体" w:hAnsi="宋体" w:cs="宋体"/>
                <w:kern w:val="0"/>
                <w:sz w:val="20"/>
                <w:szCs w:val="20"/>
                <w:lang w:eastAsia="zh-CN"/>
              </w:rPr>
              <w:t>安全地使用</w:t>
            </w:r>
            <w:r>
              <w:rPr>
                <w:rFonts w:hint="eastAsia" w:ascii="宋体" w:hAnsi="宋体" w:cs="宋体"/>
                <w:kern w:val="0"/>
                <w:sz w:val="20"/>
                <w:szCs w:val="20"/>
              </w:rPr>
              <w:t>产品和配套的仪器。提供成套产品手册清单供手术室护士参考。同时应该为手术室护士提供详细使用说明手册供术前参考，并提供简明手册供护士快速查找。</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0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公司有建立学术群，可对特殊病例、疑难手术等提供支持，如联合会诊、病案讨论、专题研究等。</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0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学术交流活动并定期邀请专家到我院讲课交流。学术会议及外出学习根据医院相关管理制度严格执行。</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其他增值服务，双方定期（4-6个月）回顾服务质量和需求，来确保病人的安全和治病的效率。</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4"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4</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术后跟踪：</w:t>
            </w:r>
          </w:p>
        </w:tc>
      </w:tr>
      <w:tr>
        <w:tblPrEx>
          <w:tblCellMar>
            <w:top w:w="0" w:type="dxa"/>
            <w:left w:w="108" w:type="dxa"/>
            <w:bottom w:w="0" w:type="dxa"/>
            <w:right w:w="108" w:type="dxa"/>
          </w:tblCellMar>
        </w:tblPrEx>
        <w:trPr>
          <w:trHeight w:val="536"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公司有技术专员对病人进行术后的随访，保证问题及时反馈。</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825"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定期随访：要求投标公司3个月一次随访，交流存在的问题和产品的变化。如果有紧急问题可随时提出，厂家在下次使用前解决。</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94"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5</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流通控制（可追溯性）：</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公司有严格的产品市场流通记录控制程序，保证产品的可追溯性。</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8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保证序列号（条形码）标识的唯一性，有严格的序列号（条形码）跟踪制度，产品出厂检验资料至少保存10年以上，随时备查。</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每份产品的使用都建立术后质量跟踪档案，详细填写手术记录，随时被查。</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2"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6</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不良反应：</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一旦发生质量问题，公司保证接到通知后半小时内响应，两小时内赶到现场。</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84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在临床使用中若出现不良医疗反应现象，经国家相关质量监察部门鉴定后，确实属于产品质量问题的，公司承担全部责任。</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若医院发生与产品相关的事故，不论是否与产品质量有关，公司必须积极参与医院事故的处理。</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7</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质量保证：</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厂家质量承诺书。具有合法的医用耗材及配送资格的企业，严格按照采购方的要求，及时供货并提供全面完善的服务</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产品质量符合国家和国际承认的相应标准。</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33"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产品的包装及相关资料证件严格符合医院要求。</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7.4</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保证每次手术都提供原厂完整配套的操作仪器，保手术顺利进行。</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8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7.5</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保证产品的严格消毒灭菌，感染。</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7"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8</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对意外事故的保险处理：</w:t>
            </w:r>
          </w:p>
        </w:tc>
      </w:tr>
      <w:tr>
        <w:tblPrEx>
          <w:tblCellMar>
            <w:top w:w="0" w:type="dxa"/>
            <w:left w:w="108" w:type="dxa"/>
            <w:bottom w:w="0" w:type="dxa"/>
            <w:right w:w="108" w:type="dxa"/>
          </w:tblCellMar>
        </w:tblPrEx>
        <w:trPr>
          <w:trHeight w:val="451" w:hRule="atLeast"/>
        </w:trPr>
        <w:tc>
          <w:tcPr>
            <w:tcW w:w="760"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8.1</w:t>
            </w:r>
          </w:p>
        </w:tc>
        <w:tc>
          <w:tcPr>
            <w:tcW w:w="530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有相关的质量保险和赔付。</w:t>
            </w:r>
          </w:p>
        </w:tc>
        <w:tc>
          <w:tcPr>
            <w:tcW w:w="15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4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9</w:t>
            </w:r>
          </w:p>
        </w:tc>
        <w:tc>
          <w:tcPr>
            <w:tcW w:w="87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保证：</w:t>
            </w:r>
          </w:p>
        </w:tc>
      </w:tr>
      <w:tr>
        <w:tblPrEx>
          <w:tblCellMar>
            <w:top w:w="0" w:type="dxa"/>
            <w:left w:w="108" w:type="dxa"/>
            <w:bottom w:w="0" w:type="dxa"/>
            <w:right w:w="108" w:type="dxa"/>
          </w:tblCellMar>
        </w:tblPrEx>
        <w:trPr>
          <w:trHeight w:val="660"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9.1</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保证不向临床人员及职能部门提供礼品、回扣等，保证合法经营，不参加不良竞争。</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FF0000"/>
                <w:kern w:val="0"/>
                <w:sz w:val="20"/>
                <w:szCs w:val="20"/>
                <w:lang w:val="en-US" w:eastAsia="zh-CN"/>
              </w:rPr>
            </w:pPr>
            <w:r>
              <w:rPr>
                <w:rFonts w:hint="eastAsia" w:ascii="宋体" w:hAnsi="宋体" w:cs="宋体"/>
                <w:b/>
                <w:bCs/>
                <w:color w:val="FF0000"/>
                <w:kern w:val="0"/>
                <w:sz w:val="20"/>
                <w:szCs w:val="20"/>
                <w:lang w:val="en-US" w:eastAsia="zh-CN"/>
              </w:rPr>
              <w:t>★9.2</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FF0000"/>
                <w:kern w:val="0"/>
                <w:sz w:val="20"/>
                <w:szCs w:val="20"/>
                <w:lang w:eastAsia="zh-CN"/>
              </w:rPr>
            </w:pPr>
            <w:r>
              <w:rPr>
                <w:rFonts w:hint="eastAsia" w:ascii="宋体" w:hAnsi="宋体" w:cs="宋体"/>
                <w:b/>
                <w:bCs/>
                <w:color w:val="FF0000"/>
                <w:kern w:val="0"/>
                <w:sz w:val="20"/>
                <w:szCs w:val="20"/>
              </w:rPr>
              <w:t>作为医疗器械管理的中标产品需在深圳医用耗材阳光交易和监管平台签订线上采购合同，不配合在平台签订线上采购合同的将直接启用备选供应商，无备选供应商的将废标重新招标</w:t>
            </w:r>
            <w:r>
              <w:rPr>
                <w:rFonts w:hint="eastAsia" w:ascii="宋体" w:hAnsi="宋体" w:cs="宋体"/>
                <w:b/>
                <w:bCs/>
                <w:color w:val="FF0000"/>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r>
      <w:tr>
        <w:tblPrEx>
          <w:tblCellMar>
            <w:top w:w="0" w:type="dxa"/>
            <w:left w:w="108" w:type="dxa"/>
            <w:bottom w:w="0" w:type="dxa"/>
            <w:right w:w="108" w:type="dxa"/>
          </w:tblCellMar>
        </w:tblPrEx>
        <w:trPr>
          <w:trHeight w:val="660"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FF0000"/>
                <w:kern w:val="0"/>
                <w:sz w:val="20"/>
                <w:szCs w:val="20"/>
                <w:lang w:val="en-US" w:eastAsia="zh-CN"/>
              </w:rPr>
            </w:pPr>
            <w:r>
              <w:rPr>
                <w:rFonts w:hint="eastAsia" w:ascii="宋体" w:hAnsi="宋体" w:cs="宋体"/>
                <w:b/>
                <w:bCs/>
                <w:color w:val="FF0000"/>
                <w:kern w:val="0"/>
                <w:sz w:val="20"/>
                <w:szCs w:val="20"/>
                <w:lang w:val="en-US" w:eastAsia="zh-CN"/>
              </w:rPr>
              <w:t>★9.3</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b/>
                <w:bCs/>
                <w:color w:val="FF0000"/>
                <w:kern w:val="0"/>
                <w:sz w:val="20"/>
                <w:szCs w:val="20"/>
              </w:rPr>
            </w:pPr>
            <w:r>
              <w:rPr>
                <w:rFonts w:hint="eastAsia" w:ascii="宋体" w:hAnsi="宋体" w:cs="宋体"/>
                <w:b/>
                <w:bCs/>
                <w:color w:val="FF0000"/>
                <w:kern w:val="0"/>
                <w:sz w:val="20"/>
                <w:szCs w:val="20"/>
              </w:rPr>
              <w:t>可收费的医用耗材必须提供国家医保编码，如供货后无法提供国家医保编码将不予结算。</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r>
      <w:tr>
        <w:tblPrEx>
          <w:tblCellMar>
            <w:top w:w="0" w:type="dxa"/>
            <w:left w:w="108" w:type="dxa"/>
            <w:bottom w:w="0" w:type="dxa"/>
            <w:right w:w="108" w:type="dxa"/>
          </w:tblCellMar>
        </w:tblPrEx>
        <w:trPr>
          <w:trHeight w:val="660"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FF0000"/>
                <w:kern w:val="0"/>
                <w:sz w:val="20"/>
                <w:szCs w:val="20"/>
                <w:lang w:val="en-US" w:eastAsia="zh-CN"/>
              </w:rPr>
            </w:pPr>
            <w:r>
              <w:rPr>
                <w:rFonts w:hint="eastAsia" w:ascii="宋体" w:hAnsi="宋体" w:cs="宋体"/>
                <w:b/>
                <w:bCs/>
                <w:color w:val="FF0000"/>
                <w:kern w:val="0"/>
                <w:sz w:val="20"/>
                <w:szCs w:val="20"/>
                <w:lang w:val="en-US" w:eastAsia="zh-CN"/>
              </w:rPr>
              <w:t>★9.4</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b/>
                <w:bCs/>
                <w:color w:val="FF0000"/>
                <w:kern w:val="0"/>
                <w:sz w:val="20"/>
                <w:szCs w:val="20"/>
              </w:rPr>
            </w:pPr>
            <w:r>
              <w:rPr>
                <w:rFonts w:hint="eastAsia" w:ascii="宋体" w:hAnsi="宋体" w:cs="宋体"/>
                <w:b/>
                <w:bCs/>
                <w:color w:val="FF0000"/>
                <w:kern w:val="0"/>
                <w:sz w:val="20"/>
                <w:szCs w:val="20"/>
              </w:rPr>
              <w:t>作为医疗器械管理的产品价格不得高于广东省药品电子交易平台上的限价、深圳市阳光交易平台的限价；中标后如价格高于平台限价，直接按平台限价签订合同。</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r>
      <w:tr>
        <w:tblPrEx>
          <w:tblCellMar>
            <w:top w:w="0" w:type="dxa"/>
            <w:left w:w="108" w:type="dxa"/>
            <w:bottom w:w="0" w:type="dxa"/>
            <w:right w:w="108" w:type="dxa"/>
          </w:tblCellMar>
        </w:tblPrEx>
        <w:trPr>
          <w:trHeight w:val="660"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b/>
                <w:bCs/>
                <w:color w:val="FF0000"/>
                <w:kern w:val="0"/>
                <w:sz w:val="20"/>
                <w:szCs w:val="20"/>
                <w:lang w:val="en-US" w:eastAsia="zh-CN"/>
              </w:rPr>
            </w:pPr>
            <w:r>
              <w:rPr>
                <w:rFonts w:hint="eastAsia" w:ascii="宋体" w:hAnsi="宋体" w:cs="宋体"/>
                <w:b/>
                <w:bCs/>
                <w:color w:val="FF0000"/>
                <w:kern w:val="0"/>
                <w:sz w:val="20"/>
                <w:szCs w:val="20"/>
                <w:lang w:val="en-US" w:eastAsia="zh-CN"/>
              </w:rPr>
              <w:t>★9.5</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b/>
                <w:bCs/>
                <w:color w:val="FF0000"/>
                <w:kern w:val="0"/>
                <w:sz w:val="20"/>
                <w:szCs w:val="20"/>
                <w:lang w:val="en-US" w:eastAsia="zh-CN"/>
              </w:rPr>
            </w:pPr>
            <w:r>
              <w:rPr>
                <w:rFonts w:hint="eastAsia" w:ascii="宋体" w:hAnsi="宋体" w:cs="宋体"/>
                <w:b/>
                <w:bCs/>
                <w:color w:val="FF0000"/>
                <w:kern w:val="0"/>
                <w:sz w:val="20"/>
                <w:szCs w:val="20"/>
                <w:lang w:val="en-US" w:eastAsia="zh-CN"/>
              </w:rPr>
              <w:t>此次中标价为协议价格，如在合同执行期间价格在深圳市阳光交易平台上显示为红色区域，中标商无条件配合调价至黄区或绿区；不配合的</w:t>
            </w:r>
            <w:r>
              <w:rPr>
                <w:rFonts w:hint="eastAsia" w:ascii="宋体" w:hAnsi="宋体" w:cs="宋体"/>
                <w:b/>
                <w:bCs/>
                <w:color w:val="FF0000"/>
                <w:kern w:val="0"/>
                <w:sz w:val="20"/>
                <w:szCs w:val="20"/>
              </w:rPr>
              <w:t>将直接启用备选供应商，无备选供应商的将废标重新招标</w:t>
            </w:r>
            <w:r>
              <w:rPr>
                <w:rFonts w:hint="eastAsia" w:ascii="宋体" w:hAnsi="宋体" w:cs="宋体"/>
                <w:b/>
                <w:bCs/>
                <w:color w:val="FF0000"/>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MWNiNDQyMWU5ODMxOTA3YWY5NmQ4YmZlOWE2MzUifQ=="/>
  </w:docVars>
  <w:rsids>
    <w:rsidRoot w:val="63EF4ED1"/>
    <w:rsid w:val="0F4E7E7E"/>
    <w:rsid w:val="1F777037"/>
    <w:rsid w:val="292F0D93"/>
    <w:rsid w:val="360311CD"/>
    <w:rsid w:val="39D84D70"/>
    <w:rsid w:val="49524F6B"/>
    <w:rsid w:val="63B1626B"/>
    <w:rsid w:val="63EF4ED1"/>
    <w:rsid w:val="659770B8"/>
    <w:rsid w:val="69A71894"/>
    <w:rsid w:val="71286DA6"/>
    <w:rsid w:val="76F32248"/>
    <w:rsid w:val="7C464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1767</Words>
  <Characters>1834</Characters>
  <Lines>0</Lines>
  <Paragraphs>0</Paragraphs>
  <TotalTime>3</TotalTime>
  <ScaleCrop>false</ScaleCrop>
  <LinksUpToDate>false</LinksUpToDate>
  <CharactersWithSpaces>1890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2020-04-30T07:36:00Z</dcterms:created>
  <dc:creator>Administrator</dc:creator>
  <cp:lastModifiedBy>健青</cp:lastModifiedBy>
  <dcterms:modified xsi:type="dcterms:W3CDTF">2023-10-31T09:10:07Z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DD325F13B0C645AA8475BDE83A59B13F_13</vt:lpwstr>
  </property>
</Properties>
</file>