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default" w:ascii="宋体" w:hAnsi="宋体" w:eastAsia="宋体" w:cs="宋体"/>
          <w:b/>
          <w:bCs/>
          <w:i w:val="0"/>
          <w:iCs w:val="0"/>
          <w:color w:val="000000"/>
          <w:kern w:val="0"/>
          <w:sz w:val="36"/>
          <w:szCs w:val="36"/>
          <w:u w:val="none"/>
          <w:lang w:val="en-US" w:eastAsia="zh-CN" w:bidi="ar"/>
        </w:rPr>
      </w:pPr>
      <w:bookmarkStart w:id="0" w:name="_GoBack"/>
      <w:r>
        <w:rPr>
          <w:rFonts w:hint="eastAsia" w:ascii="宋体" w:hAnsi="宋体" w:cs="宋体"/>
          <w:b/>
          <w:bCs/>
          <w:i w:val="0"/>
          <w:iCs w:val="0"/>
          <w:color w:val="000000"/>
          <w:kern w:val="0"/>
          <w:sz w:val="36"/>
          <w:szCs w:val="36"/>
          <w:u w:val="none"/>
          <w:lang w:val="en-US" w:eastAsia="zh-CN" w:bidi="ar"/>
        </w:rPr>
        <w:t>附件1.</w:t>
      </w:r>
    </w:p>
    <w:bookmarkEnd w:id="0"/>
    <w:tbl>
      <w:tblPr>
        <w:tblStyle w:val="2"/>
        <w:tblW w:w="9965" w:type="dxa"/>
        <w:tblInd w:w="-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0"/>
        <w:gridCol w:w="588"/>
        <w:gridCol w:w="1269"/>
        <w:gridCol w:w="3291"/>
        <w:gridCol w:w="1003"/>
        <w:gridCol w:w="1223"/>
        <w:gridCol w:w="1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9965"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52"/>
                <w:szCs w:val="52"/>
                <w:u w:val="none"/>
              </w:rPr>
            </w:pPr>
            <w:r>
              <w:rPr>
                <w:rFonts w:hint="eastAsia" w:ascii="宋体" w:hAnsi="宋体" w:eastAsia="宋体" w:cs="宋体"/>
                <w:b/>
                <w:bCs/>
                <w:i w:val="0"/>
                <w:iCs w:val="0"/>
                <w:color w:val="000000"/>
                <w:kern w:val="0"/>
                <w:sz w:val="52"/>
                <w:szCs w:val="52"/>
                <w:u w:val="none"/>
                <w:lang w:val="en-US" w:eastAsia="zh-CN" w:bidi="ar"/>
              </w:rPr>
              <w:t>公开遴选采购需求表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96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项目编号：SZBAFYYY202310-01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9965"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作为医疗器械管理的中标产品需在深圳医用耗材阳光交易和监管平台签订线上采购合同，中标价不可高于预算单价。</w:t>
            </w:r>
            <w:r>
              <w:rPr>
                <w:rFonts w:hint="eastAsia" w:ascii="宋体" w:hAnsi="宋体" w:eastAsia="宋体" w:cs="宋体"/>
                <w:b/>
                <w:bCs/>
                <w:i w:val="0"/>
                <w:iCs w:val="0"/>
                <w:color w:val="000000"/>
                <w:kern w:val="0"/>
                <w:sz w:val="24"/>
                <w:szCs w:val="24"/>
                <w:u w:val="none"/>
                <w:lang w:val="en-US" w:eastAsia="zh-CN" w:bidi="ar"/>
              </w:rPr>
              <w:br w:type="textWrapping"/>
            </w:r>
            <w:r>
              <w:rPr>
                <w:rStyle w:val="4"/>
                <w:lang w:val="en-US" w:eastAsia="zh-CN" w:bidi="ar"/>
              </w:rPr>
              <w:t>如果平台价高于我院预算单价，且厂家不同意按不高于我院预算单价在平台签订合同的，请不要投标。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使用科室</w:t>
            </w:r>
          </w:p>
        </w:tc>
        <w:tc>
          <w:tcPr>
            <w:tcW w:w="5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耗材名称</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5"/>
                <w:lang w:val="en-US" w:eastAsia="zh-CN" w:bidi="ar"/>
              </w:rPr>
              <w:t>规格型号</w:t>
            </w:r>
            <w:r>
              <w:rPr>
                <w:rStyle w:val="5"/>
                <w:lang w:val="en-US" w:eastAsia="zh-CN" w:bidi="ar"/>
              </w:rPr>
              <w:br w:type="textWrapping"/>
            </w:r>
            <w:r>
              <w:rPr>
                <w:rStyle w:val="6"/>
                <w:lang w:val="en-US" w:eastAsia="zh-CN" w:bidi="ar"/>
              </w:rPr>
              <w:t>（参考型号，可拓展）</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单价</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39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5"/>
                <w:lang w:val="en-US" w:eastAsia="zh-CN" w:bidi="ar"/>
              </w:rPr>
              <w:t>项目名称</w:t>
            </w:r>
            <w:r>
              <w:rPr>
                <w:rStyle w:val="6"/>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医学检验科</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血细胞分析用稀释液</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 20L×1</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22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医学检验科血液流水线试剂（专机专用）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血细胞分析用溶血剂</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M-60LH，1L×4</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血细胞分析用溶血剂</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M-60LN，4L×1</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1304</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血细胞分析用染色液</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M-60FN，48mL x 1</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4672</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血细胞分析用溶血剂</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M-60LD，4L×1</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2136</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血细胞分析用染色液</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M-60FD，48mL x 1</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2376</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血细胞分析用稀释液</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M-60DR，1L×1</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血细胞分析用染色液</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M-60FR，12mL x 1</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2672</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探头清洁液</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50mL×1</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血细胞分析用溶血剂</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 200mL×1</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血细胞分析用溶血剂</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 200mL×4</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超敏C反应蛋白(hs—CRP)检测试剂盒(乳胶增强免疫散射比浊法)</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2×100人份</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1888</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血清淀粉样蛋白A (SAA)检测试剂盒(乳胶增强免疫散射比浊法)</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2×100人份/瓶</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3096</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风湿三项(ASO/CRP/RF)复合质控品</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低值：3x1mL，高值：3x1mL可穿刺塑料瓶。</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C—反应蛋白(CRP)校准品</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5×0.5ml</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血清淀粉样蛋白A 校准品</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五水平组合装（A、B、C、D、E）: 0.5 mL各个浓度水平各一支</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血清淀粉样蛋白A 质控品</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（水平 I、水平 II）：1.5mL各个浓度水平各一支</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血细胞分析仪用质控物(光学法)</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BC-6D，高值：4.5ml×1</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血细胞分析仪用质控物(光学法)</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BC-6D，中值：4.5ml×1</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血细胞分析仪用质控物(光学法)</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BC-6D，低值：4.5ml×1</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血细胞分析仪用质控物(光学法)</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BC-RET，高值：4.5ml×1</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血细胞分析仪用质控物(光学法)</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BC-RET，中值：4.5ml×1</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血细胞分析仪用质控物(光学法)</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BC-RET，低值：4.5ml×1</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血细胞分析仪用校准物(光学法)</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SC-CAL PLUS 3ml×1</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载玻片</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50片/盒</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病理科</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包埋盒</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带盖</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病理科专科耗材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95%乙醇</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AR500ml</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中性福尔马林固定液</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一次性刀片</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MX35</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无水乙醇</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AR 500ML</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二甲苯</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AR 500ML</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病理切片石蜡</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56-58度</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病理切片石蜡</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60~62度</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病理级载玻片(免洗磨砂载波片)</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10127105P</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XW-RJ-001耐酸碱染色架</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型料</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粘附载玻片</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8105W</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中性树胶</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盖玻片</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24*32mm</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盖玻片</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24*50mm</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苏木染色液(苏木素)</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液500ml 粉10g</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染色缸</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甲醇</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AR500ml</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冷冻包埋剂</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118ml</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医学检验科</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尿液分析试纸条（干化学法）</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100条/筒</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筒</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医学检验科尿液流水线试剂（专机专用）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清洗液</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清洗液</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1L/瓶</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尿液干化学分析质控物</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8mL*3支/盒</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盒（试管装）</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尿液分析用鞘液</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20L/箱</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清洗液</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35mL/瓶</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尿液有形成分分析仪聚焦液质控物</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8mL*4/盒</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452.43</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尿液有形成分分析仪用校准物</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8mL/支</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尿液有形成分分析仪用质控物</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40mL/支</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尿液有形成分分析仪用质控物</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40mL/支</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尿液有形成分分析仪用质控物</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40mL/支</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生物安全性尿沉渣试管（II）型（不带条码成品）</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100支/袋</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4ZmExZWQ4ZWM1OWFjMmIwMWQ1YWFmMWUwY2Q2NTMifQ=="/>
  </w:docVars>
  <w:rsids>
    <w:rsidRoot w:val="3A1D7DFE"/>
    <w:rsid w:val="3A1D7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01"/>
    <w:basedOn w:val="3"/>
    <w:qFormat/>
    <w:uiPriority w:val="0"/>
    <w:rPr>
      <w:rFonts w:hint="eastAsia" w:ascii="宋体" w:hAnsi="宋体" w:eastAsia="宋体" w:cs="宋体"/>
      <w:b/>
      <w:bCs/>
      <w:color w:val="003366"/>
      <w:sz w:val="24"/>
      <w:szCs w:val="24"/>
      <w:u w:val="none"/>
    </w:rPr>
  </w:style>
  <w:style w:type="character" w:customStyle="1" w:styleId="5">
    <w:name w:val="font61"/>
    <w:basedOn w:val="3"/>
    <w:qFormat/>
    <w:uiPriority w:val="0"/>
    <w:rPr>
      <w:rFonts w:hint="eastAsia" w:ascii="宋体" w:hAnsi="宋体" w:eastAsia="宋体" w:cs="宋体"/>
      <w:b/>
      <w:bCs/>
      <w:color w:val="000000"/>
      <w:sz w:val="22"/>
      <w:szCs w:val="22"/>
      <w:u w:val="none"/>
    </w:rPr>
  </w:style>
  <w:style w:type="character" w:customStyle="1" w:styleId="6">
    <w:name w:val="font112"/>
    <w:basedOn w:val="3"/>
    <w:qFormat/>
    <w:uiPriority w:val="0"/>
    <w:rPr>
      <w:rFonts w:hint="eastAsia" w:ascii="宋体" w:hAnsi="宋体" w:eastAsia="宋体" w:cs="宋体"/>
      <w:b/>
      <w:bCs/>
      <w:color w:val="FF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2023-11-20T02:19:00Z</dcterms:created>
  <dc:creator>燕子</dc:creator>
  <cp:lastModifiedBy>燕子</cp:lastModifiedBy>
  <dcterms:modified xsi:type="dcterms:W3CDTF">2023-11-20T02:21:05Z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CDCB5729DD5B4A588815F94F190B1AD7_11</vt:lpwstr>
  </property>
</Properties>
</file>