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121</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val="en-US" w:eastAsia="zh-CN"/>
        </w:rPr>
      </w:pPr>
      <w:r>
        <w:rPr>
          <w:rFonts w:hint="eastAsia" w:ascii="宋体" w:hAnsi="宋体"/>
          <w:b/>
          <w:bCs/>
          <w:sz w:val="30"/>
          <w:szCs w:val="30"/>
        </w:rPr>
        <w:t>项目编号：SZSZXYJHYY202311121</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呼吸训练器</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1套</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80000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拒绝</w:t>
            </w:r>
            <w:r>
              <w:rPr>
                <w:rFonts w:hint="eastAsia" w:ascii="Times New Roman" w:hAnsi="Times New Roman" w:eastAsia="宋体" w:cs="Times New Roman"/>
                <w:sz w:val="18"/>
                <w:szCs w:val="18"/>
                <w:lang w:val="en-US" w:eastAsia="zh-CN"/>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17</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11</w:t>
      </w:r>
      <w:r>
        <w:rPr>
          <w:rFonts w:hint="eastAsia" w:ascii="宋体" w:hAnsi="宋体" w:cs="宋体-18030"/>
          <w:bCs/>
          <w:szCs w:val="21"/>
        </w:rPr>
        <w:t>月</w:t>
      </w:r>
      <w:r>
        <w:rPr>
          <w:rFonts w:hint="eastAsia" w:ascii="宋体" w:hAnsi="宋体" w:cs="宋体-18030"/>
          <w:bCs/>
          <w:szCs w:val="21"/>
          <w:lang w:val="en-US" w:eastAsia="zh-CN"/>
        </w:rPr>
        <w:t>7</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54</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39</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39</w:t>
            </w:r>
            <w:r>
              <w:rPr>
                <w:rFonts w:hint="eastAsia"/>
                <w:color w:val="FF0000"/>
              </w:rPr>
              <w:t>分；带“▲”为重要技术参数每负偏离一项扣</w:t>
            </w:r>
            <w:r>
              <w:rPr>
                <w:rFonts w:hint="eastAsia"/>
                <w:color w:val="FF0000"/>
                <w:lang w:val="en-US" w:eastAsia="zh-CN"/>
              </w:rPr>
              <w:t>6</w:t>
            </w:r>
            <w:r>
              <w:rPr>
                <w:rFonts w:hint="eastAsia"/>
                <w:color w:val="FF0000"/>
              </w:rPr>
              <w:t>分；其他技术参数每负偏离一项扣</w:t>
            </w:r>
            <w:r>
              <w:rPr>
                <w:rFonts w:hint="eastAsia"/>
                <w:color w:val="FF0000"/>
                <w:lang w:val="en-US" w:eastAsia="zh-CN"/>
              </w:rPr>
              <w:t>3</w:t>
            </w:r>
            <w:r>
              <w:rPr>
                <w:rFonts w:hint="eastAsia"/>
                <w:color w:val="FF0000"/>
              </w:rPr>
              <w:t>分；</w:t>
            </w:r>
            <w:r>
              <w:rPr>
                <w:rFonts w:hint="eastAsia"/>
                <w:color w:val="FF0000"/>
                <w:lang w:val="zh-CN"/>
              </w:rPr>
              <w:t>未响应参数视为负偏离，</w:t>
            </w:r>
            <w:r>
              <w:rPr>
                <w:rFonts w:hint="eastAsia"/>
                <w:color w:val="FF0000"/>
              </w:rPr>
              <w:t>扣</w:t>
            </w:r>
            <w:r>
              <w:rPr>
                <w:rFonts w:hint="eastAsia"/>
                <w:color w:val="FF0000"/>
                <w:lang w:val="en-US" w:eastAsia="zh-CN"/>
              </w:rPr>
              <w:t>3</w:t>
            </w:r>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hint="eastAsia" w:ascii="宋体" w:hAnsi="宋体" w:eastAsia="宋体" w:cs="Arial"/>
                <w:color w:val="FF0000"/>
                <w:kern w:val="0"/>
                <w:sz w:val="21"/>
                <w:szCs w:val="21"/>
                <w:lang w:val="en-US" w:eastAsia="zh-CN" w:bidi="ar-SA"/>
              </w:rPr>
            </w:pPr>
            <w:r>
              <w:rPr>
                <w:rFonts w:hint="eastAsia"/>
                <w:color w:val="FF0000"/>
              </w:rPr>
              <w:t>产品的质量可靠性和先进性</w:t>
            </w:r>
          </w:p>
        </w:tc>
        <w:tc>
          <w:tcPr>
            <w:tcW w:w="465" w:type="dxa"/>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FF0000"/>
                <w:kern w:val="0"/>
                <w:szCs w:val="21"/>
                <w:lang w:val="en-US" w:eastAsia="zh-CN"/>
              </w:rPr>
              <w:t>8</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color w:val="FF0000"/>
              </w:rPr>
              <w:t>评分标准：满足以上两项要求得</w:t>
            </w:r>
            <w:r>
              <w:rPr>
                <w:rFonts w:hint="eastAsia"/>
                <w:color w:val="FF0000"/>
                <w:lang w:val="en-US" w:eastAsia="zh-CN"/>
              </w:rPr>
              <w:t>8</w:t>
            </w:r>
            <w:r>
              <w:rPr>
                <w:rFonts w:hint="eastAsia"/>
                <w:color w:val="FF0000"/>
              </w:rPr>
              <w:t>分，满足以上一项要求得</w:t>
            </w:r>
            <w:r>
              <w:rPr>
                <w:rFonts w:hint="eastAsia"/>
                <w:color w:val="FF0000"/>
                <w:lang w:val="en-US" w:eastAsia="zh-CN"/>
              </w:rPr>
              <w:t>4</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tcBorders>
              <w:bottom w:val="single" w:color="auto" w:sz="4" w:space="0"/>
            </w:tcBorders>
            <w:vAlign w:val="center"/>
          </w:tcPr>
          <w:p>
            <w:pPr>
              <w:widowControl/>
              <w:jc w:val="center"/>
              <w:rPr>
                <w:rFonts w:ascii="宋体" w:hAnsi="宋体" w:cs="Arial"/>
                <w:color w:val="FF0000"/>
                <w:kern w:val="0"/>
                <w:szCs w:val="21"/>
              </w:rPr>
            </w:pPr>
          </w:p>
        </w:tc>
        <w:tc>
          <w:tcPr>
            <w:tcW w:w="1080" w:type="dxa"/>
            <w:vMerge w:val="continue"/>
            <w:tcBorders>
              <w:bottom w:val="single" w:color="auto" w:sz="4" w:space="0"/>
            </w:tcBorders>
            <w:vAlign w:val="center"/>
          </w:tcPr>
          <w:p>
            <w:pPr>
              <w:widowControl/>
              <w:jc w:val="left"/>
              <w:rPr>
                <w:rFonts w:ascii="宋体" w:hAnsi="宋体" w:cs="Arial"/>
                <w:color w:val="FF0000"/>
                <w:kern w:val="0"/>
                <w:szCs w:val="21"/>
              </w:rPr>
            </w:pPr>
          </w:p>
        </w:tc>
        <w:tc>
          <w:tcPr>
            <w:tcW w:w="1245" w:type="dxa"/>
            <w:tcBorders>
              <w:bottom w:val="single" w:color="auto" w:sz="4" w:space="0"/>
            </w:tcBorders>
            <w:vAlign w:val="center"/>
          </w:tcPr>
          <w:p>
            <w:pPr>
              <w:spacing w:line="360" w:lineRule="auto"/>
              <w:jc w:val="center"/>
              <w:rPr>
                <w:rFonts w:ascii="宋体" w:hAnsi="宋体" w:cs="Arial"/>
                <w:color w:val="FF0000"/>
                <w:kern w:val="0"/>
                <w:szCs w:val="21"/>
              </w:rPr>
            </w:pPr>
            <w:r>
              <w:rPr>
                <w:rFonts w:hint="eastAsia" w:ascii="Times New Roman" w:hAnsi="Times New Roman" w:eastAsia="宋体" w:cs="Times New Roman"/>
                <w:color w:val="FF0000"/>
              </w:rPr>
              <w:t>技术保障措施</w:t>
            </w:r>
          </w:p>
        </w:tc>
        <w:tc>
          <w:tcPr>
            <w:tcW w:w="465" w:type="dxa"/>
            <w:vAlign w:val="center"/>
          </w:tcPr>
          <w:p>
            <w:pPr>
              <w:spacing w:line="360" w:lineRule="auto"/>
              <w:jc w:val="center"/>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7</w:t>
            </w:r>
          </w:p>
        </w:tc>
        <w:tc>
          <w:tcPr>
            <w:tcW w:w="6303" w:type="dxa"/>
            <w:vAlign w:val="center"/>
          </w:tcPr>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（一）评分内容：</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投标人在投标文件中详细说明技术保障措施，包含以下内容：</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w:t>
            </w:r>
            <w:r>
              <w:rPr>
                <w:rFonts w:hint="eastAsia"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）产品生产规范；</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w:t>
            </w:r>
            <w:r>
              <w:rPr>
                <w:rFonts w:hint="eastAsia" w:ascii="Times New Roman" w:hAnsi="Times New Roman" w:eastAsia="宋体"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zh-CN" w:eastAsia="zh-CN" w:bidi="ar-SA"/>
              </w:rPr>
              <w:t>）生产及供货进度计划。</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（二）评分标准：</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方案包含以上二项内容得</w:t>
            </w:r>
            <w:r>
              <w:rPr>
                <w:rFonts w:hint="eastAsia" w:ascii="Times New Roman" w:hAnsi="Times New Roman" w:eastAsia="宋体"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zh-CN" w:eastAsia="zh-CN" w:bidi="ar-SA"/>
              </w:rPr>
              <w:t>分；包含以上一项内容得</w:t>
            </w:r>
            <w:r>
              <w:rPr>
                <w:rFonts w:hint="eastAsia" w:ascii="Times New Roman" w:hAnsi="Times New Roman" w:eastAsia="宋体"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zh-CN" w:eastAsia="zh-CN" w:bidi="ar-SA"/>
              </w:rPr>
              <w:t>分；其他情况不得分。</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在此基础上，根据方案响应情况进一步评审：</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1.方案内容全面、具体，可行性高，加</w:t>
            </w:r>
            <w:r>
              <w:rPr>
                <w:rFonts w:hint="eastAsia" w:ascii="Times New Roman" w:hAnsi="Times New Roman" w:eastAsia="宋体" w:cs="Times New Roman"/>
                <w:color w:val="FF0000"/>
                <w:kern w:val="2"/>
                <w:sz w:val="21"/>
                <w:szCs w:val="24"/>
                <w:lang w:val="en-US" w:eastAsia="zh-CN" w:bidi="ar-SA"/>
              </w:rPr>
              <w:t>3</w:t>
            </w:r>
            <w:r>
              <w:rPr>
                <w:rFonts w:hint="eastAsia" w:ascii="Times New Roman" w:hAnsi="Times New Roman" w:eastAsia="宋体" w:cs="Times New Roman"/>
                <w:color w:val="FF0000"/>
                <w:kern w:val="2"/>
                <w:sz w:val="21"/>
                <w:szCs w:val="24"/>
                <w:lang w:val="zh-CN" w:eastAsia="zh-CN" w:bidi="ar-SA"/>
              </w:rPr>
              <w:t>分；</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2.方案内容较全面，可行性较高，加</w:t>
            </w:r>
            <w:r>
              <w:rPr>
                <w:rFonts w:hint="eastAsia" w:ascii="Times New Roman" w:hAnsi="Times New Roman" w:eastAsia="宋体"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zh-CN" w:eastAsia="zh-CN" w:bidi="ar-SA"/>
              </w:rPr>
              <w:t>分；</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3.方案全面性、可行性一般，加</w:t>
            </w:r>
            <w:r>
              <w:rPr>
                <w:rFonts w:hint="eastAsia"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w:t>
            </w:r>
          </w:p>
          <w:p>
            <w:pPr>
              <w:pStyle w:val="34"/>
              <w:ind w:firstLine="0" w:firstLineChars="0"/>
              <w:rPr>
                <w:rFonts w:hint="eastAsia" w:ascii="Times New Roman" w:hAnsi="Times New Roman" w:eastAsia="宋体" w:cs="Times New Roman"/>
                <w:color w:val="FF0000"/>
                <w:kern w:val="2"/>
                <w:sz w:val="21"/>
                <w:szCs w:val="24"/>
                <w:lang w:val="zh-CN" w:eastAsia="zh-CN" w:bidi="ar-SA"/>
              </w:rPr>
            </w:pPr>
            <w:r>
              <w:rPr>
                <w:rFonts w:hint="eastAsia" w:ascii="Times New Roman" w:hAnsi="Times New Roman" w:eastAsia="宋体" w:cs="Times New Roman"/>
                <w:color w:val="FF0000"/>
                <w:kern w:val="2"/>
                <w:sz w:val="21"/>
                <w:szCs w:val="24"/>
                <w:lang w:val="zh-CN" w:eastAsia="zh-CN" w:bidi="ar-SA"/>
              </w:rPr>
              <w:t>4.方案不全，可行性低，不加分。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eastAsia="zh-CN"/>
              </w:rPr>
              <w:t>二</w:t>
            </w:r>
          </w:p>
        </w:tc>
        <w:tc>
          <w:tcPr>
            <w:tcW w:w="1080" w:type="dxa"/>
            <w:vMerge w:val="restart"/>
            <w:tcBorders>
              <w:top w:val="single" w:color="auto" w:sz="4" w:space="0"/>
              <w:bottom w:val="single" w:color="auto" w:sz="4" w:space="0"/>
            </w:tcBorders>
            <w:vAlign w:val="center"/>
          </w:tcPr>
          <w:p>
            <w:pPr>
              <w:widowControl/>
              <w:jc w:val="left"/>
              <w:rPr>
                <w:rFonts w:hint="eastAsia" w:ascii="宋体" w:hAnsi="宋体" w:eastAsia="宋体" w:cs="Arial"/>
                <w:color w:val="FF0000"/>
                <w:kern w:val="0"/>
                <w:szCs w:val="21"/>
              </w:rPr>
            </w:pPr>
            <w:r>
              <w:rPr>
                <w:rFonts w:hint="eastAsia" w:ascii="宋体" w:hAnsi="宋体" w:eastAsia="宋体" w:cs="Arial"/>
                <w:color w:val="FF0000"/>
                <w:kern w:val="0"/>
                <w:szCs w:val="21"/>
                <w:lang w:eastAsia="zh-CN"/>
              </w:rPr>
              <w:t>商务</w:t>
            </w:r>
            <w:r>
              <w:rPr>
                <w:rFonts w:hint="eastAsia" w:ascii="宋体" w:hAnsi="宋体" w:eastAsia="宋体" w:cs="Arial"/>
                <w:color w:val="FF0000"/>
                <w:kern w:val="0"/>
                <w:szCs w:val="21"/>
              </w:rPr>
              <w:t>部分</w:t>
            </w:r>
          </w:p>
          <w:p>
            <w:pPr>
              <w:widowControl/>
              <w:jc w:val="left"/>
              <w:rPr>
                <w:rFonts w:ascii="宋体" w:hAnsi="宋体" w:cs="Arial"/>
                <w:color w:val="FF0000"/>
                <w:kern w:val="0"/>
                <w:szCs w:val="21"/>
              </w:rPr>
            </w:pPr>
            <w:r>
              <w:rPr>
                <w:rFonts w:hint="eastAsia" w:ascii="宋体" w:hAnsi="宋体" w:eastAsia="宋体" w:cs="Arial"/>
                <w:color w:val="FF0000"/>
                <w:kern w:val="0"/>
                <w:szCs w:val="21"/>
              </w:rPr>
              <w:t>（</w:t>
            </w:r>
            <w:r>
              <w:rPr>
                <w:rFonts w:hint="eastAsia" w:ascii="宋体" w:hAnsi="宋体" w:eastAsia="宋体" w:cs="Arial"/>
                <w:color w:val="FF0000"/>
                <w:kern w:val="0"/>
                <w:szCs w:val="21"/>
                <w:lang w:val="en-US" w:eastAsia="zh-CN"/>
              </w:rPr>
              <w:t>16</w:t>
            </w:r>
            <w:r>
              <w:rPr>
                <w:rFonts w:hint="eastAsia" w:ascii="宋体" w:hAnsi="宋体" w:eastAsia="宋体" w:cs="Arial"/>
                <w:color w:val="FF0000"/>
                <w:kern w:val="0"/>
                <w:szCs w:val="21"/>
              </w:rPr>
              <w:t>分）</w:t>
            </w: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tcBorders>
              <w:top w:val="single" w:color="auto" w:sz="4" w:space="0"/>
              <w:bottom w:val="single" w:color="auto" w:sz="4" w:space="0"/>
            </w:tcBorders>
            <w:vAlign w:val="center"/>
          </w:tcPr>
          <w:p>
            <w:pPr>
              <w:widowControl/>
              <w:jc w:val="center"/>
              <w:rPr>
                <w:rFonts w:ascii="宋体" w:hAnsi="宋体" w:cs="Arial"/>
                <w:color w:val="FF0000"/>
                <w:kern w:val="0"/>
                <w:szCs w:val="21"/>
              </w:rPr>
            </w:pPr>
          </w:p>
        </w:tc>
        <w:tc>
          <w:tcPr>
            <w:tcW w:w="1080" w:type="dxa"/>
            <w:vMerge w:val="continue"/>
            <w:tcBorders>
              <w:top w:val="single" w:color="auto" w:sz="4" w:space="0"/>
              <w:bottom w:val="single" w:color="auto" w:sz="4" w:space="0"/>
            </w:tcBorders>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5</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5</w:t>
            </w:r>
            <w:r>
              <w:rPr>
                <w:rFonts w:hint="eastAsia"/>
                <w:color w:val="FF0000"/>
                <w:lang w:val="zh-CN"/>
              </w:rPr>
              <w:t>分，满足以上两项要求</w:t>
            </w:r>
            <w:r>
              <w:rPr>
                <w:rFonts w:hint="eastAsia"/>
                <w:color w:val="FF0000"/>
                <w:lang w:val="en-US" w:eastAsia="zh-CN"/>
              </w:rPr>
              <w:t>3</w:t>
            </w:r>
            <w:r>
              <w:rPr>
                <w:rFonts w:hint="eastAsia"/>
                <w:color w:val="FF0000"/>
                <w:lang w:val="zh-CN"/>
              </w:rPr>
              <w:t>分，满足以上一项要求得</w:t>
            </w:r>
            <w:r>
              <w:rPr>
                <w:rFonts w:hint="eastAsia"/>
                <w:color w:val="FF0000"/>
                <w:lang w:val="en-US" w:eastAsia="zh-CN"/>
              </w:rPr>
              <w:t>1</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tcBorders>
              <w:top w:val="single" w:color="auto" w:sz="4" w:space="0"/>
              <w:bottom w:val="single" w:color="auto" w:sz="4" w:space="0"/>
            </w:tcBorders>
            <w:vAlign w:val="center"/>
          </w:tcPr>
          <w:p>
            <w:pPr>
              <w:widowControl/>
              <w:jc w:val="center"/>
              <w:rPr>
                <w:rFonts w:ascii="宋体" w:hAnsi="宋体" w:cs="Arial"/>
                <w:color w:val="FF0000"/>
                <w:kern w:val="0"/>
                <w:szCs w:val="21"/>
              </w:rPr>
            </w:pPr>
          </w:p>
        </w:tc>
        <w:tc>
          <w:tcPr>
            <w:tcW w:w="1080" w:type="dxa"/>
            <w:vMerge w:val="continue"/>
            <w:tcBorders>
              <w:top w:val="single" w:color="auto" w:sz="4" w:space="0"/>
              <w:bottom w:val="single" w:color="auto" w:sz="4" w:space="0"/>
            </w:tcBorders>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tcBorders>
              <w:top w:val="single" w:color="auto" w:sz="4" w:space="0"/>
            </w:tcBorders>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tcBorders>
              <w:top w:val="single" w:color="auto" w:sz="4" w:space="0"/>
            </w:tcBorders>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呼吸训练器</w:t>
            </w:r>
          </w:p>
        </w:tc>
        <w:tc>
          <w:tcPr>
            <w:tcW w:w="1004"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1套</w:t>
            </w:r>
          </w:p>
        </w:tc>
        <w:tc>
          <w:tcPr>
            <w:tcW w:w="2206"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80000</w:t>
            </w:r>
          </w:p>
        </w:tc>
        <w:tc>
          <w:tcPr>
            <w:tcW w:w="2342" w:type="dxa"/>
            <w:vAlign w:val="center"/>
          </w:tcPr>
          <w:p>
            <w:pPr>
              <w:jc w:val="center"/>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拒绝进口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rPr>
        <w:t>为了提高诊疗、检查的项目，增加适宜技术的使用等</w:t>
      </w:r>
      <w:r>
        <w:rPr>
          <w:rFonts w:hint="eastAsia" w:ascii="宋体" w:hAnsi="宋体" w:eastAsia="宋体" w:cs="宋体"/>
          <w:bCs/>
          <w:color w:val="FF0000"/>
          <w:kern w:val="0"/>
          <w:szCs w:val="21"/>
          <w:lang w:eastAsia="zh-CN"/>
        </w:rPr>
        <w:t>。</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hint="eastAsia"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eastAsia="宋体" w:cs="宋体"/>
          <w:bCs/>
          <w:color w:val="FF0000"/>
          <w:kern w:val="0"/>
          <w:szCs w:val="21"/>
          <w:lang w:eastAsia="zh-CN"/>
        </w:rPr>
      </w:pPr>
      <w:r>
        <w:rPr>
          <w:rFonts w:hint="eastAsia" w:ascii="宋体" w:hAnsi="宋体" w:cs="宋体"/>
          <w:bCs/>
          <w:color w:val="FF0000"/>
          <w:kern w:val="0"/>
          <w:szCs w:val="21"/>
        </w:rPr>
        <w:t>呼吸康复是有效的非药物治疗手段，呼吸康复作为慢性呼吸系统疾病重要的非药物治疗方式，可提高患者的运动耐力</w:t>
      </w:r>
      <w:r>
        <w:rPr>
          <w:rFonts w:hint="eastAsia" w:ascii="宋体" w:hAnsi="宋体" w:cs="宋体"/>
          <w:bCs/>
          <w:color w:val="FF0000"/>
          <w:kern w:val="0"/>
          <w:szCs w:val="21"/>
          <w:lang w:eastAsia="zh-CN"/>
        </w:rPr>
        <w:t>。</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呼吸训练器主机</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2</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智能数据移动终端</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3</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简易肺功能</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4</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USB充电电缆</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5</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便携包（含内衬托架）</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6</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保修卡</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7</w:t>
                  </w:r>
                </w:p>
              </w:tc>
              <w:tc>
                <w:tcPr>
                  <w:tcW w:w="4265"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说明书</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2</w:t>
                  </w:r>
                </w:p>
              </w:tc>
              <w:tc>
                <w:tcPr>
                  <w:tcW w:w="1300" w:type="dxa"/>
                  <w:vAlign w:val="center"/>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8</w:t>
                  </w:r>
                </w:p>
              </w:tc>
              <w:tc>
                <w:tcPr>
                  <w:tcW w:w="4265"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rPr>
                    <w:t>合格证</w:t>
                  </w:r>
                </w:p>
              </w:tc>
              <w:tc>
                <w:tcPr>
                  <w:tcW w:w="800" w:type="dxa"/>
                  <w:vAlign w:val="top"/>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rPr>
                    <w:t>1</w:t>
                  </w:r>
                </w:p>
              </w:tc>
              <w:tc>
                <w:tcPr>
                  <w:tcW w:w="1300" w:type="dxa"/>
                  <w:vAlign w:val="center"/>
                </w:tcPr>
                <w:p>
                  <w:pPr>
                    <w:spacing w:line="288" w:lineRule="auto"/>
                    <w:jc w:val="center"/>
                    <w:rPr>
                      <w:rFonts w:hint="eastAsia" w:ascii="宋体" w:hAnsi="宋体" w:eastAsia="宋体" w:cs="Times New Roman"/>
                      <w:color w:val="FF0000"/>
                      <w:kern w:val="0"/>
                      <w:szCs w:val="21"/>
                    </w:rPr>
                  </w:pPr>
                  <w:r>
                    <w:rPr>
                      <w:rFonts w:hint="eastAsia" w:ascii="宋体" w:hAnsi="宋体" w:eastAsia="宋体" w:cs="Times New Roman"/>
                      <w:color w:val="FF0000"/>
                      <w:kern w:val="0"/>
                      <w:szCs w:val="21"/>
                    </w:rPr>
                    <w:t>份</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15" w:type="dxa"/>
            <w:vAlign w:val="center"/>
          </w:tcPr>
          <w:p>
            <w:pPr>
              <w:snapToGrid w:val="0"/>
              <w:spacing w:line="276" w:lineRule="auto"/>
              <w:jc w:val="center"/>
              <w:rPr>
                <w:rFonts w:hint="eastAsia" w:ascii="宋体" w:hAnsi="宋体"/>
                <w:b/>
                <w:color w:val="FF0000"/>
                <w:kern w:val="0"/>
                <w:szCs w:val="21"/>
              </w:rPr>
            </w:pPr>
            <w:r>
              <w:rPr>
                <w:rFonts w:hint="eastAsia" w:ascii="宋体" w:hAnsi="宋体" w:cs="宋体"/>
                <w:b/>
                <w:color w:val="FF0000"/>
                <w:kern w:val="0"/>
                <w:szCs w:val="21"/>
              </w:rPr>
              <w:t>★</w:t>
            </w:r>
            <w:r>
              <w:rPr>
                <w:rFonts w:hint="eastAsia" w:ascii="宋体" w:hAnsi="宋体"/>
                <w:b/>
                <w:color w:val="FF0000"/>
                <w:kern w:val="0"/>
                <w:szCs w:val="21"/>
              </w:rPr>
              <w:t>配套耗材</w:t>
            </w:r>
          </w:p>
        </w:tc>
        <w:tc>
          <w:tcPr>
            <w:tcW w:w="8942" w:type="dxa"/>
            <w:vAlign w:val="center"/>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序号</w:t>
                  </w:r>
                </w:p>
              </w:tc>
              <w:tc>
                <w:tcPr>
                  <w:tcW w:w="1667"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lang w:eastAsia="zh-CN"/>
                    </w:rPr>
                    <w:t>耗材</w:t>
                  </w:r>
                  <w:r>
                    <w:rPr>
                      <w:rFonts w:hint="eastAsia" w:ascii="宋体" w:hAnsi="宋体"/>
                      <w:color w:val="FF0000"/>
                      <w:kern w:val="0"/>
                      <w:szCs w:val="21"/>
                    </w:rPr>
                    <w:t>名称</w:t>
                  </w:r>
                </w:p>
              </w:tc>
              <w:tc>
                <w:tcPr>
                  <w:tcW w:w="818"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单位</w:t>
                  </w:r>
                </w:p>
              </w:tc>
              <w:tc>
                <w:tcPr>
                  <w:tcW w:w="1728" w:type="dxa"/>
                  <w:vAlign w:val="center"/>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color w:val="FF0000"/>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FF0000"/>
                      <w:kern w:val="0"/>
                      <w:szCs w:val="21"/>
                      <w:lang w:eastAsia="zh-CN"/>
                    </w:rPr>
                  </w:pPr>
                  <w:r>
                    <w:rPr>
                      <w:rFonts w:hint="eastAsia" w:ascii="宋体" w:hAnsi="宋体"/>
                      <w:color w:val="FF0000"/>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w:t>
                  </w:r>
                </w:p>
              </w:tc>
              <w:tc>
                <w:tcPr>
                  <w:tcW w:w="1667" w:type="dxa"/>
                  <w:vAlign w:val="top"/>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一次性肺功能仪用过滤嘴</w:t>
                  </w:r>
                </w:p>
              </w:tc>
              <w:tc>
                <w:tcPr>
                  <w:tcW w:w="818" w:type="dxa"/>
                  <w:vAlign w:val="top"/>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片</w:t>
                  </w:r>
                </w:p>
              </w:tc>
              <w:tc>
                <w:tcPr>
                  <w:tcW w:w="1728" w:type="dxa"/>
                  <w:vAlign w:val="top"/>
                </w:tcPr>
                <w:p>
                  <w:pPr>
                    <w:spacing w:line="288"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1000</w:t>
                  </w:r>
                </w:p>
              </w:tc>
              <w:tc>
                <w:tcPr>
                  <w:tcW w:w="1863" w:type="dxa"/>
                  <w:vAlign w:val="top"/>
                </w:tcPr>
                <w:p>
                  <w:pPr>
                    <w:spacing w:line="288"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 xml:space="preserve"> 25</w:t>
                  </w:r>
                </w:p>
              </w:tc>
            </w:tr>
          </w:tbl>
          <w:p>
            <w:pPr>
              <w:spacing w:line="240" w:lineRule="auto"/>
              <w:jc w:val="left"/>
              <w:rPr>
                <w:rFonts w:hint="eastAsia" w:ascii="宋体" w:hAnsi="宋体"/>
                <w:color w:val="FF0000"/>
                <w:szCs w:val="21"/>
                <w:highlight w:val="none"/>
              </w:rPr>
            </w:pPr>
            <w:r>
              <w:rPr>
                <w:rFonts w:hint="eastAsia" w:ascii="宋体" w:hAnsi="宋体"/>
                <w:color w:val="FF0000"/>
                <w:szCs w:val="21"/>
                <w:highlight w:val="none"/>
              </w:rPr>
              <w:t>备注：</w:t>
            </w:r>
          </w:p>
          <w:p>
            <w:pPr>
              <w:numPr>
                <w:ilvl w:val="0"/>
                <w:numId w:val="0"/>
              </w:numPr>
              <w:spacing w:line="240" w:lineRule="auto"/>
              <w:jc w:val="left"/>
              <w:rPr>
                <w:rFonts w:hint="eastAsia" w:ascii="宋体" w:hAnsi="宋体"/>
                <w:szCs w:val="21"/>
                <w:highlight w:val="none"/>
              </w:rPr>
            </w:pPr>
            <w:r>
              <w:rPr>
                <w:rFonts w:hint="eastAsia" w:ascii="宋体" w:hAnsi="宋体"/>
                <w:color w:val="FF0000"/>
                <w:szCs w:val="21"/>
                <w:highlight w:val="none"/>
                <w:lang w:val="en-US" w:eastAsia="zh-CN"/>
              </w:rPr>
              <w:t>1、</w:t>
            </w:r>
            <w:r>
              <w:rPr>
                <w:rFonts w:hint="eastAsia" w:ascii="宋体" w:hAnsi="宋体"/>
                <w:color w:val="FF0000"/>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bCs/>
                <w:color w:val="FF0000"/>
                <w:kern w:val="0"/>
                <w:szCs w:val="21"/>
              </w:rPr>
            </w:pPr>
            <w:r>
              <w:rPr>
                <w:rFonts w:hint="eastAsia" w:ascii="宋体" w:hAnsi="宋体"/>
                <w:color w:val="FF0000"/>
                <w:szCs w:val="21"/>
                <w:highlight w:val="none"/>
                <w:lang w:val="en-US" w:eastAsia="zh-CN"/>
              </w:rPr>
              <w:t>2、若耗材已上阳光采购平台，</w:t>
            </w:r>
            <w:r>
              <w:rPr>
                <w:rFonts w:hint="eastAsia" w:ascii="宋体" w:hAnsi="宋体"/>
                <w:color w:val="FF0000"/>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一、呼吸训练器参数要求</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1）排痰</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支持训练模式、训练强度、阻力负荷、呼气振动频率参数设置；</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可测量训练时长、压力、振幅、呼气流量、呼气时间和呼气容积参数。</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2）吸气肌锻炼</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支持训练模式、计划训练次数、训练强度及患者信息设置；</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 xml:space="preserve">可测量压力、功率、吸气流量、吸气容积及能量总计。 </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3）肺容量锻炼</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支持容积型、流量型模式训练；</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容积型范围：1000ml</w:t>
            </w:r>
            <w:r>
              <w:rPr>
                <w:rFonts w:hint="eastAsia" w:ascii="宋体" w:hAnsi="宋体" w:eastAsia="宋体" w:cs="宋体"/>
                <w:bCs/>
                <w:color w:val="FF0000"/>
                <w:kern w:val="0"/>
                <w:szCs w:val="21"/>
                <w:lang w:val="en-GB"/>
              </w:rPr>
              <w:t>≤</w:t>
            </w:r>
            <w:r>
              <w:rPr>
                <w:rFonts w:hint="eastAsia" w:ascii="宋体" w:hAnsi="宋体" w:eastAsia="宋体" w:cs="宋体"/>
                <w:bCs/>
                <w:color w:val="FF0000"/>
                <w:kern w:val="0"/>
                <w:szCs w:val="21"/>
              </w:rPr>
              <w:t>容积型</w:t>
            </w:r>
            <w:r>
              <w:rPr>
                <w:rFonts w:hint="eastAsia" w:ascii="宋体" w:hAnsi="宋体" w:eastAsia="宋体" w:cs="宋体"/>
                <w:bCs/>
                <w:color w:val="FF0000"/>
                <w:kern w:val="0"/>
                <w:szCs w:val="21"/>
                <w:lang w:val="en-GB"/>
              </w:rPr>
              <w:t xml:space="preserve">≤ </w:t>
            </w:r>
            <w:r>
              <w:rPr>
                <w:rFonts w:hint="eastAsia" w:ascii="宋体" w:hAnsi="宋体" w:eastAsia="宋体" w:cs="宋体"/>
                <w:bCs/>
                <w:color w:val="FF0000"/>
                <w:kern w:val="0"/>
                <w:szCs w:val="21"/>
              </w:rPr>
              <w:t>4000ml；</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流量型范围：600ml/s</w:t>
            </w:r>
            <w:r>
              <w:rPr>
                <w:rFonts w:hint="eastAsia" w:ascii="宋体" w:hAnsi="宋体" w:eastAsia="宋体" w:cs="宋体"/>
                <w:bCs/>
                <w:color w:val="FF0000"/>
                <w:kern w:val="0"/>
                <w:szCs w:val="21"/>
                <w:lang w:val="en-GB"/>
              </w:rPr>
              <w:t>≤</w:t>
            </w:r>
            <w:r>
              <w:rPr>
                <w:rFonts w:hint="eastAsia" w:ascii="宋体" w:hAnsi="宋体" w:eastAsia="宋体" w:cs="宋体"/>
                <w:bCs/>
                <w:color w:val="FF0000"/>
                <w:kern w:val="0"/>
                <w:szCs w:val="21"/>
                <w:lang w:val="en-US" w:eastAsia="zh-CN"/>
              </w:rPr>
              <w:t>流量型</w:t>
            </w:r>
            <w:r>
              <w:rPr>
                <w:rFonts w:hint="eastAsia" w:ascii="宋体" w:hAnsi="宋体" w:eastAsia="宋体" w:cs="宋体"/>
                <w:bCs/>
                <w:color w:val="FF0000"/>
                <w:kern w:val="0"/>
                <w:szCs w:val="21"/>
                <w:lang w:val="en-GB"/>
              </w:rPr>
              <w:t>≤</w:t>
            </w:r>
            <w:r>
              <w:rPr>
                <w:rFonts w:hint="eastAsia" w:ascii="宋体" w:hAnsi="宋体" w:eastAsia="宋体" w:cs="宋体"/>
                <w:bCs/>
                <w:color w:val="FF0000"/>
                <w:kern w:val="0"/>
                <w:szCs w:val="21"/>
              </w:rPr>
              <w:t>1200ml/s。</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▲4）吸入给药评估</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阻抗等级：六档阻抗选择；</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吸气峰流量范围：</w:t>
            </w:r>
            <w:r>
              <w:rPr>
                <w:rFonts w:hint="eastAsia" w:ascii="宋体" w:hAnsi="宋体" w:eastAsia="宋体" w:cs="宋体"/>
                <w:bCs/>
                <w:color w:val="FF0000"/>
                <w:kern w:val="0"/>
                <w:szCs w:val="21"/>
                <w:lang w:val="en-US" w:eastAsia="zh-CN"/>
              </w:rPr>
              <w:t xml:space="preserve">10 </w:t>
            </w:r>
            <w:r>
              <w:rPr>
                <w:rFonts w:hint="eastAsia" w:ascii="宋体" w:hAnsi="宋体" w:eastAsia="宋体" w:cs="宋体"/>
                <w:bCs/>
                <w:color w:val="FF0000"/>
                <w:kern w:val="0"/>
                <w:szCs w:val="21"/>
              </w:rPr>
              <w:t>L/min≤吸气峰流量≤</w:t>
            </w:r>
            <w:r>
              <w:rPr>
                <w:rFonts w:hint="eastAsia" w:ascii="宋体" w:hAnsi="宋体" w:eastAsia="宋体" w:cs="宋体"/>
                <w:bCs/>
                <w:color w:val="FF0000"/>
                <w:kern w:val="0"/>
                <w:szCs w:val="21"/>
                <w:lang w:val="en-US" w:eastAsia="zh-CN"/>
              </w:rPr>
              <w:t>120</w:t>
            </w:r>
            <w:r>
              <w:rPr>
                <w:rFonts w:hint="eastAsia" w:ascii="宋体" w:hAnsi="宋体" w:eastAsia="宋体" w:cs="宋体"/>
                <w:bCs/>
                <w:color w:val="FF0000"/>
                <w:kern w:val="0"/>
                <w:szCs w:val="21"/>
              </w:rPr>
              <w:t>L/min</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吸气容积范围：</w:t>
            </w:r>
            <w:r>
              <w:rPr>
                <w:rFonts w:hint="eastAsia" w:ascii="宋体" w:hAnsi="宋体" w:eastAsia="宋体" w:cs="宋体"/>
                <w:bCs/>
                <w:color w:val="FF0000"/>
                <w:kern w:val="0"/>
                <w:szCs w:val="21"/>
                <w:lang w:val="en-US" w:eastAsia="zh-CN"/>
              </w:rPr>
              <w:t xml:space="preserve">0 </w:t>
            </w:r>
            <w:r>
              <w:rPr>
                <w:rFonts w:hint="eastAsia" w:ascii="宋体" w:hAnsi="宋体" w:eastAsia="宋体" w:cs="宋体"/>
                <w:bCs/>
                <w:color w:val="FF0000"/>
                <w:kern w:val="0"/>
                <w:szCs w:val="21"/>
              </w:rPr>
              <w:t>L≤吸</w:t>
            </w:r>
            <w:r>
              <w:rPr>
                <w:rFonts w:hint="eastAsia" w:ascii="宋体" w:hAnsi="宋体" w:eastAsia="宋体" w:cs="宋体"/>
                <w:bCs/>
                <w:color w:val="FF0000"/>
                <w:kern w:val="0"/>
                <w:szCs w:val="21"/>
                <w:lang w:val="en-US" w:eastAsia="zh-CN"/>
              </w:rPr>
              <w:t>气容积</w:t>
            </w:r>
            <w:r>
              <w:rPr>
                <w:rFonts w:hint="eastAsia" w:ascii="宋体" w:hAnsi="宋体" w:eastAsia="宋体" w:cs="宋体"/>
                <w:bCs/>
                <w:color w:val="FF0000"/>
                <w:kern w:val="0"/>
                <w:szCs w:val="21"/>
              </w:rPr>
              <w:t>≤</w:t>
            </w:r>
            <w:r>
              <w:rPr>
                <w:rFonts w:hint="eastAsia" w:ascii="宋体" w:hAnsi="宋体" w:eastAsia="宋体" w:cs="宋体"/>
                <w:bCs/>
                <w:color w:val="FF0000"/>
                <w:kern w:val="0"/>
                <w:szCs w:val="21"/>
                <w:lang w:val="en-US" w:eastAsia="zh-CN"/>
              </w:rPr>
              <w:t xml:space="preserve">8 </w:t>
            </w:r>
            <w:r>
              <w:rPr>
                <w:rFonts w:hint="eastAsia" w:ascii="宋体" w:hAnsi="宋体" w:eastAsia="宋体" w:cs="宋体"/>
                <w:bCs/>
                <w:color w:val="FF0000"/>
                <w:kern w:val="0"/>
                <w:szCs w:val="21"/>
              </w:rPr>
              <w:t>L</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参数显示：有效吸气容积、有效吸气容积%、吸气时间、有效吸气时间、有效吸气时间%、平均有效吸气流量、吸气后屏气时间、参数；</w:t>
            </w:r>
          </w:p>
          <w:p>
            <w:pPr>
              <w:jc w:val="left"/>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rPr>
              <w:t>5）呼吸肌力测定：最大吸气压，最大呼气压</w:t>
            </w:r>
            <w:r>
              <w:rPr>
                <w:rFonts w:hint="eastAsia" w:ascii="宋体" w:hAnsi="宋体" w:eastAsia="宋体" w:cs="宋体"/>
                <w:bCs/>
                <w:color w:val="FF0000"/>
                <w:kern w:val="0"/>
                <w:szCs w:val="21"/>
                <w:lang w:eastAsia="zh-CN"/>
              </w:rPr>
              <w:t>。</w:t>
            </w:r>
          </w:p>
          <w:p>
            <w:pPr>
              <w:jc w:val="left"/>
              <w:rPr>
                <w:rFonts w:hint="eastAsia" w:ascii="宋体" w:hAnsi="宋体" w:eastAsia="宋体" w:cs="宋体"/>
                <w:bCs/>
                <w:color w:val="FF0000"/>
                <w:kern w:val="0"/>
                <w:szCs w:val="21"/>
              </w:rPr>
            </w:pP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二、肺功能测定仪技术指标要求</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▲检测显示参数包含：FVC（用力肺活量）：FVC、FEV1</w:t>
            </w:r>
            <w:r>
              <w:rPr>
                <w:rFonts w:hint="eastAsia" w:ascii="宋体" w:hAnsi="宋体" w:eastAsia="宋体" w:cs="宋体"/>
                <w:bCs/>
                <w:color w:val="FF0000"/>
                <w:kern w:val="0"/>
                <w:szCs w:val="21"/>
                <w:lang w:val="en-US" w:eastAsia="zh-CN"/>
              </w:rPr>
              <w:t>(一秒用力呼气容积）</w:t>
            </w:r>
            <w:r>
              <w:rPr>
                <w:rFonts w:hint="eastAsia" w:ascii="宋体" w:hAnsi="宋体" w:eastAsia="宋体" w:cs="宋体"/>
                <w:bCs/>
                <w:color w:val="FF0000"/>
                <w:kern w:val="0"/>
                <w:szCs w:val="21"/>
              </w:rPr>
              <w:t>、FEV1/FVC</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一秒用力呼气容积/用力肺活量</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、PEF</w:t>
            </w:r>
            <w:r>
              <w:rPr>
                <w:rFonts w:hint="eastAsia" w:ascii="宋体" w:hAnsi="宋体" w:eastAsia="宋体" w:cs="宋体"/>
                <w:bCs/>
                <w:color w:val="FF0000"/>
                <w:kern w:val="0"/>
                <w:szCs w:val="21"/>
                <w:lang w:eastAsia="zh-CN"/>
              </w:rPr>
              <w:t>（呼气峰值流速）</w:t>
            </w:r>
            <w:r>
              <w:rPr>
                <w:rFonts w:hint="eastAsia" w:ascii="宋体" w:hAnsi="宋体" w:eastAsia="宋体" w:cs="宋体"/>
                <w:bCs/>
                <w:color w:val="FF0000"/>
                <w:kern w:val="0"/>
                <w:szCs w:val="21"/>
              </w:rPr>
              <w:t>、</w:t>
            </w:r>
            <w:r>
              <w:rPr>
                <w:rFonts w:hint="eastAsia" w:ascii="宋体" w:hAnsi="宋体" w:eastAsia="宋体" w:cs="宋体"/>
                <w:bCs/>
                <w:color w:val="FF0000"/>
                <w:kern w:val="0"/>
                <w:szCs w:val="21"/>
                <w:lang w:val="en-US" w:eastAsia="zh-CN"/>
              </w:rPr>
              <w:t>F</w:t>
            </w:r>
            <w:r>
              <w:rPr>
                <w:rFonts w:hint="eastAsia" w:ascii="宋体" w:hAnsi="宋体" w:eastAsia="宋体" w:cs="宋体"/>
                <w:bCs/>
                <w:color w:val="FF0000"/>
                <w:kern w:val="0"/>
                <w:szCs w:val="21"/>
              </w:rPr>
              <w:t>EF25</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用力呼出25%肺活量的呼气流速</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w:t>
            </w:r>
            <w:r>
              <w:rPr>
                <w:rFonts w:hint="eastAsia" w:ascii="宋体" w:hAnsi="宋体" w:eastAsia="宋体" w:cs="宋体"/>
                <w:bCs/>
                <w:color w:val="FF0000"/>
                <w:kern w:val="0"/>
                <w:szCs w:val="21"/>
                <w:lang w:val="en-US" w:eastAsia="zh-CN"/>
              </w:rPr>
              <w:t>F</w:t>
            </w:r>
            <w:r>
              <w:rPr>
                <w:rFonts w:hint="eastAsia" w:ascii="宋体" w:hAnsi="宋体" w:eastAsia="宋体" w:cs="宋体"/>
                <w:bCs/>
                <w:color w:val="FF0000"/>
                <w:kern w:val="0"/>
                <w:szCs w:val="21"/>
              </w:rPr>
              <w:t>EF50</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用力呼出</w:t>
            </w:r>
            <w:r>
              <w:rPr>
                <w:rFonts w:hint="eastAsia" w:ascii="宋体" w:hAnsi="宋体" w:eastAsia="宋体" w:cs="宋体"/>
                <w:bCs/>
                <w:color w:val="FF0000"/>
                <w:kern w:val="0"/>
                <w:szCs w:val="21"/>
                <w:lang w:val="en-US" w:eastAsia="zh-CN"/>
              </w:rPr>
              <w:t>50</w:t>
            </w:r>
            <w:r>
              <w:rPr>
                <w:rFonts w:hint="eastAsia" w:ascii="宋体" w:hAnsi="宋体" w:eastAsia="宋体" w:cs="宋体"/>
                <w:bCs/>
                <w:color w:val="FF0000"/>
                <w:kern w:val="0"/>
                <w:szCs w:val="21"/>
              </w:rPr>
              <w:t>%肺活量的呼气流速</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w:t>
            </w:r>
            <w:r>
              <w:rPr>
                <w:rFonts w:hint="eastAsia" w:ascii="宋体" w:hAnsi="宋体" w:eastAsia="宋体" w:cs="宋体"/>
                <w:bCs/>
                <w:color w:val="FF0000"/>
                <w:kern w:val="0"/>
                <w:szCs w:val="21"/>
                <w:lang w:val="en-US" w:eastAsia="zh-CN"/>
              </w:rPr>
              <w:t>F</w:t>
            </w:r>
            <w:r>
              <w:rPr>
                <w:rFonts w:hint="eastAsia" w:ascii="宋体" w:hAnsi="宋体" w:eastAsia="宋体" w:cs="宋体"/>
                <w:bCs/>
                <w:color w:val="FF0000"/>
                <w:kern w:val="0"/>
                <w:szCs w:val="21"/>
              </w:rPr>
              <w:t>EF75</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用力呼出</w:t>
            </w:r>
            <w:r>
              <w:rPr>
                <w:rFonts w:hint="eastAsia" w:ascii="宋体" w:hAnsi="宋体" w:eastAsia="宋体" w:cs="宋体"/>
                <w:bCs/>
                <w:color w:val="FF0000"/>
                <w:kern w:val="0"/>
                <w:szCs w:val="21"/>
                <w:lang w:val="en-US" w:eastAsia="zh-CN"/>
              </w:rPr>
              <w:t>75</w:t>
            </w:r>
            <w:r>
              <w:rPr>
                <w:rFonts w:hint="eastAsia" w:ascii="宋体" w:hAnsi="宋体" w:eastAsia="宋体" w:cs="宋体"/>
                <w:bCs/>
                <w:color w:val="FF0000"/>
                <w:kern w:val="0"/>
                <w:szCs w:val="21"/>
              </w:rPr>
              <w:t>%肺活量的呼气流速</w:t>
            </w:r>
            <w:r>
              <w:rPr>
                <w:rFonts w:hint="eastAsia" w:ascii="宋体" w:hAnsi="宋体" w:eastAsia="宋体" w:cs="宋体"/>
                <w:bCs/>
                <w:color w:val="FF0000"/>
                <w:kern w:val="0"/>
                <w:szCs w:val="21"/>
                <w:lang w:eastAsia="zh-CN"/>
              </w:rPr>
              <w:t>）。</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可进行支气管舒张试验；</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3</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可检测呼气、吸气指标，实时显示动态曲线（流量容积曲线、时间容积曲线）；具备中国人预计值公式；</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4</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便携式设计，方便床旁及基层医疗卫生机构使用，适用于在社区体检或现场流调等工作开展；</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5</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▲产品需具备恰当措施克服交叉感染风险，以及有效克服使用过程中拆卸清洗传感部件引起的潜在质控问题；</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6</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同时支持A4报告打印或仪器自带打印功能，方便基层医疗卫生机构开展筛查与流调等工作场景下可以及时打印报告。</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jc w:val="center"/>
              <w:rPr>
                <w:rFonts w:hint="eastAsia" w:ascii="宋体" w:hAnsi="宋体" w:cs="宋体"/>
                <w:b/>
                <w:color w:val="FF0000"/>
                <w:kern w:val="0"/>
                <w:szCs w:val="21"/>
              </w:rPr>
            </w:pPr>
            <w:r>
              <w:rPr>
                <w:rFonts w:ascii="宋体" w:hAnsi="宋体" w:eastAsia="宋体" w:cs="宋体"/>
                <w:color w:val="FF0000"/>
                <w:sz w:val="24"/>
                <w:szCs w:val="24"/>
              </w:rPr>
              <w:t>★</w:t>
            </w:r>
            <w:r>
              <w:rPr>
                <w:rFonts w:hint="eastAsia" w:ascii="宋体" w:hAnsi="宋体"/>
                <w:b/>
                <w:bCs/>
                <w:color w:val="FF0000"/>
                <w:szCs w:val="21"/>
              </w:rPr>
              <w:t>报价要求</w:t>
            </w:r>
          </w:p>
        </w:tc>
        <w:tc>
          <w:tcPr>
            <w:tcW w:w="8790" w:type="dxa"/>
            <w:vAlign w:val="center"/>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ascii="宋体" w:hAnsi="宋体" w:eastAsia="宋体" w:cs="宋体"/>
                <w:color w:val="FF0000"/>
                <w:sz w:val="24"/>
                <w:szCs w:val="24"/>
              </w:rPr>
              <w:t>★</w:t>
            </w:r>
            <w:r>
              <w:rPr>
                <w:rFonts w:hint="eastAsia" w:ascii="宋体" w:hAnsi="宋体"/>
                <w:b/>
                <w:color w:val="FF0000"/>
                <w:kern w:val="0"/>
                <w:szCs w:val="21"/>
              </w:rPr>
              <w:t>交货期</w:t>
            </w:r>
          </w:p>
        </w:tc>
        <w:tc>
          <w:tcPr>
            <w:tcW w:w="8790" w:type="dxa"/>
            <w:vAlign w:val="center"/>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1、合同签订生效后60日历日内完成安装、调试及验收，货送至采购方指定地点。</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2、逾期交货采购方有权按照相关规定处罚。中标方必须承担的设备运输、安装调试、验收检测和提供设备操作说明书、图纸等其他类似的义务。</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jc w:val="center"/>
              <w:rPr>
                <w:rFonts w:hint="eastAsia" w:ascii="宋体" w:hAnsi="宋体" w:cs="宋体"/>
                <w:b/>
                <w:color w:val="FF0000"/>
                <w:kern w:val="0"/>
                <w:szCs w:val="21"/>
              </w:rPr>
            </w:pPr>
            <w:r>
              <w:rPr>
                <w:rFonts w:ascii="宋体" w:hAnsi="宋体" w:eastAsia="宋体" w:cs="宋体"/>
                <w:color w:val="FF0000"/>
                <w:sz w:val="24"/>
                <w:szCs w:val="24"/>
              </w:rPr>
              <w:t>★</w:t>
            </w:r>
            <w:r>
              <w:rPr>
                <w:rFonts w:hint="eastAsia" w:ascii="宋体" w:hAnsi="宋体"/>
                <w:b/>
                <w:color w:val="FF0000"/>
                <w:kern w:val="0"/>
                <w:szCs w:val="21"/>
                <w:lang w:val="en-US" w:eastAsia="zh-CN"/>
              </w:rPr>
              <w:t>售</w:t>
            </w:r>
            <w:r>
              <w:rPr>
                <w:rFonts w:hint="eastAsia" w:ascii="宋体" w:hAnsi="宋体"/>
                <w:b/>
                <w:color w:val="FF0000"/>
                <w:kern w:val="0"/>
                <w:szCs w:val="21"/>
              </w:rPr>
              <w:t>后服务要求</w:t>
            </w:r>
          </w:p>
        </w:tc>
        <w:tc>
          <w:tcPr>
            <w:tcW w:w="8790" w:type="dxa"/>
            <w:vAlign w:val="center"/>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设备安装调试验收合格后原厂质保5年。投标方中标后需提供与设备生产厂家签订的该设备5年质保协议原件。在质保期内，设备零配件及其维修的有关费用不得额外收费，终身负责维修；软件终身升级且不得额外收费。</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5、质保期结束前3个月内，中标方联合厂家工程师或授权维修企业工程师对所供应设备进行一次全面巡检保养，并提供质保期内所有巡检维护保养报告。</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6、质保期外，中标方负责维修及提供原装配件，需在2小时内响应，12小时内到达现场维修，按需及时更换零配件，特殊情况下可提供备用机，采购方只负责更换零配件费。</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7、投标方所投产品要有专门的设备维修站（提供工程师电话和技术维修力量情况和维修的详细地址及联系方式）。</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8、提供详细的售后服务方案，负责安装、调试、提供技术咨询、软件升级及人员培训皆不可进行额外收费，以保证采购方工作人员掌握设备各种使用操作。</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10、场地迁移，需要移机时，中标方需负责迁移并提供技术支持且不得额外收取费用，需确保机器的正常使用。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11、涉及软件</w:t>
            </w:r>
            <w:bookmarkStart w:id="13" w:name="_GoBack"/>
            <w:bookmarkEnd w:id="13"/>
            <w:r>
              <w:rPr>
                <w:rFonts w:hint="eastAsia" w:ascii="宋体" w:hAnsi="宋体" w:eastAsia="宋体" w:cs="宋体"/>
                <w:bCs/>
                <w:color w:val="FF0000"/>
                <w:kern w:val="0"/>
                <w:szCs w:val="21"/>
              </w:rPr>
              <w:t>应用的设备，中标方应配合医院智慧医院信息化建设。在质保期内，应及时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cs="宋体"/>
                <w:b/>
                <w:color w:val="FF0000"/>
                <w:kern w:val="0"/>
                <w:szCs w:val="21"/>
              </w:rPr>
              <w:t>★</w:t>
            </w:r>
            <w:r>
              <w:rPr>
                <w:rFonts w:hint="eastAsia" w:ascii="宋体" w:hAnsi="宋体"/>
                <w:b/>
                <w:color w:val="FF0000"/>
                <w:kern w:val="0"/>
                <w:szCs w:val="21"/>
              </w:rPr>
              <w:t>验收方式</w:t>
            </w:r>
          </w:p>
        </w:tc>
        <w:tc>
          <w:tcPr>
            <w:tcW w:w="8790" w:type="dxa"/>
            <w:vAlign w:val="center"/>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1、设备安装调试正常使用后由使用科室、设备科、中标方代表在场进行验收，质保期从验收合格之日起计。</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产品质量和安装调试检验标准遵照国家相关规定和最新标准执行。验收中如发现有质量不合格或型号规格、数量等与送货清单不符等情况，中标方应进行更换或补齐，并承担因此发生的违约责任。中标方货物经过双方检验认可后，签署验收报告。</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3、当满足以下条件时，采购方才向中标方签发货物验收报告：</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a、中标方已按照合同规定提供了全部产品及完整的技术资料。</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b、货物符合招标文件技术规格书的要求，性能满足要求。</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c、货物具备产品合格证。</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d、提供维修手册、售后服务承诺书、中文操作手册。</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cs="宋体"/>
                <w:b/>
                <w:color w:val="FF0000"/>
                <w:kern w:val="0"/>
                <w:szCs w:val="21"/>
              </w:rPr>
              <w:t>★</w:t>
            </w:r>
            <w:r>
              <w:rPr>
                <w:rFonts w:hint="eastAsia" w:ascii="宋体" w:hAnsi="宋体"/>
                <w:b/>
                <w:color w:val="FF0000"/>
                <w:kern w:val="0"/>
                <w:szCs w:val="21"/>
              </w:rPr>
              <w:t>付款方式</w:t>
            </w:r>
          </w:p>
        </w:tc>
        <w:tc>
          <w:tcPr>
            <w:tcW w:w="8790" w:type="dxa"/>
            <w:vAlign w:val="center"/>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1、签订合同后15个工作日内，中标方须以保函等非现金方式向采购方提交履约担保（金额为中标合同价的5%）。</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2、中标方提供全额发票，经验收合格，办理入库后，采购方在收到履约保证金后15个工作日内，向中标方支付合同全款。</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jc w:val="center"/>
              <w:rPr>
                <w:rFonts w:hint="eastAsia" w:ascii="宋体" w:hAnsi="宋体" w:cs="宋体"/>
                <w:b/>
                <w:color w:val="FF0000"/>
                <w:kern w:val="0"/>
                <w:szCs w:val="21"/>
              </w:rPr>
            </w:pPr>
            <w:r>
              <w:rPr>
                <w:rFonts w:hint="eastAsia" w:ascii="宋体" w:hAnsi="宋体" w:cs="宋体"/>
                <w:b/>
                <w:color w:val="FF0000"/>
                <w:kern w:val="0"/>
                <w:szCs w:val="21"/>
              </w:rPr>
              <w:t>★其他要求</w:t>
            </w:r>
          </w:p>
        </w:tc>
        <w:tc>
          <w:tcPr>
            <w:tcW w:w="8790" w:type="dxa"/>
            <w:vAlign w:val="center"/>
          </w:tcPr>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1、本项目中如有涉及水、电、气设备安装及调试、室外高空作业等项目的中标方承诺使用具有国家认可资质的操作人员（资质证书仍在有效期内）实施，否则由此造成的后果由中标方负责。</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2、如所投产品受行业主管部门规定强制认证或检测或许可的（如3C认证或检测报告或工信部进网许可证等），中标方在签订合同前向采购方提供相关认证证书或检测报告。</w:t>
            </w:r>
          </w:p>
          <w:p>
            <w:pPr>
              <w:jc w:val="left"/>
              <w:rPr>
                <w:rFonts w:hint="eastAsia" w:ascii="宋体" w:hAnsi="宋体" w:eastAsia="宋体" w:cs="宋体"/>
                <w:bCs/>
                <w:color w:val="FF0000"/>
                <w:kern w:val="0"/>
                <w:szCs w:val="21"/>
              </w:rPr>
            </w:pPr>
            <w:r>
              <w:rPr>
                <w:rFonts w:hint="eastAsia" w:ascii="宋体" w:hAnsi="宋体" w:eastAsia="宋体" w:cs="宋体"/>
                <w:bCs/>
                <w:color w:val="FF0000"/>
                <w:kern w:val="0"/>
                <w:szCs w:val="21"/>
              </w:rPr>
              <w:t>3、本项目所要求的硬件、软件，中标方要配备给采购方，并保证采购方能正常使用，不需要另外增加其他附件和其他费用。</w:t>
            </w:r>
          </w:p>
          <w:p>
            <w:pPr>
              <w:jc w:val="left"/>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hint="eastAsia"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.商务条款偏离表------------------------------------------------见第（）页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lang w:val="en-US" w:eastAsia="zh-CN"/>
        </w:rPr>
        <w:t>19</w:t>
      </w:r>
      <w:r>
        <w:rPr>
          <w:rFonts w:hint="eastAsia" w:ascii="宋体" w:hAnsi="宋体"/>
          <w:szCs w:val="21"/>
        </w:rPr>
        <w:t>.报价单--------------------------------------------------------见第（）页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2</w:t>
      </w:r>
      <w:r>
        <w:rPr>
          <w:rFonts w:hint="eastAsia" w:ascii="宋体" w:hAnsi="宋体" w:eastAsia="宋体" w:cs="Times New Roman"/>
          <w:b/>
          <w:bCs/>
          <w:szCs w:val="21"/>
        </w:rPr>
        <w:t>.技术保障措施</w:t>
      </w:r>
    </w:p>
    <w:p>
      <w:pPr>
        <w:spacing w:after="60"/>
        <w:ind w:left="842" w:leftChars="200" w:hanging="422" w:hangingChars="200"/>
        <w:jc w:val="center"/>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cs="宋体"/>
                <w:b/>
                <w:kern w:val="0"/>
                <w:szCs w:val="21"/>
              </w:rPr>
            </w:pPr>
            <w:r>
              <w:rPr>
                <w:rFonts w:hint="eastAsia" w:ascii="宋体" w:hAnsi="宋体" w:eastAsia="宋体" w:cs="宋体"/>
                <w:b/>
                <w:kern w:val="0"/>
                <w:szCs w:val="21"/>
              </w:rPr>
              <w:t>配套耗材</w:t>
            </w:r>
          </w:p>
        </w:tc>
        <w:tc>
          <w:tcPr>
            <w:tcW w:w="3849" w:type="dxa"/>
            <w:vAlign w:val="center"/>
          </w:tcPr>
          <w:p>
            <w:pPr>
              <w:jc w:val="left"/>
              <w:rPr>
                <w:rFonts w:hint="eastAsia"/>
                <w:bCs/>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SZSZXYJHYY202311121</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rPr>
              <w:t>呼吸训练器</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275865611"/>
      <w:bookmarkStart w:id="8" w:name="_Toc435515306"/>
      <w:bookmarkStart w:id="9" w:name="_Toc435514866"/>
      <w:bookmarkStart w:id="10" w:name="_Toc6350"/>
      <w:bookmarkStart w:id="11" w:name="_Toc116913827"/>
      <w:bookmarkStart w:id="12" w:name="_Toc192662843"/>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045570"/>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07EFD"/>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2C61D7"/>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AF874FC"/>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542870"/>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5F807A6"/>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66500"/>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BF35C97"/>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94029"/>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514BC"/>
    <w:rsid w:val="343F261D"/>
    <w:rsid w:val="34563267"/>
    <w:rsid w:val="347C624E"/>
    <w:rsid w:val="348E47AF"/>
    <w:rsid w:val="34924EEA"/>
    <w:rsid w:val="34E71080"/>
    <w:rsid w:val="34F34F5A"/>
    <w:rsid w:val="34FA23CB"/>
    <w:rsid w:val="35380BBF"/>
    <w:rsid w:val="354C6BD7"/>
    <w:rsid w:val="359061CF"/>
    <w:rsid w:val="359978AF"/>
    <w:rsid w:val="36140114"/>
    <w:rsid w:val="36664BB1"/>
    <w:rsid w:val="3682034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01A4"/>
    <w:rsid w:val="40F818D1"/>
    <w:rsid w:val="4131589B"/>
    <w:rsid w:val="414342A6"/>
    <w:rsid w:val="41632ABD"/>
    <w:rsid w:val="416B7C26"/>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852559"/>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3F84897"/>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BB590E"/>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8B3333"/>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EA620B"/>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12</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2023-11-07T01:54:26Z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