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106</w:t>
      </w:r>
      <w:r>
        <w:rPr>
          <w:rFonts w:hint="eastAsia" w:ascii="宋体" w:hAnsi="宋体"/>
          <w:b/>
          <w:bCs/>
          <w:sz w:val="30"/>
          <w:szCs w:val="30"/>
        </w:rPr>
        <w:t>期采购公告</w:t>
      </w:r>
    </w:p>
    <w:p>
      <w:pPr>
        <w:widowControl/>
        <w:spacing w:before="156" w:after="156"/>
        <w:ind w:left="105"/>
        <w:jc w:val="center"/>
        <w:rPr>
          <w:rFonts w:ascii="宋体" w:hAnsi="宋体"/>
          <w:b/>
          <w:bCs/>
          <w:sz w:val="30"/>
          <w:szCs w:val="30"/>
        </w:rPr>
      </w:pPr>
      <w:r>
        <w:rPr>
          <w:rFonts w:hint="eastAsia" w:ascii="宋体" w:hAnsi="宋体"/>
          <w:b/>
          <w:bCs/>
          <w:sz w:val="30"/>
          <w:szCs w:val="30"/>
        </w:rPr>
        <w:t>项目编号：SZSZXYJHYY202310106</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304"/>
        <w:gridCol w:w="1020"/>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b/>
                <w:bCs/>
                <w:sz w:val="18"/>
                <w:szCs w:val="18"/>
              </w:rPr>
            </w:pPr>
            <w:r>
              <w:rPr>
                <w:rFonts w:hint="eastAsia"/>
                <w:b/>
                <w:bCs/>
                <w:sz w:val="18"/>
                <w:szCs w:val="18"/>
              </w:rPr>
              <w:t>序号</w:t>
            </w:r>
          </w:p>
        </w:tc>
        <w:tc>
          <w:tcPr>
            <w:tcW w:w="2304" w:type="dxa"/>
            <w:vAlign w:val="center"/>
          </w:tcPr>
          <w:p>
            <w:pPr>
              <w:widowControl/>
              <w:snapToGrid w:val="0"/>
              <w:jc w:val="center"/>
              <w:rPr>
                <w:b/>
                <w:bCs/>
                <w:sz w:val="18"/>
                <w:szCs w:val="18"/>
              </w:rPr>
            </w:pPr>
            <w:r>
              <w:rPr>
                <w:rFonts w:hint="eastAsia"/>
                <w:b/>
                <w:bCs/>
                <w:sz w:val="18"/>
                <w:szCs w:val="18"/>
              </w:rPr>
              <w:t>项目名称</w:t>
            </w:r>
          </w:p>
        </w:tc>
        <w:tc>
          <w:tcPr>
            <w:tcW w:w="1020" w:type="dxa"/>
            <w:vAlign w:val="center"/>
          </w:tcPr>
          <w:p>
            <w:pPr>
              <w:widowControl/>
              <w:snapToGrid w:val="0"/>
              <w:jc w:val="center"/>
              <w:rPr>
                <w:b/>
                <w:bCs/>
                <w:sz w:val="18"/>
                <w:szCs w:val="18"/>
              </w:rPr>
            </w:pPr>
            <w:r>
              <w:rPr>
                <w:rFonts w:hint="eastAsia"/>
                <w:b/>
                <w:bCs/>
                <w:sz w:val="18"/>
                <w:szCs w:val="18"/>
              </w:rPr>
              <w:t>数量</w:t>
            </w:r>
          </w:p>
        </w:tc>
        <w:tc>
          <w:tcPr>
            <w:tcW w:w="1770" w:type="dxa"/>
            <w:vAlign w:val="center"/>
          </w:tcPr>
          <w:p>
            <w:pPr>
              <w:widowControl/>
              <w:snapToGrid w:val="0"/>
              <w:jc w:val="center"/>
              <w:rPr>
                <w:b/>
                <w:bCs/>
                <w:sz w:val="18"/>
                <w:szCs w:val="18"/>
              </w:rPr>
            </w:pPr>
            <w:r>
              <w:rPr>
                <w:rFonts w:hint="eastAsia"/>
                <w:b/>
                <w:bCs/>
                <w:sz w:val="18"/>
                <w:szCs w:val="18"/>
              </w:rPr>
              <w:t>预算价（人民币元）</w:t>
            </w:r>
          </w:p>
        </w:tc>
        <w:tc>
          <w:tcPr>
            <w:tcW w:w="2156" w:type="dxa"/>
            <w:vAlign w:val="center"/>
          </w:tcPr>
          <w:p>
            <w:pPr>
              <w:widowControl/>
              <w:snapToGrid w:val="0"/>
              <w:jc w:val="center"/>
              <w:rPr>
                <w:b/>
                <w:bCs/>
                <w:sz w:val="18"/>
                <w:szCs w:val="18"/>
              </w:rPr>
            </w:pPr>
            <w:r>
              <w:rPr>
                <w:rFonts w:hint="eastAsia"/>
                <w:b/>
                <w:bCs/>
                <w:sz w:val="18"/>
                <w:szCs w:val="18"/>
              </w:rPr>
              <w:t>技术需求或服务要求</w:t>
            </w:r>
          </w:p>
        </w:tc>
        <w:tc>
          <w:tcPr>
            <w:tcW w:w="1150" w:type="dxa"/>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vAlign w:val="center"/>
          </w:tcPr>
          <w:p>
            <w:pPr>
              <w:widowControl/>
              <w:snapToGrid w:val="0"/>
              <w:jc w:val="center"/>
              <w:rPr>
                <w:sz w:val="18"/>
                <w:szCs w:val="18"/>
              </w:rPr>
            </w:pPr>
            <w:r>
              <w:rPr>
                <w:rFonts w:hint="eastAsia"/>
                <w:sz w:val="18"/>
                <w:szCs w:val="18"/>
              </w:rPr>
              <w:t>1</w:t>
            </w:r>
          </w:p>
        </w:tc>
        <w:tc>
          <w:tcPr>
            <w:tcW w:w="2304"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宫腔电切镜</w:t>
            </w:r>
          </w:p>
        </w:tc>
        <w:tc>
          <w:tcPr>
            <w:tcW w:w="1020" w:type="dxa"/>
            <w:vAlign w:val="center"/>
          </w:tcPr>
          <w:p>
            <w:pPr>
              <w:widowControl/>
              <w:snapToGrid w:val="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2套</w:t>
            </w:r>
          </w:p>
        </w:tc>
        <w:tc>
          <w:tcPr>
            <w:tcW w:w="1770" w:type="dxa"/>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380000</w:t>
            </w:r>
          </w:p>
        </w:tc>
        <w:tc>
          <w:tcPr>
            <w:tcW w:w="2156" w:type="dxa"/>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vAlign w:val="center"/>
          </w:tcPr>
          <w:p>
            <w:pPr>
              <w:widowControl/>
              <w:snapToGrid w:val="0"/>
              <w:jc w:val="center"/>
              <w:rPr>
                <w:sz w:val="18"/>
                <w:szCs w:val="18"/>
              </w:rPr>
            </w:pPr>
            <w:r>
              <w:rPr>
                <w:rFonts w:hint="eastAsia"/>
                <w:sz w:val="18"/>
                <w:szCs w:val="18"/>
              </w:rPr>
              <w:t>接受进口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10</w:t>
      </w:r>
      <w:r>
        <w:rPr>
          <w:rFonts w:hint="eastAsia" w:ascii="宋体" w:hAnsi="宋体" w:cs="Arial"/>
          <w:color w:val="000000"/>
          <w:kern w:val="0"/>
          <w:szCs w:val="21"/>
        </w:rPr>
        <w:t>月</w:t>
      </w:r>
      <w:r>
        <w:rPr>
          <w:rFonts w:hint="eastAsia" w:ascii="宋体" w:hAnsi="宋体" w:cs="Arial"/>
          <w:color w:val="000000"/>
          <w:kern w:val="0"/>
          <w:szCs w:val="21"/>
          <w:lang w:val="en-US" w:eastAsia="zh-CN"/>
        </w:rPr>
        <w:t>26</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left"/>
        <w:rPr>
          <w:rFonts w:ascii="宋体" w:hAnsi="宋体" w:cs="Arial"/>
          <w:color w:val="000000"/>
          <w:kern w:val="0"/>
          <w:szCs w:val="21"/>
        </w:rPr>
      </w:pP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10</w:t>
      </w:r>
      <w:r>
        <w:rPr>
          <w:rFonts w:hint="eastAsia" w:ascii="宋体" w:hAnsi="宋体" w:cs="宋体-18030"/>
          <w:bCs/>
          <w:szCs w:val="21"/>
        </w:rPr>
        <w:t>月</w:t>
      </w:r>
      <w:r>
        <w:rPr>
          <w:rFonts w:hint="eastAsia" w:ascii="宋体" w:hAnsi="宋体" w:cs="宋体-18030"/>
          <w:bCs/>
          <w:szCs w:val="21"/>
          <w:lang w:val="en-US" w:eastAsia="zh-CN"/>
        </w:rPr>
        <w:t>17</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2325" w:type="dxa"/>
            <w:gridSpan w:val="2"/>
            <w:vAlign w:val="center"/>
          </w:tcPr>
          <w:p>
            <w:pPr>
              <w:jc w:val="center"/>
              <w:rPr>
                <w:rFonts w:ascii="宋体" w:hAnsi="宋体"/>
                <w:b/>
                <w:bCs/>
                <w:color w:val="auto"/>
                <w:szCs w:val="21"/>
              </w:rPr>
            </w:pPr>
            <w:r>
              <w:rPr>
                <w:rFonts w:hint="eastAsia" w:ascii="宋体" w:hAnsi="宋体"/>
                <w:b/>
                <w:bCs/>
                <w:color w:val="auto"/>
                <w:szCs w:val="21"/>
              </w:rPr>
              <w:t>评分因素</w:t>
            </w:r>
          </w:p>
        </w:tc>
        <w:tc>
          <w:tcPr>
            <w:tcW w:w="465" w:type="dxa"/>
            <w:vAlign w:val="center"/>
          </w:tcPr>
          <w:p>
            <w:pPr>
              <w:jc w:val="center"/>
              <w:rPr>
                <w:rFonts w:ascii="宋体" w:hAnsi="宋体"/>
                <w:b/>
                <w:bCs/>
                <w:color w:val="auto"/>
                <w:szCs w:val="21"/>
              </w:rPr>
            </w:pPr>
            <w:r>
              <w:rPr>
                <w:rFonts w:hint="eastAsia" w:ascii="宋体" w:hAnsi="宋体"/>
                <w:b/>
                <w:bCs/>
                <w:color w:val="auto"/>
                <w:szCs w:val="21"/>
              </w:rPr>
              <w:t>分值</w:t>
            </w:r>
          </w:p>
        </w:tc>
        <w:tc>
          <w:tcPr>
            <w:tcW w:w="6303" w:type="dxa"/>
            <w:vAlign w:val="center"/>
          </w:tcPr>
          <w:p>
            <w:pPr>
              <w:jc w:val="center"/>
              <w:rPr>
                <w:rFonts w:ascii="宋体" w:hAnsi="宋体"/>
                <w:b/>
                <w:bCs/>
                <w:color w:val="auto"/>
                <w:szCs w:val="21"/>
              </w:rPr>
            </w:pPr>
            <w:r>
              <w:rPr>
                <w:rFonts w:hint="eastAsia" w:ascii="宋体" w:hAnsi="宋体"/>
                <w:b/>
                <w:bCs/>
                <w:color w:val="auto"/>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jc w:val="center"/>
              <w:rPr>
                <w:rFonts w:ascii="宋体" w:hAnsi="宋体" w:cs="Arial"/>
                <w:color w:val="auto"/>
                <w:kern w:val="0"/>
                <w:szCs w:val="21"/>
              </w:rPr>
            </w:pPr>
          </w:p>
          <w:p>
            <w:pPr>
              <w:widowControl/>
              <w:rPr>
                <w:rFonts w:ascii="宋体" w:hAnsi="宋体" w:cs="Arial"/>
                <w:color w:val="auto"/>
                <w:kern w:val="0"/>
                <w:szCs w:val="21"/>
              </w:rPr>
            </w:pPr>
          </w:p>
          <w:p>
            <w:pPr>
              <w:widowControl/>
              <w:jc w:val="center"/>
              <w:rPr>
                <w:rFonts w:ascii="宋体" w:hAnsi="宋体" w:cs="Arial"/>
                <w:color w:val="auto"/>
                <w:kern w:val="0"/>
                <w:szCs w:val="21"/>
              </w:rPr>
            </w:pPr>
            <w:r>
              <w:rPr>
                <w:rFonts w:hint="eastAsia" w:ascii="宋体" w:hAnsi="宋体" w:cs="Arial"/>
                <w:color w:val="auto"/>
                <w:kern w:val="0"/>
                <w:szCs w:val="21"/>
              </w:rPr>
              <w:t>一</w:t>
            </w:r>
          </w:p>
        </w:tc>
        <w:tc>
          <w:tcPr>
            <w:tcW w:w="1080" w:type="dxa"/>
            <w:vMerge w:val="restart"/>
            <w:vAlign w:val="center"/>
          </w:tcPr>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r>
              <w:rPr>
                <w:rFonts w:hint="eastAsia" w:ascii="宋体" w:hAnsi="宋体" w:cs="Arial"/>
                <w:color w:val="auto"/>
                <w:kern w:val="0"/>
                <w:szCs w:val="21"/>
              </w:rPr>
              <w:t>技术部分</w:t>
            </w:r>
          </w:p>
          <w:p>
            <w:pPr>
              <w:widowControl/>
              <w:jc w:val="left"/>
              <w:rPr>
                <w:rFonts w:ascii="宋体" w:hAnsi="宋体" w:cs="Arial"/>
                <w:color w:val="auto"/>
                <w:kern w:val="0"/>
                <w:szCs w:val="21"/>
              </w:rPr>
            </w:pPr>
            <w:r>
              <w:rPr>
                <w:rFonts w:hint="eastAsia" w:ascii="宋体" w:hAnsi="宋体" w:cs="Arial"/>
                <w:color w:val="auto"/>
                <w:kern w:val="0"/>
                <w:szCs w:val="21"/>
              </w:rPr>
              <w:t>（40分）</w:t>
            </w:r>
          </w:p>
        </w:tc>
        <w:tc>
          <w:tcPr>
            <w:tcW w:w="1245" w:type="dxa"/>
            <w:vAlign w:val="center"/>
          </w:tcPr>
          <w:p>
            <w:pPr>
              <w:jc w:val="center"/>
              <w:rPr>
                <w:color w:val="auto"/>
              </w:rPr>
            </w:pPr>
            <w:r>
              <w:rPr>
                <w:rFonts w:hint="eastAsia"/>
                <w:color w:val="auto"/>
              </w:rPr>
              <w:t>技术规格偏离情况</w:t>
            </w:r>
          </w:p>
          <w:p>
            <w:pPr>
              <w:jc w:val="center"/>
              <w:rPr>
                <w:rFonts w:ascii="宋体" w:hAnsi="宋体" w:cs="宋体"/>
                <w:color w:val="auto"/>
                <w:kern w:val="0"/>
                <w:szCs w:val="21"/>
              </w:rPr>
            </w:pP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34</w:t>
            </w:r>
          </w:p>
        </w:tc>
        <w:tc>
          <w:tcPr>
            <w:tcW w:w="6303" w:type="dxa"/>
            <w:vAlign w:val="center"/>
          </w:tcPr>
          <w:p>
            <w:pPr>
              <w:pStyle w:val="34"/>
              <w:ind w:firstLine="0" w:firstLineChars="0"/>
              <w:rPr>
                <w:color w:val="auto"/>
              </w:rPr>
            </w:pPr>
            <w:r>
              <w:rPr>
                <w:rFonts w:hint="eastAsia"/>
                <w:color w:val="auto"/>
              </w:rPr>
              <w:t>投标人应如实填写《技术规格偏离表》，各项技术参数指标及要求全部满足的得34分；带“▲”为重要技术参数每负偏离一项扣</w:t>
            </w:r>
            <w:r>
              <w:rPr>
                <w:rFonts w:hint="eastAsia"/>
                <w:color w:val="auto"/>
                <w:lang w:val="en-US" w:eastAsia="zh-CN"/>
              </w:rPr>
              <w:t>5</w:t>
            </w:r>
            <w:r>
              <w:rPr>
                <w:rFonts w:hint="eastAsia"/>
                <w:color w:val="auto"/>
              </w:rPr>
              <w:t>分；其他技术参数每负偏离一项扣1分；</w:t>
            </w:r>
            <w:r>
              <w:rPr>
                <w:rFonts w:hint="eastAsia"/>
                <w:color w:val="auto"/>
                <w:lang w:val="zh-CN"/>
              </w:rPr>
              <w:t>未响应参数视为负偏离，</w:t>
            </w:r>
            <w:r>
              <w:rPr>
                <w:rFonts w:hint="eastAsia"/>
                <w:color w:val="auto"/>
              </w:rPr>
              <w:t>扣1分；扣完为止。接受正偏离但不加分。</w:t>
            </w:r>
          </w:p>
          <w:p>
            <w:pPr>
              <w:pStyle w:val="34"/>
              <w:ind w:firstLine="0" w:firstLineChars="0"/>
              <w:rPr>
                <w:color w:val="auto"/>
              </w:rPr>
            </w:pPr>
            <w:r>
              <w:rPr>
                <w:rFonts w:hint="eastAsia"/>
                <w:color w:val="auto"/>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left"/>
              <w:rPr>
                <w:rFonts w:ascii="宋体" w:hAnsi="宋体" w:cs="Arial"/>
                <w:color w:val="auto"/>
                <w:kern w:val="0"/>
                <w:szCs w:val="21"/>
              </w:rPr>
            </w:pPr>
          </w:p>
        </w:tc>
        <w:tc>
          <w:tcPr>
            <w:tcW w:w="1245" w:type="dxa"/>
            <w:vAlign w:val="center"/>
          </w:tcPr>
          <w:p>
            <w:pPr>
              <w:jc w:val="center"/>
              <w:rPr>
                <w:rFonts w:ascii="宋体" w:hAnsi="宋体" w:cs="Arial"/>
                <w:color w:val="auto"/>
                <w:kern w:val="0"/>
                <w:szCs w:val="21"/>
              </w:rPr>
            </w:pPr>
            <w:r>
              <w:rPr>
                <w:rFonts w:hint="eastAsia"/>
                <w:color w:val="auto"/>
              </w:rPr>
              <w:t>产品的质量可靠性和先进性</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tcPr>
          <w:p>
            <w:pPr>
              <w:pStyle w:val="34"/>
              <w:ind w:firstLine="0" w:firstLineChars="0"/>
              <w:rPr>
                <w:color w:val="auto"/>
              </w:rPr>
            </w:pPr>
            <w:r>
              <w:rPr>
                <w:rFonts w:hint="eastAsia"/>
                <w:color w:val="auto"/>
              </w:rPr>
              <w:t>评分内容：根据投标产品技术规格中技术标准和性能等进行评分。</w:t>
            </w:r>
          </w:p>
          <w:p>
            <w:pPr>
              <w:pStyle w:val="34"/>
              <w:ind w:firstLine="0" w:firstLineChars="0"/>
              <w:rPr>
                <w:color w:val="auto"/>
              </w:rPr>
            </w:pPr>
            <w:r>
              <w:rPr>
                <w:rFonts w:hint="eastAsia"/>
                <w:color w:val="auto"/>
              </w:rPr>
              <w:t>（1）性能良好，故障率低；</w:t>
            </w:r>
          </w:p>
          <w:p>
            <w:pPr>
              <w:pStyle w:val="34"/>
              <w:ind w:firstLine="0" w:firstLineChars="0"/>
              <w:rPr>
                <w:color w:val="auto"/>
              </w:rPr>
            </w:pPr>
            <w:r>
              <w:rPr>
                <w:rFonts w:hint="eastAsia"/>
                <w:color w:val="auto"/>
              </w:rPr>
              <w:t>（2）设备整体水平先进，可操作性强；</w:t>
            </w:r>
          </w:p>
          <w:p>
            <w:pPr>
              <w:pStyle w:val="34"/>
              <w:ind w:firstLine="0" w:firstLineChars="0"/>
              <w:rPr>
                <w:color w:val="auto"/>
                <w:lang w:val="zh-CN"/>
              </w:rPr>
            </w:pPr>
            <w:r>
              <w:rPr>
                <w:rFonts w:hint="eastAsia"/>
                <w:color w:val="auto"/>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商务部分（30分）</w:t>
            </w:r>
          </w:p>
          <w:p>
            <w:pPr>
              <w:widowControl/>
              <w:jc w:val="center"/>
              <w:rPr>
                <w:rFonts w:ascii="宋体" w:hAnsi="宋体" w:cs="Arial"/>
                <w:color w:val="auto"/>
                <w:kern w:val="0"/>
                <w:szCs w:val="21"/>
              </w:rPr>
            </w:pPr>
          </w:p>
        </w:tc>
        <w:tc>
          <w:tcPr>
            <w:tcW w:w="1245" w:type="dxa"/>
            <w:tcBorders>
              <w:top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商务条款偏离情况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11</w:t>
            </w:r>
          </w:p>
        </w:tc>
        <w:tc>
          <w:tcPr>
            <w:tcW w:w="6303" w:type="dxa"/>
            <w:vAlign w:val="center"/>
          </w:tcPr>
          <w:p>
            <w:pPr>
              <w:pStyle w:val="34"/>
              <w:ind w:firstLine="0" w:firstLineChars="0"/>
              <w:rPr>
                <w:color w:val="auto"/>
                <w:lang w:val="sq-AL"/>
              </w:rPr>
            </w:pPr>
            <w:r>
              <w:rPr>
                <w:rFonts w:hint="eastAsia"/>
                <w:color w:val="auto"/>
                <w:lang w:val="zh-CN"/>
              </w:rPr>
              <w:t>投标人应如实填写《商务条款偏离表》，全部满足的得</w:t>
            </w:r>
            <w:r>
              <w:rPr>
                <w:rFonts w:hint="eastAsia"/>
                <w:color w:val="auto"/>
              </w:rPr>
              <w:t>1</w:t>
            </w:r>
            <w:r>
              <w:rPr>
                <w:rFonts w:hint="eastAsia"/>
                <w:color w:val="auto"/>
                <w:lang w:val="en-US" w:eastAsia="zh-CN"/>
              </w:rPr>
              <w:t>1</w:t>
            </w:r>
            <w:r>
              <w:rPr>
                <w:rFonts w:hint="eastAsia"/>
                <w:color w:val="auto"/>
                <w:lang w:val="zh-CN"/>
              </w:rPr>
              <w:t>分；带“▲”为重要参数，每负偏离一项扣</w:t>
            </w:r>
            <w:r>
              <w:rPr>
                <w:rFonts w:hint="eastAsia"/>
                <w:color w:val="auto"/>
              </w:rPr>
              <w:t>3</w:t>
            </w:r>
            <w:r>
              <w:rPr>
                <w:rFonts w:hint="eastAsia"/>
                <w:color w:val="auto"/>
                <w:lang w:val="zh-CN"/>
              </w:rPr>
              <w:t>分，其他参数每负偏离一项扣</w:t>
            </w:r>
            <w:r>
              <w:rPr>
                <w:rFonts w:hint="eastAsia"/>
                <w:color w:val="auto"/>
              </w:rPr>
              <w:t>1</w:t>
            </w:r>
            <w:r>
              <w:rPr>
                <w:rFonts w:hint="eastAsia"/>
                <w:color w:val="auto"/>
                <w:lang w:val="zh-CN"/>
              </w:rPr>
              <w:t>分，未响应参数视为负偏离一项扣</w:t>
            </w:r>
            <w:r>
              <w:rPr>
                <w:rFonts w:hint="eastAsia"/>
                <w:color w:val="auto"/>
              </w:rPr>
              <w:t>1</w:t>
            </w:r>
            <w:r>
              <w:rPr>
                <w:rFonts w:hint="eastAsia"/>
                <w:color w:val="auto"/>
                <w:lang w:val="zh-CN"/>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rFonts w:ascii="宋体" w:hAnsi="宋体" w:cs="宋体"/>
                <w:color w:val="auto"/>
                <w:kern w:val="0"/>
                <w:szCs w:val="21"/>
              </w:rPr>
            </w:pPr>
            <w:r>
              <w:rPr>
                <w:rFonts w:hint="eastAsia"/>
                <w:color w:val="auto"/>
              </w:rPr>
              <w:t>同类项目业绩</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6</w:t>
            </w:r>
          </w:p>
        </w:tc>
        <w:tc>
          <w:tcPr>
            <w:tcW w:w="6303" w:type="dxa"/>
            <w:vAlign w:val="center"/>
          </w:tcPr>
          <w:p>
            <w:pPr>
              <w:pStyle w:val="34"/>
              <w:ind w:firstLine="0" w:firstLineChars="0"/>
              <w:rPr>
                <w:color w:val="auto"/>
              </w:rPr>
            </w:pPr>
            <w:r>
              <w:rPr>
                <w:rFonts w:hint="eastAsia"/>
                <w:color w:val="auto"/>
              </w:rPr>
              <w:t>2020年1月1日至本项目开标之日（以合同签订日期为准），投标人具有同类项目业绩的，每提供1个项目得2分，最高得6分。</w:t>
            </w:r>
          </w:p>
          <w:p>
            <w:pPr>
              <w:pStyle w:val="34"/>
              <w:ind w:firstLine="0" w:firstLineChars="0"/>
              <w:rPr>
                <w:color w:val="auto"/>
              </w:rPr>
            </w:pPr>
            <w:r>
              <w:rPr>
                <w:rFonts w:hint="eastAsia"/>
                <w:color w:val="auto"/>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vAlign w:val="center"/>
          </w:tcPr>
          <w:p>
            <w:pPr>
              <w:jc w:val="center"/>
              <w:rPr>
                <w:color w:val="auto"/>
              </w:rPr>
            </w:pPr>
            <w:r>
              <w:rPr>
                <w:rFonts w:hint="eastAsia"/>
                <w:color w:val="auto"/>
              </w:rPr>
              <w:t>售后服务方案</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8</w:t>
            </w:r>
          </w:p>
        </w:tc>
        <w:tc>
          <w:tcPr>
            <w:tcW w:w="6303" w:type="dxa"/>
            <w:vAlign w:val="center"/>
          </w:tcPr>
          <w:p>
            <w:pPr>
              <w:pStyle w:val="34"/>
              <w:ind w:firstLine="0" w:firstLineChars="0"/>
              <w:rPr>
                <w:color w:val="auto"/>
              </w:rPr>
            </w:pPr>
            <w:r>
              <w:rPr>
                <w:rFonts w:hint="eastAsia"/>
                <w:color w:val="auto"/>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rPr>
            </w:pPr>
            <w:r>
              <w:rPr>
                <w:rFonts w:hint="eastAsia"/>
                <w:color w:val="auto"/>
              </w:rPr>
              <w:t>（1）售后服务机构及维护人员配置合理；</w:t>
            </w:r>
          </w:p>
          <w:p>
            <w:pPr>
              <w:pStyle w:val="34"/>
              <w:ind w:firstLine="0" w:firstLineChars="0"/>
              <w:rPr>
                <w:color w:val="auto"/>
              </w:rPr>
            </w:pPr>
            <w:r>
              <w:rPr>
                <w:rFonts w:hint="eastAsia"/>
                <w:color w:val="auto"/>
              </w:rPr>
              <w:t>（2）故障响应时间满足项目需求；</w:t>
            </w:r>
          </w:p>
          <w:p>
            <w:pPr>
              <w:pStyle w:val="34"/>
              <w:ind w:firstLine="0" w:firstLineChars="0"/>
              <w:rPr>
                <w:color w:val="auto"/>
              </w:rPr>
            </w:pPr>
            <w:r>
              <w:rPr>
                <w:rFonts w:hint="eastAsia"/>
                <w:color w:val="auto"/>
              </w:rPr>
              <w:t>（3）技术培训及备品备件支持计划内容具体，可行性高。</w:t>
            </w:r>
          </w:p>
          <w:p>
            <w:pPr>
              <w:pStyle w:val="34"/>
              <w:ind w:firstLine="0" w:firstLineChars="0"/>
              <w:rPr>
                <w:color w:val="auto"/>
              </w:rPr>
            </w:pPr>
            <w:r>
              <w:rPr>
                <w:rFonts w:hint="eastAsia"/>
                <w:color w:val="auto"/>
              </w:rPr>
              <w:t>评分标准：</w:t>
            </w:r>
            <w:r>
              <w:rPr>
                <w:rFonts w:hint="eastAsia"/>
                <w:color w:val="auto"/>
                <w:lang w:val="zh-CN"/>
              </w:rPr>
              <w:t>满足以上三项要求得</w:t>
            </w:r>
            <w:r>
              <w:rPr>
                <w:rFonts w:hint="eastAsia"/>
                <w:color w:val="auto"/>
              </w:rPr>
              <w:t>8</w:t>
            </w:r>
            <w:r>
              <w:rPr>
                <w:rFonts w:hint="eastAsia"/>
                <w:color w:val="auto"/>
                <w:lang w:val="zh-CN"/>
              </w:rPr>
              <w:t>分，满足以上两项要求</w:t>
            </w:r>
            <w:r>
              <w:rPr>
                <w:rFonts w:hint="eastAsia"/>
                <w:color w:val="auto"/>
              </w:rPr>
              <w:t>5</w:t>
            </w:r>
            <w:r>
              <w:rPr>
                <w:rFonts w:hint="eastAsia"/>
                <w:color w:val="auto"/>
                <w:lang w:val="zh-CN"/>
              </w:rPr>
              <w:t>分，满足以上一项要求得</w:t>
            </w:r>
            <w:r>
              <w:rPr>
                <w:rFonts w:hint="eastAsia"/>
                <w:color w:val="auto"/>
              </w:rPr>
              <w:t>2</w:t>
            </w:r>
            <w:r>
              <w:rPr>
                <w:rFonts w:hint="eastAsia"/>
                <w:color w:val="auto"/>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rPr>
            </w:pPr>
          </w:p>
        </w:tc>
        <w:tc>
          <w:tcPr>
            <w:tcW w:w="1080" w:type="dxa"/>
            <w:vMerge w:val="continue"/>
            <w:vAlign w:val="center"/>
          </w:tcPr>
          <w:p>
            <w:pPr>
              <w:widowControl/>
              <w:jc w:val="center"/>
              <w:rPr>
                <w:rFonts w:ascii="宋体" w:hAnsi="宋体" w:cs="Arial"/>
                <w:color w:val="auto"/>
                <w:kern w:val="0"/>
                <w:szCs w:val="21"/>
              </w:rPr>
            </w:pPr>
          </w:p>
        </w:tc>
        <w:tc>
          <w:tcPr>
            <w:tcW w:w="1245" w:type="dxa"/>
            <w:tcBorders>
              <w:top w:val="single" w:color="auto" w:sz="4" w:space="0"/>
            </w:tcBorders>
          </w:tcPr>
          <w:p>
            <w:pPr>
              <w:jc w:val="center"/>
              <w:rPr>
                <w:color w:val="auto"/>
              </w:rPr>
            </w:pPr>
          </w:p>
          <w:p>
            <w:pPr>
              <w:jc w:val="center"/>
              <w:rPr>
                <w:color w:val="auto"/>
              </w:rPr>
            </w:pPr>
            <w:r>
              <w:rPr>
                <w:rFonts w:hint="eastAsia"/>
                <w:color w:val="auto"/>
              </w:rPr>
              <w:t>诚信管理情况</w:t>
            </w:r>
          </w:p>
        </w:tc>
        <w:tc>
          <w:tcPr>
            <w:tcW w:w="465" w:type="dxa"/>
            <w:vAlign w:val="center"/>
          </w:tcPr>
          <w:p>
            <w:pPr>
              <w:widowControl/>
              <w:jc w:val="center"/>
              <w:rPr>
                <w:rFonts w:ascii="宋体" w:hAnsi="宋体" w:cs="Arial"/>
                <w:color w:val="auto"/>
                <w:kern w:val="0"/>
                <w:szCs w:val="21"/>
              </w:rPr>
            </w:pPr>
            <w:r>
              <w:rPr>
                <w:rFonts w:hint="eastAsia" w:ascii="宋体" w:hAnsi="宋体" w:cs="Arial"/>
                <w:color w:val="auto"/>
                <w:kern w:val="0"/>
                <w:szCs w:val="21"/>
              </w:rPr>
              <w:t>5</w:t>
            </w:r>
          </w:p>
        </w:tc>
        <w:tc>
          <w:tcPr>
            <w:tcW w:w="6303" w:type="dxa"/>
          </w:tcPr>
          <w:p>
            <w:pPr>
              <w:pStyle w:val="34"/>
              <w:ind w:firstLine="0" w:firstLineChars="0"/>
              <w:rPr>
                <w:color w:val="auto"/>
              </w:rPr>
            </w:pPr>
            <w:r>
              <w:rPr>
                <w:rFonts w:hint="eastAsia"/>
                <w:color w:val="auto"/>
              </w:rPr>
              <w:t>投标人参与政府采购活动在诚信管理中受过主管部门通报处理且仍在实施期限内的本项不得分，否则得5分。</w:t>
            </w:r>
          </w:p>
          <w:p>
            <w:pPr>
              <w:pStyle w:val="34"/>
              <w:ind w:firstLine="0" w:firstLineChars="0"/>
              <w:rPr>
                <w:color w:val="auto"/>
              </w:rPr>
            </w:pPr>
            <w:r>
              <w:rPr>
                <w:rFonts w:hint="eastAsia"/>
                <w:color w:val="auto"/>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三</w:t>
            </w:r>
          </w:p>
        </w:tc>
        <w:tc>
          <w:tcPr>
            <w:tcW w:w="1080" w:type="dxa"/>
            <w:vAlign w:val="center"/>
          </w:tcPr>
          <w:p>
            <w:pPr>
              <w:widowControl/>
              <w:jc w:val="left"/>
              <w:rPr>
                <w:rFonts w:ascii="宋体" w:hAnsi="宋体" w:cs="Arial"/>
                <w:color w:val="auto"/>
                <w:kern w:val="0"/>
                <w:szCs w:val="21"/>
              </w:rPr>
            </w:pPr>
            <w:r>
              <w:rPr>
                <w:rFonts w:hint="eastAsia" w:ascii="宋体" w:hAnsi="宋体" w:cs="Arial"/>
                <w:color w:val="auto"/>
                <w:kern w:val="0"/>
                <w:szCs w:val="21"/>
              </w:rPr>
              <w:t>价格部分（30分）</w:t>
            </w:r>
          </w:p>
        </w:tc>
        <w:tc>
          <w:tcPr>
            <w:tcW w:w="8013" w:type="dxa"/>
            <w:gridSpan w:val="3"/>
            <w:vAlign w:val="center"/>
          </w:tcPr>
          <w:p>
            <w:pPr>
              <w:widowControl/>
              <w:jc w:val="left"/>
              <w:rPr>
                <w:rFonts w:ascii="宋体" w:hAnsi="宋体" w:cs="宋体"/>
                <w:bCs/>
                <w:color w:val="auto"/>
                <w:kern w:val="0"/>
                <w:szCs w:val="21"/>
              </w:rPr>
            </w:pPr>
            <w:r>
              <w:rPr>
                <w:rFonts w:hint="eastAsia" w:ascii="宋体" w:hAnsi="宋体" w:cs="宋体"/>
                <w:bCs/>
                <w:color w:val="auto"/>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rPr>
            </w:pPr>
            <w:r>
              <w:rPr>
                <w:rFonts w:hint="eastAsia"/>
                <w:color w:val="auto"/>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cs="宋体"/>
          <w:bCs/>
          <w:color w:val="auto"/>
          <w:kern w:val="0"/>
          <w:szCs w:val="21"/>
        </w:rPr>
        <w:t>超出项目最高限价和单价限价将导致无效投标</w:t>
      </w:r>
      <w:r>
        <w:rPr>
          <w:rFonts w:hint="eastAsia" w:ascii="宋体" w:hAnsi="宋体"/>
          <w:b/>
          <w:bCs/>
          <w:color w:val="auto"/>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ascii="宋体" w:hAnsi="宋体" w:cs="宋体"/>
                <w:bCs/>
                <w:color w:val="auto"/>
                <w:kern w:val="0"/>
                <w:szCs w:val="21"/>
              </w:rPr>
            </w:pPr>
            <w:r>
              <w:rPr>
                <w:rFonts w:hint="eastAsia" w:ascii="宋体" w:hAnsi="宋体" w:cs="宋体"/>
                <w:bCs/>
                <w:color w:val="auto"/>
                <w:kern w:val="0"/>
                <w:szCs w:val="21"/>
              </w:rPr>
              <w:t>1</w:t>
            </w:r>
          </w:p>
        </w:tc>
        <w:tc>
          <w:tcPr>
            <w:tcW w:w="2715"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宫腔电切镜</w:t>
            </w:r>
          </w:p>
        </w:tc>
        <w:tc>
          <w:tcPr>
            <w:tcW w:w="100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2套</w:t>
            </w:r>
          </w:p>
        </w:tc>
        <w:tc>
          <w:tcPr>
            <w:tcW w:w="2206"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3</w:t>
            </w:r>
            <w:r>
              <w:rPr>
                <w:rFonts w:hint="eastAsia" w:ascii="宋体" w:hAnsi="宋体" w:eastAsia="宋体" w:cs="宋体"/>
                <w:bCs/>
                <w:color w:val="auto"/>
                <w:kern w:val="0"/>
                <w:szCs w:val="21"/>
                <w:lang w:val="en-US" w:eastAsia="zh-CN"/>
              </w:rPr>
              <w:t>8</w:t>
            </w:r>
            <w:r>
              <w:rPr>
                <w:rFonts w:hint="eastAsia" w:ascii="宋体" w:hAnsi="宋体" w:eastAsia="宋体" w:cs="宋体"/>
                <w:bCs/>
                <w:color w:val="auto"/>
                <w:kern w:val="0"/>
                <w:szCs w:val="21"/>
              </w:rPr>
              <w:t>0000</w:t>
            </w:r>
          </w:p>
        </w:tc>
        <w:tc>
          <w:tcPr>
            <w:tcW w:w="2342"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接受进口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rPr>
        <w:t>二、用途</w:t>
      </w:r>
    </w:p>
    <w:p>
      <w:pPr>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用于宫腔疾病的诊治，如子宫息肉、子宫粘膜下肌瘤、子宫内膜增厚以及子宫纵膈等</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ascii="宋体" w:hAnsi="宋体"/>
          <w:b/>
          <w:bCs/>
          <w:color w:val="auto"/>
          <w:szCs w:val="21"/>
        </w:rPr>
      </w:pPr>
      <w:r>
        <w:rPr>
          <w:rFonts w:hint="eastAsia" w:ascii="宋体" w:hAnsi="宋体"/>
          <w:b/>
          <w:bCs/>
          <w:color w:val="auto"/>
          <w:szCs w:val="21"/>
        </w:rPr>
        <w:t>功能要求：</w:t>
      </w:r>
    </w:p>
    <w:p>
      <w:pPr>
        <w:widowControl/>
        <w:wordWrap w:val="0"/>
        <w:snapToGrid w:val="0"/>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用于宫腔疾病的诊治，如子宫息肉、子宫粘膜下肌瘤、子宫内膜增厚以及子宫纵膈等</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rPr>
                <w:rFonts w:ascii="宋体" w:hAnsi="宋体" w:cs="宋体"/>
                <w:b/>
                <w:color w:val="auto"/>
                <w:kern w:val="0"/>
                <w:szCs w:val="21"/>
              </w:rPr>
            </w:pPr>
            <w:r>
              <w:rPr>
                <w:rFonts w:hint="eastAsia" w:ascii="宋体" w:hAnsi="宋体"/>
                <w:b/>
                <w:bCs/>
                <w:color w:val="auto"/>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序号</w:t>
                  </w:r>
                </w:p>
              </w:tc>
              <w:tc>
                <w:tcPr>
                  <w:tcW w:w="4265"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配置名称</w:t>
                  </w:r>
                </w:p>
              </w:tc>
              <w:tc>
                <w:tcPr>
                  <w:tcW w:w="8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数量</w:t>
                  </w:r>
                </w:p>
              </w:tc>
              <w:tc>
                <w:tcPr>
                  <w:tcW w:w="1300" w:type="dxa"/>
                  <w:vAlign w:val="center"/>
                </w:tcPr>
                <w:p>
                  <w:pPr>
                    <w:spacing w:line="288" w:lineRule="auto"/>
                    <w:jc w:val="center"/>
                    <w:rPr>
                      <w:rFonts w:ascii="宋体" w:hAnsi="宋体"/>
                      <w:color w:val="auto"/>
                      <w:kern w:val="0"/>
                      <w:szCs w:val="21"/>
                    </w:rPr>
                  </w:pPr>
                  <w:r>
                    <w:rPr>
                      <w:rFonts w:hint="eastAsia" w:ascii="宋体" w:hAnsi="宋体"/>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w:t>
                  </w:r>
                </w:p>
              </w:tc>
              <w:tc>
                <w:tcPr>
                  <w:tcW w:w="4265"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光学内窥镜</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4265"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导光束</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3</w:t>
                  </w:r>
                </w:p>
              </w:tc>
              <w:tc>
                <w:tcPr>
                  <w:tcW w:w="4265"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工作把手</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4</w:t>
                  </w:r>
                </w:p>
              </w:tc>
              <w:tc>
                <w:tcPr>
                  <w:tcW w:w="4265"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内管鞘</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5</w:t>
                  </w:r>
                </w:p>
              </w:tc>
              <w:tc>
                <w:tcPr>
                  <w:tcW w:w="4265"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外管鞘</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6</w:t>
                  </w:r>
                </w:p>
              </w:tc>
              <w:tc>
                <w:tcPr>
                  <w:tcW w:w="4265" w:type="dxa"/>
                  <w:vAlign w:val="top"/>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lang w:val="en-US" w:eastAsia="zh-CN"/>
                    </w:rPr>
                    <w:t>膨宫管</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7</w:t>
                  </w:r>
                </w:p>
              </w:tc>
              <w:tc>
                <w:tcPr>
                  <w:tcW w:w="4265" w:type="dxa"/>
                  <w:vAlign w:val="top"/>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lang w:val="en-US" w:eastAsia="zh-CN"/>
                    </w:rPr>
                    <w:t>生理盐水电缆线</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4</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8</w:t>
                  </w:r>
                </w:p>
              </w:tc>
              <w:tc>
                <w:tcPr>
                  <w:tcW w:w="4265" w:type="dxa"/>
                  <w:vAlign w:val="top"/>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lang w:val="en-US" w:eastAsia="zh-CN"/>
                    </w:rPr>
                    <w:t>消毒盒</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9</w:t>
                  </w:r>
                </w:p>
              </w:tc>
              <w:tc>
                <w:tcPr>
                  <w:tcW w:w="4265" w:type="dxa"/>
                  <w:vAlign w:val="top"/>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lang w:val="en-US" w:eastAsia="zh-CN"/>
                    </w:rPr>
                    <w:t>环形电极</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highlight w:val="yellow"/>
                      <w:lang w:val="en-US" w:eastAsia="zh-CN"/>
                    </w:rPr>
                    <w:t>2</w:t>
                  </w:r>
                  <w:r>
                    <w:rPr>
                      <w:rFonts w:hint="eastAsia" w:ascii="宋体" w:hAnsi="宋体" w:cs="Times New Roman"/>
                      <w:color w:val="auto"/>
                      <w:kern w:val="0"/>
                      <w:szCs w:val="21"/>
                      <w:highlight w:val="yellow"/>
                      <w:lang w:val="en-US" w:eastAsia="zh-CN"/>
                    </w:rPr>
                    <w:t>2</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10</w:t>
                  </w:r>
                </w:p>
              </w:tc>
              <w:tc>
                <w:tcPr>
                  <w:tcW w:w="4265" w:type="dxa"/>
                  <w:vAlign w:val="top"/>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lang w:val="en-US" w:eastAsia="zh-CN"/>
                    </w:rPr>
                    <w:t>针形电极</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10</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11</w:t>
                  </w:r>
                </w:p>
              </w:tc>
              <w:tc>
                <w:tcPr>
                  <w:tcW w:w="4265" w:type="dxa"/>
                  <w:vAlign w:val="top"/>
                </w:tcPr>
                <w:p>
                  <w:pPr>
                    <w:spacing w:line="288" w:lineRule="auto"/>
                    <w:jc w:val="center"/>
                    <w:rPr>
                      <w:rFonts w:hint="eastAsia" w:ascii="宋体" w:hAnsi="宋体" w:eastAsia="宋体" w:cs="Times New Roman"/>
                      <w:color w:val="auto"/>
                      <w:kern w:val="0"/>
                      <w:szCs w:val="21"/>
                      <w:lang w:val="en-GB" w:eastAsia="zh-CN"/>
                    </w:rPr>
                  </w:pPr>
                  <w:r>
                    <w:rPr>
                      <w:rFonts w:hint="eastAsia" w:ascii="宋体" w:hAnsi="宋体" w:eastAsia="宋体" w:cs="Times New Roman"/>
                      <w:color w:val="auto"/>
                      <w:kern w:val="0"/>
                      <w:szCs w:val="21"/>
                      <w:lang w:val="en-US" w:eastAsia="zh-CN"/>
                    </w:rPr>
                    <w:t>球形电极</w:t>
                  </w:r>
                </w:p>
              </w:tc>
              <w:tc>
                <w:tcPr>
                  <w:tcW w:w="8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3</w:t>
                  </w:r>
                </w:p>
              </w:tc>
              <w:tc>
                <w:tcPr>
                  <w:tcW w:w="1300"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个</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15" w:type="dxa"/>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snapToGrid w:val="0"/>
              <w:spacing w:line="276" w:lineRule="auto"/>
              <w:jc w:val="center"/>
              <w:rPr>
                <w:rFonts w:hint="eastAsia" w:ascii="宋体" w:hAnsi="宋体"/>
                <w:b/>
                <w:color w:val="auto"/>
                <w:kern w:val="0"/>
                <w:szCs w:val="21"/>
              </w:rPr>
            </w:pPr>
            <w:r>
              <w:rPr>
                <w:rFonts w:hint="eastAsia" w:ascii="宋体" w:hAnsi="宋体" w:eastAsia="宋体" w:cs="Times New Roman"/>
                <w:b/>
                <w:bCs/>
                <w:color w:val="auto"/>
                <w:szCs w:val="21"/>
                <w:lang w:val="en-US" w:eastAsia="zh-CN"/>
              </w:rPr>
              <w:t>配置</w:t>
            </w:r>
            <w:r>
              <w:rPr>
                <w:rFonts w:hint="eastAsia" w:ascii="宋体" w:hAnsi="宋体" w:cs="Times New Roman"/>
                <w:b/>
                <w:bCs/>
                <w:color w:val="auto"/>
                <w:szCs w:val="21"/>
                <w:lang w:val="en-US" w:eastAsia="zh-CN"/>
              </w:rPr>
              <w:t>耗材</w:t>
            </w:r>
          </w:p>
        </w:tc>
        <w:tc>
          <w:tcPr>
            <w:tcW w:w="8942" w:type="dxa"/>
            <w:vAlign w:val="center"/>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序号</w:t>
                  </w:r>
                </w:p>
              </w:tc>
              <w:tc>
                <w:tcPr>
                  <w:tcW w:w="1667"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耗材名称</w:t>
                  </w:r>
                </w:p>
              </w:tc>
              <w:tc>
                <w:tcPr>
                  <w:tcW w:w="81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单位</w:t>
                  </w:r>
                </w:p>
              </w:tc>
              <w:tc>
                <w:tcPr>
                  <w:tcW w:w="172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年使用量（预估）</w:t>
                  </w:r>
                </w:p>
              </w:tc>
              <w:tc>
                <w:tcPr>
                  <w:tcW w:w="1863"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w:t>
                  </w:r>
                </w:p>
              </w:tc>
              <w:tc>
                <w:tcPr>
                  <w:tcW w:w="1667"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环形电极</w:t>
                  </w:r>
                </w:p>
              </w:tc>
              <w:tc>
                <w:tcPr>
                  <w:tcW w:w="81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w:t>
                  </w:r>
                </w:p>
              </w:tc>
              <w:tc>
                <w:tcPr>
                  <w:tcW w:w="1728" w:type="dxa"/>
                  <w:vAlign w:val="center"/>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30</w:t>
                  </w:r>
                </w:p>
              </w:tc>
              <w:tc>
                <w:tcPr>
                  <w:tcW w:w="1863" w:type="dxa"/>
                  <w:vAlign w:val="top"/>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w:t>
                  </w:r>
                </w:p>
              </w:tc>
              <w:tc>
                <w:tcPr>
                  <w:tcW w:w="1667"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针形电极</w:t>
                  </w:r>
                </w:p>
              </w:tc>
              <w:tc>
                <w:tcPr>
                  <w:tcW w:w="81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w:t>
                  </w:r>
                </w:p>
              </w:tc>
              <w:tc>
                <w:tcPr>
                  <w:tcW w:w="172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10</w:t>
                  </w:r>
                </w:p>
              </w:tc>
              <w:tc>
                <w:tcPr>
                  <w:tcW w:w="1863" w:type="dxa"/>
                  <w:vAlign w:val="top"/>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top"/>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3</w:t>
                  </w:r>
                </w:p>
              </w:tc>
              <w:tc>
                <w:tcPr>
                  <w:tcW w:w="1667" w:type="dxa"/>
                  <w:vAlign w:val="top"/>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球形电极</w:t>
                  </w:r>
                </w:p>
              </w:tc>
              <w:tc>
                <w:tcPr>
                  <w:tcW w:w="81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w:t>
                  </w:r>
                </w:p>
              </w:tc>
              <w:tc>
                <w:tcPr>
                  <w:tcW w:w="1728" w:type="dxa"/>
                  <w:vAlign w:val="center"/>
                </w:tcPr>
                <w:p>
                  <w:pPr>
                    <w:spacing w:line="288" w:lineRule="auto"/>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5</w:t>
                  </w:r>
                </w:p>
              </w:tc>
              <w:tc>
                <w:tcPr>
                  <w:tcW w:w="1863" w:type="dxa"/>
                  <w:vAlign w:val="top"/>
                </w:tcPr>
                <w:p>
                  <w:pPr>
                    <w:spacing w:line="288"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2200</w:t>
                  </w:r>
                </w:p>
              </w:tc>
            </w:tr>
          </w:tbl>
          <w:p>
            <w:pPr>
              <w:spacing w:line="288" w:lineRule="auto"/>
              <w:jc w:val="left"/>
              <w:rPr>
                <w:rFonts w:hint="eastAsia" w:ascii="宋体" w:hAnsi="宋体"/>
                <w:color w:val="auto"/>
                <w:szCs w:val="21"/>
                <w:highlight w:val="none"/>
              </w:rPr>
            </w:pPr>
            <w:r>
              <w:rPr>
                <w:rFonts w:hint="eastAsia" w:ascii="宋体" w:hAnsi="宋体" w:eastAsia="宋体" w:cs="Times New Roman"/>
                <w:color w:val="auto"/>
                <w:kern w:val="0"/>
                <w:szCs w:val="21"/>
                <w:lang w:val="en-US" w:eastAsia="zh-CN"/>
              </w:rPr>
              <w:t>备注：</w:t>
            </w:r>
          </w:p>
          <w:p>
            <w:pPr>
              <w:numPr>
                <w:ilvl w:val="0"/>
                <w:numId w:val="0"/>
              </w:numPr>
              <w:spacing w:line="24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bCs/>
                <w:color w:val="auto"/>
                <w:kern w:val="0"/>
                <w:szCs w:val="21"/>
              </w:rPr>
            </w:pPr>
            <w:r>
              <w:rPr>
                <w:rFonts w:hint="eastAsia" w:ascii="宋体" w:hAnsi="宋体"/>
                <w:color w:val="auto"/>
                <w:szCs w:val="21"/>
                <w:highlight w:val="none"/>
                <w:lang w:val="en-US" w:eastAsia="zh-CN"/>
              </w:rPr>
              <w:t>2、若耗材已上阳光采购平台，</w:t>
            </w:r>
            <w:r>
              <w:rPr>
                <w:rFonts w:hint="eastAsia" w:ascii="宋体" w:hAnsi="宋体"/>
                <w:color w:val="auto"/>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p>
          <w:p>
            <w:pPr>
              <w:widowControl/>
              <w:jc w:val="center"/>
              <w:textAlignment w:val="center"/>
              <w:rPr>
                <w:rFonts w:ascii="宋体" w:hAnsi="宋体"/>
                <w:b/>
                <w:bCs/>
                <w:color w:val="auto"/>
                <w:szCs w:val="21"/>
              </w:rPr>
            </w:pP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rPr>
              <w:t>（1）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rPr>
              <w:t>（2）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pStyle w:val="34"/>
              <w:numPr>
                <w:ilvl w:val="255"/>
                <w:numId w:val="0"/>
              </w:numPr>
              <w:spacing w:line="240" w:lineRule="auto"/>
              <w:ind w:firstLine="0" w:firstLineChars="0"/>
              <w:rPr>
                <w:rFonts w:hint="eastAsia" w:ascii="宋体" w:hAnsi="宋体" w:eastAsia="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1、可配套奥林巴斯高频电外科工作站使用。</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质量≤300g；工作长度≥190mm；</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光学视管直径≤4mm，视野角度≥12度超广角；</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、外管鞘≤8.5mm，可持续灌流，保持视野清晰；</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、可360度旋转；可高温高压消毒；可配备被动式工作把手或主动式工作把手，可配环形电极、针形电极、滚球形电极多种电极及冲洗器；兼容性广，可同时兼容双极等离子电切和单极电切；</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、内管鞘耐高温陶瓷先端部，终身保用，具有ABS防堵塞系统；所有管鞘均经过非磨砂处理 ；</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、所有管鞘均经过非磨砂处理，不锈钢材质，激光高精度加工；</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、内外管鞘之间锁定紧密，防止漏水，可360度旋转；</w:t>
            </w:r>
          </w:p>
          <w:p>
            <w:pPr>
              <w:pStyle w:val="34"/>
              <w:numPr>
                <w:ilvl w:val="255"/>
                <w:numId w:val="0"/>
              </w:numPr>
              <w:spacing w:line="240" w:lineRule="auto"/>
              <w:ind w:firstLine="0" w:firstLineChars="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 xml:space="preserve">、具有≥7针接口的生理盐水电缆线； </w:t>
            </w:r>
          </w:p>
          <w:p>
            <w:pPr>
              <w:spacing w:line="240" w:lineRule="auto"/>
              <w:jc w:val="left"/>
              <w:rPr>
                <w:rFonts w:ascii="宋体" w:hAnsi="宋体" w:cs="宋体"/>
                <w:bCs/>
                <w:color w:val="auto"/>
                <w:kern w:val="0"/>
                <w:szCs w:val="21"/>
              </w:rPr>
            </w:pP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、双极回路设计在手柄上，电流不经过人体</w:t>
            </w:r>
            <w:r>
              <w:rPr>
                <w:rFonts w:hint="eastAsia" w:ascii="宋体" w:hAnsi="宋体" w:cs="宋体"/>
                <w:color w:val="auto"/>
                <w:szCs w:val="21"/>
                <w:lang w:val="en-US" w:eastAsia="zh-CN"/>
              </w:rPr>
              <w:t>。</w:t>
            </w:r>
          </w:p>
        </w:tc>
      </w:tr>
    </w:tbl>
    <w:p>
      <w:pPr>
        <w:widowControl/>
        <w:snapToGrid w:val="0"/>
        <w:jc w:val="left"/>
        <w:rPr>
          <w:rFonts w:ascii="宋体" w:hAnsi="宋体"/>
          <w:b/>
          <w:bCs/>
          <w:color w:val="auto"/>
          <w:szCs w:val="21"/>
        </w:rPr>
      </w:pPr>
    </w:p>
    <w:p>
      <w:pPr>
        <w:widowControl/>
        <w:snapToGrid w:val="0"/>
        <w:jc w:val="left"/>
        <w:rPr>
          <w:rFonts w:ascii="宋体" w:hAnsi="宋体"/>
          <w:b/>
          <w:bCs/>
          <w:color w:val="auto"/>
          <w:sz w:val="18"/>
          <w:szCs w:val="18"/>
        </w:rPr>
      </w:pPr>
      <w:r>
        <w:rPr>
          <w:rFonts w:hint="eastAsia" w:ascii="宋体" w:hAnsi="宋体"/>
          <w:b/>
          <w:bCs/>
          <w:color w:val="auto"/>
          <w:szCs w:val="21"/>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362"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售后服务</w:t>
            </w:r>
          </w:p>
          <w:p>
            <w:pPr>
              <w:adjustRightInd w:val="0"/>
              <w:snapToGrid w:val="0"/>
              <w:jc w:val="center"/>
              <w:rPr>
                <w:rFonts w:ascii="宋体" w:hAnsi="宋体"/>
                <w:b/>
                <w:bCs/>
                <w:color w:val="auto"/>
                <w:kern w:val="0"/>
                <w:szCs w:val="21"/>
              </w:rPr>
            </w:pPr>
            <w:r>
              <w:rPr>
                <w:rFonts w:hint="eastAsia" w:ascii="宋体" w:hAnsi="宋体"/>
                <w:b/>
                <w:bCs/>
                <w:color w:val="auto"/>
                <w:kern w:val="0"/>
                <w:szCs w:val="21"/>
              </w:rPr>
              <w:t>要求</w:t>
            </w:r>
          </w:p>
        </w:tc>
        <w:tc>
          <w:tcPr>
            <w:tcW w:w="8790" w:type="dxa"/>
            <w:vAlign w:val="center"/>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1、设备安装调试验收合格后原厂质保3年。投标方中标后需提供与设备生产厂家签订的该设备3年质保协议原件。在质保期内，设备零配件及其维修的有关费用全免，终身负责维修；软件终身升级（不得额外收费）。</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等全部费用由中标方承担。</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5、质保期结束前3个月内，中标方联合厂家工程师或授权维修企业工程师对所供应设备进行一次全面巡检保养，并提供质保期内所有巡检维护保养报告。</w:t>
            </w:r>
          </w:p>
          <w:p>
            <w:pPr>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rPr>
              <w:t>6、质保期外，中标方负责维修及提供原装配件，需在2小时内响应，12小时内到达现场维修，按需及时</w:t>
            </w:r>
            <w:r>
              <w:rPr>
                <w:rFonts w:hint="eastAsia" w:ascii="宋体" w:hAnsi="宋体" w:eastAsia="宋体" w:cs="Times New Roman"/>
                <w:color w:val="auto"/>
                <w:szCs w:val="21"/>
                <w:highlight w:val="none"/>
              </w:rPr>
              <w:t>更换零配件，特殊情况下可提供备用机，采购方只负责更换零配件费。</w:t>
            </w:r>
          </w:p>
          <w:p>
            <w:pPr>
              <w:jc w:val="left"/>
              <w:rPr>
                <w:rFonts w:hint="eastAsia" w:ascii="宋体" w:hAnsi="宋体" w:eastAsia="宋体" w:cs="Times New Roman"/>
                <w:color w:val="auto"/>
                <w:szCs w:val="21"/>
              </w:rPr>
            </w:pPr>
            <w:r>
              <w:rPr>
                <w:rFonts w:hint="eastAsia" w:ascii="宋体" w:hAnsi="宋体" w:eastAsia="宋体" w:cs="Times New Roman"/>
                <w:color w:val="auto"/>
                <w:szCs w:val="21"/>
                <w:highlight w:val="none"/>
              </w:rPr>
              <w:t>7、投标方所投产品在广东范围要有专门的设备维</w:t>
            </w:r>
            <w:r>
              <w:rPr>
                <w:rFonts w:hint="eastAsia" w:ascii="宋体" w:hAnsi="宋体" w:eastAsia="宋体" w:cs="Times New Roman"/>
                <w:color w:val="auto"/>
                <w:szCs w:val="21"/>
              </w:rPr>
              <w:t>修站（提供工程师电话和技术维修力量情况和维修的详细地址及联系方式）。</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8、提供详细的售后服务方案，负责安装、调试、提供技术咨询、软件升级及人员培训皆不可进行额外收费，以保证采购方工作人员掌握设备各种使用操作。</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9、保证设备维修（终身）和配件的供应（至少10年以上），确保软件终身使用（不额外收费）。如果因机器和配件停产造成设备无法维修者（维修周期同故障处理条款内容），必须无条件更换整机保证完好使用。</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10、场地迁移，需要移机</w:t>
            </w:r>
            <w:bookmarkStart w:id="13" w:name="_GoBack"/>
            <w:bookmarkEnd w:id="13"/>
            <w:r>
              <w:rPr>
                <w:rFonts w:hint="eastAsia" w:ascii="宋体" w:hAnsi="宋体" w:eastAsia="宋体" w:cs="Times New Roman"/>
                <w:color w:val="auto"/>
                <w:szCs w:val="21"/>
              </w:rPr>
              <w:t>时，中标方需负责迁移并提供技术支持且不得额外收取费用，需确保机器的正常使用。</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11、涉及软件应用的设备，中标方应配合医院智慧医院信息化建设。在质保期内，应及时将软件更新、维护并提供更新所需的硬件，开放软件端口，无偿派人配合与医院信息系统（包括但不限于HIS、PACS、LIS等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adjustRightInd w:val="0"/>
              <w:snapToGrid w:val="0"/>
              <w:jc w:val="center"/>
              <w:rPr>
                <w:rFonts w:ascii="宋体" w:hAnsi="宋体"/>
                <w:b/>
                <w:bCs/>
                <w:color w:val="auto"/>
                <w:kern w:val="0"/>
                <w:szCs w:val="21"/>
              </w:rPr>
            </w:pPr>
            <w:r>
              <w:rPr>
                <w:rFonts w:hint="eastAsia" w:ascii="宋体" w:hAnsi="宋体"/>
                <w:b/>
                <w:bCs/>
                <w:color w:val="auto"/>
                <w:kern w:val="0"/>
                <w:szCs w:val="21"/>
              </w:rPr>
              <w:t>★验收方式</w:t>
            </w:r>
          </w:p>
        </w:tc>
        <w:tc>
          <w:tcPr>
            <w:tcW w:w="8790" w:type="dxa"/>
            <w:vAlign w:val="center"/>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1、设备安装调试正常使用后由使用科室、设备科、中标方代表在场进行验收，质保期从验收合格之日起计。</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2、产品质量和安装调试检验标准遵照国家相关规定和最新标准执行。验收中如发现有质量不合格或型号规格、数量等与送货清单不符等情况，中标方应免费更换或补齐，并承担因此发生的违约责任。中标方货物经过双方检验认可后，签署验收报告。</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3、当满足以下条件时，采购方才向中标方签发货物验收报告：</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a、中标方已按照合同规定提供了全部产品及完整的技术资料。</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b、货物符合招标文件技术规格书的要求，性能满足要求。</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c、货物具备产品合格证。</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d、提供维修手册、售后服务承诺书、中文操作手册。</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★报价要求</w:t>
            </w:r>
          </w:p>
        </w:tc>
        <w:tc>
          <w:tcPr>
            <w:tcW w:w="8790" w:type="dxa"/>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★付款方式</w:t>
            </w:r>
          </w:p>
        </w:tc>
        <w:tc>
          <w:tcPr>
            <w:tcW w:w="8790" w:type="dxa"/>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1、签订合同后15个工作日内，中标方须以支票、汇票、本票、保函等非现金方式向采购方提交履约担保（金额为中标合同价的5%）。</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2、中标方提供全额发票，经验收合格，办理入库后，采购方在收到履约保证金后15个工作日内，向中标方支付合同全款。</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★交货期</w:t>
            </w:r>
          </w:p>
        </w:tc>
        <w:tc>
          <w:tcPr>
            <w:tcW w:w="8790" w:type="dxa"/>
            <w:vAlign w:val="center"/>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1、合同签订生效后60日历日内完成安装、调试及验收，货送至采购方指定地点。</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2、逾期交货采购方有权按照相关规定处罚。中标方必须承担的设备运输、安装调试、验收检测和提供设备操作说明书、图纸等其他类似的义务。</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adjustRightInd w:val="0"/>
              <w:snapToGrid w:val="0"/>
              <w:jc w:val="center"/>
              <w:rPr>
                <w:rFonts w:ascii="宋体" w:hAnsi="宋体"/>
                <w:b/>
                <w:color w:val="auto"/>
                <w:kern w:val="0"/>
                <w:szCs w:val="21"/>
              </w:rPr>
            </w:pPr>
            <w:r>
              <w:rPr>
                <w:rFonts w:hint="eastAsia" w:ascii="宋体" w:hAnsi="宋体"/>
                <w:b/>
                <w:color w:val="auto"/>
                <w:kern w:val="0"/>
                <w:szCs w:val="21"/>
              </w:rPr>
              <w:t>★其他要求</w:t>
            </w:r>
          </w:p>
        </w:tc>
        <w:tc>
          <w:tcPr>
            <w:tcW w:w="8790" w:type="dxa"/>
            <w:vAlign w:val="center"/>
          </w:tcPr>
          <w:p>
            <w:pPr>
              <w:jc w:val="left"/>
              <w:rPr>
                <w:rFonts w:hint="eastAsia" w:ascii="宋体" w:hAnsi="宋体" w:eastAsia="宋体" w:cs="Times New Roman"/>
                <w:color w:val="auto"/>
                <w:szCs w:val="21"/>
              </w:rPr>
            </w:pPr>
            <w:r>
              <w:rPr>
                <w:rFonts w:hint="eastAsia" w:ascii="宋体" w:hAnsi="宋体" w:eastAsia="宋体" w:cs="Times New Roman"/>
                <w:color w:val="auto"/>
                <w:szCs w:val="21"/>
              </w:rPr>
              <w:t>1、本项目中如有涉及水、电、气设备安装及调试、室外高空作业等项目的中标方承诺使用具有国家认可资质的操作人员（资质证书仍在有效期内）实施，否则由此造成的后果由中标方负责。</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2、如所投产品受行业主管部门规定强制认证或检测或许可的（如3C认证或检测报告或工信部进网许可证等），中标方在签订合同前向采购方提供相关认证证书或检测报告。</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3、本项目所要求的硬件、软件，中标方要配备给采购方，并保证采购方能正常使用，不需要另外增加其他附件和其他费用。</w:t>
            </w:r>
          </w:p>
          <w:p>
            <w:pPr>
              <w:jc w:val="left"/>
              <w:rPr>
                <w:rFonts w:hint="eastAsia" w:ascii="宋体" w:hAnsi="宋体" w:eastAsia="宋体" w:cs="Times New Roman"/>
                <w:color w:val="auto"/>
                <w:szCs w:val="21"/>
              </w:rPr>
            </w:pPr>
            <w:r>
              <w:rPr>
                <w:rFonts w:hint="eastAsia" w:ascii="宋体" w:hAnsi="宋体" w:eastAsia="宋体" w:cs="Times New Roman"/>
                <w:color w:val="auto"/>
                <w:szCs w:val="21"/>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840" w:leftChars="200" w:hanging="420" w:hangingChars="200"/>
        <w:rPr>
          <w:rFonts w:ascii="宋体" w:hAnsi="宋体"/>
          <w:szCs w:val="21"/>
        </w:rPr>
      </w:pPr>
      <w:r>
        <w:rPr>
          <w:rFonts w:hint="eastAsia" w:ascii="宋体" w:hAnsi="宋体"/>
          <w:szCs w:val="21"/>
        </w:rPr>
        <w:t>12.技术规格偏离表------------------------------------------------见第（）页</w:t>
      </w:r>
    </w:p>
    <w:p>
      <w:pPr>
        <w:spacing w:after="60" w:line="288" w:lineRule="auto"/>
        <w:ind w:left="420" w:leftChars="200"/>
        <w:rPr>
          <w:rFonts w:ascii="宋体" w:hAnsi="宋体"/>
          <w:szCs w:val="21"/>
        </w:rPr>
      </w:pPr>
      <w:r>
        <w:rPr>
          <w:rFonts w:hint="eastAsia" w:ascii="宋体" w:hAnsi="宋体"/>
          <w:szCs w:val="21"/>
        </w:rPr>
        <w:t>13.商务条款偏离表------------------------------------------------见第（）页</w:t>
      </w:r>
    </w:p>
    <w:p>
      <w:pPr>
        <w:spacing w:after="60" w:line="288" w:lineRule="auto"/>
        <w:ind w:left="420" w:leftChars="200"/>
        <w:rPr>
          <w:rFonts w:ascii="宋体" w:hAnsi="宋体"/>
          <w:szCs w:val="21"/>
        </w:rPr>
      </w:pPr>
      <w:r>
        <w:rPr>
          <w:rFonts w:hint="eastAsia" w:ascii="宋体" w:hAnsi="宋体"/>
          <w:szCs w:val="21"/>
        </w:rPr>
        <w:t>14.售后服务方案--------------------------------------------------见第（）页</w:t>
      </w:r>
    </w:p>
    <w:p>
      <w:pPr>
        <w:spacing w:after="60" w:line="288" w:lineRule="auto"/>
        <w:ind w:left="420"/>
        <w:rPr>
          <w:rFonts w:ascii="宋体" w:hAnsi="宋体"/>
          <w:szCs w:val="21"/>
        </w:rPr>
      </w:pPr>
      <w:r>
        <w:rPr>
          <w:rFonts w:hint="eastAsia" w:ascii="宋体" w:hAnsi="宋体"/>
          <w:szCs w:val="21"/>
        </w:rPr>
        <w:t>15.同类项目成功案例一览表----------------------------------------见第（）页</w:t>
      </w:r>
    </w:p>
    <w:p>
      <w:pPr>
        <w:spacing w:after="60" w:line="288" w:lineRule="auto"/>
        <w:ind w:left="420"/>
        <w:rPr>
          <w:rFonts w:ascii="宋体" w:hAnsi="宋体"/>
          <w:szCs w:val="21"/>
        </w:rPr>
      </w:pPr>
      <w:r>
        <w:rPr>
          <w:rFonts w:hint="eastAsia" w:ascii="宋体" w:hAnsi="宋体"/>
          <w:szCs w:val="21"/>
        </w:rPr>
        <w:t>16.诚信承诺函----------------------------------------------------见第（）页</w:t>
      </w:r>
    </w:p>
    <w:p>
      <w:pPr>
        <w:spacing w:after="60" w:line="288" w:lineRule="auto"/>
        <w:ind w:left="840" w:leftChars="200" w:hanging="420" w:hangingChars="200"/>
        <w:rPr>
          <w:rFonts w:ascii="宋体" w:hAnsi="宋体"/>
          <w:szCs w:val="21"/>
        </w:rPr>
      </w:pPr>
      <w:r>
        <w:rPr>
          <w:rFonts w:hint="eastAsia" w:ascii="宋体" w:hAnsi="宋体"/>
          <w:szCs w:val="21"/>
        </w:rPr>
        <w:t>17.其他：投标人资格声明材料、通过认证的证书等，投标人符合“招标文件”规定的证明文件，及投标人认为必要提供的其他内容-----------</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18.报价单--------------------------------------------------------见第（）页</w:t>
      </w: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12.技术规格偏离表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hint="eastAsia" w:ascii="宋体" w:hAnsi="宋体" w:cs="宋体"/>
                <w:b/>
                <w:kern w:val="0"/>
                <w:szCs w:val="21"/>
              </w:rPr>
            </w:pPr>
            <w:r>
              <w:rPr>
                <w:rFonts w:hint="eastAsia" w:ascii="宋体" w:hAnsi="宋体" w:eastAsia="宋体" w:cs="宋体"/>
                <w:b/>
                <w:bCs w:val="0"/>
                <w:color w:val="auto"/>
                <w:kern w:val="0"/>
                <w:sz w:val="21"/>
                <w:szCs w:val="21"/>
                <w:lang w:val="en-US" w:eastAsia="zh-CN" w:bidi="ar-SA"/>
              </w:rPr>
              <w:t>配置耗材</w:t>
            </w:r>
          </w:p>
        </w:tc>
        <w:tc>
          <w:tcPr>
            <w:tcW w:w="3849" w:type="dxa"/>
            <w:vAlign w:val="center"/>
          </w:tcPr>
          <w:p>
            <w:pPr>
              <w:jc w:val="left"/>
              <w:rPr>
                <w:rFonts w:hint="eastAsia"/>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hint="eastAsia" w:ascii="宋体" w:hAnsi="宋体" w:cs="宋体"/>
                <w:b/>
                <w:kern w:val="0"/>
                <w:szCs w:val="21"/>
              </w:rPr>
            </w:pPr>
          </w:p>
        </w:tc>
        <w:tc>
          <w:tcPr>
            <w:tcW w:w="3849" w:type="dxa"/>
            <w:vAlign w:val="center"/>
          </w:tcPr>
          <w:p>
            <w:pPr>
              <w:jc w:val="left"/>
              <w:rPr>
                <w:rFonts w:hint="eastAsia"/>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13.商务条款偏离表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rPr>
                <w:rFonts w:ascii="宋体" w:hAnsi="宋体"/>
                <w:b/>
                <w:kern w:val="0"/>
                <w:szCs w:val="21"/>
              </w:rPr>
            </w:pPr>
            <w:r>
              <w:rPr>
                <w:rFonts w:hint="eastAsia" w:ascii="宋体" w:hAnsi="宋体"/>
                <w:b/>
                <w:kern w:val="0"/>
                <w:szCs w:val="21"/>
              </w:rPr>
              <w:t>售后服务</w:t>
            </w:r>
          </w:p>
          <w:p>
            <w:pPr>
              <w:adjustRightInd w:val="0"/>
              <w:snapToGrid w:val="0"/>
              <w:jc w:val="center"/>
              <w:rPr>
                <w:rFonts w:ascii="宋体" w:hAnsi="宋体" w:cs="宋体"/>
                <w:b/>
                <w:kern w:val="0"/>
                <w:szCs w:val="21"/>
              </w:rPr>
            </w:pPr>
            <w:r>
              <w:rPr>
                <w:rFonts w:hint="eastAsia" w:ascii="宋体" w:hAnsi="宋体"/>
                <w:b/>
                <w:kern w:val="0"/>
                <w:szCs w:val="21"/>
              </w:rPr>
              <w:t>要求</w:t>
            </w:r>
          </w:p>
        </w:tc>
        <w:tc>
          <w:tcPr>
            <w:tcW w:w="3650" w:type="dxa"/>
            <w:vAlign w:val="center"/>
          </w:tcPr>
          <w:p>
            <w:pPr>
              <w:rPr>
                <w:bCs/>
              </w:rPr>
            </w:pPr>
            <w:r>
              <w:rPr>
                <w:rFonts w:hint="eastAsia"/>
                <w:bCs/>
              </w:rPr>
              <w:t>1.制造商或代理商针对本产品出具的售后服务承诺书。</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bCs/>
              </w:rPr>
            </w:pPr>
            <w:r>
              <w:rPr>
                <w:rFonts w:hint="eastAsia"/>
                <w:bCs/>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kern w:val="0"/>
                <w:szCs w:val="21"/>
              </w:rPr>
              <w:t>验收方式</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tcPr>
          <w:p>
            <w:pPr>
              <w:pStyle w:val="33"/>
              <w:tabs>
                <w:tab w:val="left" w:pos="960"/>
              </w:tabs>
              <w:ind w:firstLine="0" w:firstLineChars="0"/>
              <w:jc w:val="center"/>
              <w:rPr>
                <w:rFonts w:ascii="宋体"/>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报价要求</w:t>
            </w:r>
          </w:p>
        </w:tc>
        <w:tc>
          <w:tcPr>
            <w:tcW w:w="3650"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szCs w:val="21"/>
              </w:rPr>
              <w:t>交货期</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tcPr>
          <w:p>
            <w:pPr>
              <w:pStyle w:val="33"/>
              <w:tabs>
                <w:tab w:val="left" w:pos="960"/>
              </w:tabs>
              <w:ind w:firstLine="0" w:firstLineChars="0"/>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tcPr>
          <w:p>
            <w:pPr>
              <w:widowControl/>
              <w:rPr>
                <w:rFonts w:ascii="宋体" w:hAnsi="宋体"/>
                <w:szCs w:val="21"/>
              </w:rPr>
            </w:pP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pStyle w:val="16"/>
        <w:rPr>
          <w:rFonts w:ascii="宋体" w:hAnsi="宋体"/>
          <w:b/>
          <w:bCs/>
          <w:szCs w:val="21"/>
        </w:rPr>
      </w:pPr>
    </w:p>
    <w:p>
      <w:pPr>
        <w:pStyle w:val="16"/>
        <w:rPr>
          <w:rFonts w:ascii="宋体" w:hAnsi="宋体"/>
          <w:b/>
          <w:bCs/>
          <w:szCs w:val="21"/>
        </w:rPr>
      </w:pPr>
    </w:p>
    <w:p/>
    <w:p>
      <w:pPr>
        <w:spacing w:after="60"/>
        <w:rPr>
          <w:rFonts w:ascii="宋体" w:hAnsi="宋体"/>
          <w:b/>
          <w:bCs/>
          <w:szCs w:val="21"/>
        </w:rPr>
      </w:pPr>
    </w:p>
    <w:p>
      <w:pPr>
        <w:spacing w:after="60"/>
        <w:ind w:left="420"/>
        <w:jc w:val="center"/>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14.售后服务方案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15.同类项目成功案例一览表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16.诚信承诺函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17.其他：投标人资格声明材料、通过认证的证书等，投标人符合“招标文件”规定的证明文件，及投标人认为必要提供的其他内容。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ascii="宋体" w:hAnsi="宋体"/>
          <w:b/>
          <w:bCs/>
          <w:sz w:val="30"/>
          <w:szCs w:val="30"/>
        </w:rPr>
      </w:pPr>
      <w:r>
        <w:rPr>
          <w:rFonts w:hint="eastAsia" w:ascii="宋体" w:hAnsi="宋体" w:cs="宋体-18030"/>
          <w:b/>
          <w:bCs/>
          <w:color w:val="000000"/>
          <w:sz w:val="30"/>
          <w:szCs w:val="30"/>
        </w:rPr>
        <w:t>项目编号：</w:t>
      </w:r>
      <w:r>
        <w:rPr>
          <w:rFonts w:hint="eastAsia" w:ascii="宋体" w:hAnsi="宋体"/>
          <w:b/>
          <w:bCs/>
          <w:sz w:val="30"/>
          <w:szCs w:val="30"/>
        </w:rPr>
        <w:t>SZSZXYJHYY202310106</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ascii="宋体" w:hAnsi="宋体"/>
                <w:szCs w:val="21"/>
              </w:rPr>
              <w:t>宫腔电切镜</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116913827"/>
      <w:bookmarkStart w:id="8" w:name="_Toc435514866"/>
      <w:bookmarkStart w:id="9" w:name="_Toc6350"/>
      <w:bookmarkStart w:id="10" w:name="_Toc435515306"/>
      <w:bookmarkStart w:id="11" w:name="_Toc275865611"/>
      <w:bookmarkStart w:id="12" w:name="_Toc192662843"/>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F64552"/>
    <w:rsid w:val="02F76F90"/>
    <w:rsid w:val="02FF7A73"/>
    <w:rsid w:val="030963C0"/>
    <w:rsid w:val="03195E53"/>
    <w:rsid w:val="031E1D08"/>
    <w:rsid w:val="031F5D36"/>
    <w:rsid w:val="031F736B"/>
    <w:rsid w:val="033D2149"/>
    <w:rsid w:val="03580F24"/>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081A"/>
    <w:rsid w:val="0ADD5DCA"/>
    <w:rsid w:val="0AE93662"/>
    <w:rsid w:val="0AEB1631"/>
    <w:rsid w:val="0B0004E8"/>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083677"/>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3A160D"/>
    <w:rsid w:val="234343DB"/>
    <w:rsid w:val="235356C5"/>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AC1CB2"/>
    <w:rsid w:val="2ADC41F2"/>
    <w:rsid w:val="2ADF5EF6"/>
    <w:rsid w:val="2B003090"/>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A23CB"/>
    <w:rsid w:val="35380BBF"/>
    <w:rsid w:val="354C6BD7"/>
    <w:rsid w:val="359061CF"/>
    <w:rsid w:val="359978AF"/>
    <w:rsid w:val="36140114"/>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C3A83"/>
    <w:rsid w:val="37FB484B"/>
    <w:rsid w:val="386D2B19"/>
    <w:rsid w:val="38C4460D"/>
    <w:rsid w:val="38FF01CD"/>
    <w:rsid w:val="39037E95"/>
    <w:rsid w:val="39047736"/>
    <w:rsid w:val="3918005F"/>
    <w:rsid w:val="39351C95"/>
    <w:rsid w:val="394A70E4"/>
    <w:rsid w:val="39524DAA"/>
    <w:rsid w:val="399C796E"/>
    <w:rsid w:val="399D395D"/>
    <w:rsid w:val="3A0379ED"/>
    <w:rsid w:val="3A0A10BA"/>
    <w:rsid w:val="3A7C34E2"/>
    <w:rsid w:val="3A924E40"/>
    <w:rsid w:val="3AB12061"/>
    <w:rsid w:val="3AB91BD3"/>
    <w:rsid w:val="3ADD45FD"/>
    <w:rsid w:val="3AE4658F"/>
    <w:rsid w:val="3B5073DC"/>
    <w:rsid w:val="3B7140B5"/>
    <w:rsid w:val="3B7F380D"/>
    <w:rsid w:val="3B842468"/>
    <w:rsid w:val="3BEB17D0"/>
    <w:rsid w:val="3BF92FA2"/>
    <w:rsid w:val="3CD67608"/>
    <w:rsid w:val="3D4E0F7F"/>
    <w:rsid w:val="3D8B3576"/>
    <w:rsid w:val="3DB93A68"/>
    <w:rsid w:val="3DD339DE"/>
    <w:rsid w:val="3DE1064E"/>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D56F49"/>
    <w:rsid w:val="44E0069B"/>
    <w:rsid w:val="450807A1"/>
    <w:rsid w:val="451C6AB5"/>
    <w:rsid w:val="451D6267"/>
    <w:rsid w:val="456E1BE2"/>
    <w:rsid w:val="457901D9"/>
    <w:rsid w:val="458860D2"/>
    <w:rsid w:val="45AB74DB"/>
    <w:rsid w:val="45D65FB6"/>
    <w:rsid w:val="45F12DF0"/>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15B6F"/>
    <w:rsid w:val="50ED50A8"/>
    <w:rsid w:val="50F5642D"/>
    <w:rsid w:val="5123786E"/>
    <w:rsid w:val="51404278"/>
    <w:rsid w:val="516139BE"/>
    <w:rsid w:val="516640F0"/>
    <w:rsid w:val="516E231F"/>
    <w:rsid w:val="519F1952"/>
    <w:rsid w:val="51A27694"/>
    <w:rsid w:val="51C52FC7"/>
    <w:rsid w:val="51C845C2"/>
    <w:rsid w:val="51E15B34"/>
    <w:rsid w:val="51F82F2D"/>
    <w:rsid w:val="521D3A88"/>
    <w:rsid w:val="524349D3"/>
    <w:rsid w:val="526B5780"/>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B27F05"/>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646491"/>
    <w:rsid w:val="5C653CAB"/>
    <w:rsid w:val="5C7C3E2C"/>
    <w:rsid w:val="5C8B32B0"/>
    <w:rsid w:val="5C8C4481"/>
    <w:rsid w:val="5C98591B"/>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BE10BC"/>
    <w:rsid w:val="73E91B98"/>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7142801"/>
    <w:rsid w:val="7722255A"/>
    <w:rsid w:val="772A7E2D"/>
    <w:rsid w:val="77336515"/>
    <w:rsid w:val="773728D4"/>
    <w:rsid w:val="77657FC3"/>
    <w:rsid w:val="77766F14"/>
    <w:rsid w:val="7780374C"/>
    <w:rsid w:val="77DC095A"/>
    <w:rsid w:val="77FD7FE2"/>
    <w:rsid w:val="78521D5A"/>
    <w:rsid w:val="7857371C"/>
    <w:rsid w:val="787539C1"/>
    <w:rsid w:val="78AB1C70"/>
    <w:rsid w:val="78AE7D0B"/>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7336EB"/>
    <w:rsid w:val="7C8B3659"/>
    <w:rsid w:val="7CD93091"/>
    <w:rsid w:val="7D1D4561"/>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21373</Words>
  <Characters>23063</Characters>
  <Lines>187</Lines>
  <Paragraphs>52</Paragraphs>
  <TotalTime>12</TotalTime>
  <ScaleCrop>false</ScaleCrop>
  <LinksUpToDate>false</LinksUpToDate>
  <CharactersWithSpaces>24527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2023-10-16T08:52:20Z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2B3278BC64094DD1A7A98AF7DA61A940_13</vt:lpwstr>
  </property>
</Properties>
</file>