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深圳市宝安区人民医院关于深圳市第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批医用耗材“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泌尿介入导丝等五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”遴选结果公示</w:t>
      </w: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根据深圳市医疗保障局关于执行医用耗材价格谈判结果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的要求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，我院对第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批医用耗材“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泌尿介入导丝等五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”价格谈判中标产品按流程进行遴选，现将结果公示如下：</w:t>
      </w:r>
    </w:p>
    <w:tbl>
      <w:tblPr>
        <w:tblStyle w:val="3"/>
        <w:tblW w:w="85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972"/>
        <w:gridCol w:w="29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拟中选厂商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拟中选单位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导丝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张家港市欧凯医疗器械有限公司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深圳市健晨医疗科技有限公司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一次性使用非血管腔道导丝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深圳市库珀科技发展有限公司</w:t>
            </w:r>
          </w:p>
        </w:tc>
        <w:tc>
          <w:tcPr>
            <w:tcW w:w="2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深圳润通医疗器械有限公司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一次性使用泌尿道用导丝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深圳市库珀科技发展有限公司</w:t>
            </w:r>
          </w:p>
        </w:tc>
        <w:tc>
          <w:tcPr>
            <w:tcW w:w="2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封堵取石导管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上海英诺伟医疗器械股份有限公司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深圳市麒林医疗科技有限公司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一次性使用内窥镜取石导管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常州优复瑞医疗器械有限公司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国药一致医疗器械（深圳）有限公司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一次性使用输尿管导引鞘及附件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湖南瑞邦医疗科技发展有限公司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国药集团广东医疗器械供应链有限公司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261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 xml:space="preserve">一次性使用输尿管导引鞘 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济南中康顺医疗器械有限公司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江西曲昂医疗器械有限公司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261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深圳市库珀科技发展有限公司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深圳润通医疗器械有限公司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一次性使用内窥镜取石篮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广州维力医疗器械股份有限公司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深圳市益诚健康管理有限公司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一次性使用取石网篮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江苏唯德康医疗科技有限公司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益康达（深圳）生物科技有限公司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上海英诺伟医疗器械股份有限公司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深圳市中和医疗科技有限公司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一次性使用电子输尿管肾盂内窥镜导管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珠海普生医疗科技有限公司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深圳市科威康德医疗科技有限公司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广州瑞派医疗器械有限责任公司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深圳市林圣康科技有限公司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3" w:hRule="atLeast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湖南英术生命科技有限公司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深圳市泰木医疗科技有限公司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一次性使用电子膀胱肾盂镜导管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南昌沃克医疗科技有限公司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深圳润通医疗器械有限公司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7" w:beforeAutospacing="0" w:after="0" w:afterAutospacing="0" w:line="3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7" w:beforeAutospacing="0" w:after="0" w:afterAutospacing="0" w:line="3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本公示期限自2023年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日至2023年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日止，如有异议，</w:t>
      </w:r>
      <w:r>
        <w:rPr>
          <w:rFonts w:hint="eastAsia" w:ascii="仿宋_GB2312" w:hAnsi="仿宋_GB2312" w:eastAsia="仿宋_GB2312" w:cs="仿宋_GB2312"/>
          <w:color w:val="383838"/>
          <w:sz w:val="28"/>
          <w:szCs w:val="28"/>
          <w:shd w:val="clear" w:color="auto" w:fill="FFFFFF"/>
        </w:rPr>
        <w:t>可以在公告期限内以书面形式向深圳市宝安区人民医院提出质疑，逾期将不再受理。</w:t>
      </w: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联系电话: 0755-27788311转3018（张老师）</w:t>
      </w: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联系地址：宝安人民医院对面旧宝中宿舍楼A栋301</w:t>
      </w: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                               深圳市宝安人民医院</w:t>
      </w:r>
    </w:p>
    <w:p>
      <w:pPr>
        <w:pStyle w:val="2"/>
        <w:widowControl/>
        <w:shd w:val="clear" w:color="auto" w:fill="FFFFFF"/>
        <w:spacing w:before="147" w:beforeAutospacing="0" w:afterAutospacing="0" w:line="30" w:lineRule="atLeast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 2023年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    </w:t>
      </w:r>
    </w:p>
    <w:p>
      <w:pPr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045B"/>
    <w:rsid w:val="09AC5093"/>
    <w:rsid w:val="0A0F19DC"/>
    <w:rsid w:val="0B3B6FEC"/>
    <w:rsid w:val="116F405E"/>
    <w:rsid w:val="141C26E0"/>
    <w:rsid w:val="182F1568"/>
    <w:rsid w:val="1AB946DC"/>
    <w:rsid w:val="39FE4CC0"/>
    <w:rsid w:val="3A3B17AB"/>
    <w:rsid w:val="3EFE7DD7"/>
    <w:rsid w:val="40245F97"/>
    <w:rsid w:val="448C75B2"/>
    <w:rsid w:val="463636CF"/>
    <w:rsid w:val="499B49F1"/>
    <w:rsid w:val="4A8A5DA6"/>
    <w:rsid w:val="5D4D312E"/>
    <w:rsid w:val="63374D20"/>
    <w:rsid w:val="67796E60"/>
    <w:rsid w:val="67813A68"/>
    <w:rsid w:val="77B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☾</cp:lastModifiedBy>
  <cp:lastPrinted>2023-06-28T03:15:00Z</cp:lastPrinted>
  <dcterms:modified xsi:type="dcterms:W3CDTF">2023-08-11T08:23:06Z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