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73</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SZSZXYJHYY202308073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3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远程自测血压管理系统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4套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114000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21</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宋体"/>
          <w:color w:val="333333"/>
          <w:kern w:val="0"/>
          <w:szCs w:val="21"/>
          <w:highlight w:val="none"/>
          <w:lang w:eastAsia="zh-CN"/>
        </w:rPr>
        <w:t>开标当日，</w:t>
      </w:r>
      <w:r>
        <w:rPr>
          <w:rFonts w:hint="eastAsia" w:ascii="宋体" w:hAnsi="宋体" w:eastAsia="宋体" w:cs="宋体"/>
          <w:color w:val="333333"/>
          <w:kern w:val="0"/>
          <w:szCs w:val="21"/>
          <w:highlight w:val="none"/>
          <w:lang w:eastAsia="zh-CN"/>
        </w:rPr>
        <w:t>请按招标文件要求递</w:t>
      </w:r>
      <w:bookmarkStart w:id="13" w:name="_GoBack"/>
      <w:bookmarkEnd w:id="13"/>
      <w:r>
        <w:rPr>
          <w:rFonts w:hint="eastAsia" w:ascii="宋体" w:hAnsi="宋体" w:eastAsia="宋体" w:cs="宋体"/>
          <w:color w:val="333333"/>
          <w:kern w:val="0"/>
          <w:szCs w:val="21"/>
          <w:highlight w:val="none"/>
          <w:lang w:eastAsia="zh-CN"/>
        </w:rPr>
        <w:t>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8月11日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w:t>
      </w:r>
      <w:r>
        <w:rPr>
          <w:rFonts w:hint="eastAsia" w:ascii="宋体" w:hAnsi="宋体" w:cs="Arial"/>
          <w:color w:val="FF0000"/>
          <w:kern w:val="0"/>
          <w:szCs w:val="21"/>
          <w:lang w:val="en-US" w:eastAsia="zh-CN"/>
        </w:rPr>
        <w:t>投标截止前</w:t>
      </w:r>
      <w:r>
        <w:rPr>
          <w:rFonts w:hint="eastAsia" w:ascii="宋体" w:hAnsi="宋体" w:eastAsia="宋体" w:cs="Arial"/>
          <w:color w:val="FF0000"/>
          <w:kern w:val="0"/>
          <w:szCs w:val="21"/>
          <w:lang w:val="en-US" w:eastAsia="zh-CN"/>
        </w:rPr>
        <w:t>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2"/>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序号</w:t>
            </w:r>
          </w:p>
        </w:tc>
        <w:tc>
          <w:tcPr>
            <w:tcW w:w="2325" w:type="dxa"/>
            <w:gridSpan w:val="2"/>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评分因素</w:t>
            </w:r>
          </w:p>
        </w:tc>
        <w:tc>
          <w:tcPr>
            <w:tcW w:w="465"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分值</w:t>
            </w:r>
          </w:p>
        </w:tc>
        <w:tc>
          <w:tcPr>
            <w:tcW w:w="6303"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both"/>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一</w:t>
            </w:r>
          </w:p>
        </w:tc>
        <w:tc>
          <w:tcPr>
            <w:tcW w:w="1080" w:type="dxa"/>
            <w:vMerge w:val="restart"/>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技术部分</w:t>
            </w: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w:t>
            </w:r>
            <w:r>
              <w:rPr>
                <w:rFonts w:hint="eastAsia" w:ascii="宋体" w:hAnsi="宋体" w:eastAsia="宋体" w:cs="Arial"/>
                <w:color w:val="000000" w:themeColor="text1"/>
                <w:kern w:val="0"/>
                <w:szCs w:val="21"/>
                <w:lang w:val="en-US" w:eastAsia="zh-CN"/>
                <w14:textFill>
                  <w14:solidFill>
                    <w14:schemeClr w14:val="tx1"/>
                  </w14:solidFill>
                </w14:textFill>
              </w:rPr>
              <w:t>41分</w:t>
            </w:r>
            <w:r>
              <w:rPr>
                <w:rFonts w:hint="eastAsia" w:ascii="宋体" w:hAnsi="宋体" w:eastAsia="宋体" w:cs="Arial"/>
                <w:color w:val="000000" w:themeColor="text1"/>
                <w:kern w:val="0"/>
                <w:szCs w:val="21"/>
                <w:lang w:eastAsia="zh-CN"/>
                <w14:textFill>
                  <w14:solidFill>
                    <w14:schemeClr w14:val="tx1"/>
                  </w14:solidFill>
                </w14:textFill>
              </w:rPr>
              <w:t>）</w:t>
            </w:r>
          </w:p>
        </w:tc>
        <w:tc>
          <w:tcPr>
            <w:tcW w:w="1245" w:type="dxa"/>
            <w:noWrap w:val="0"/>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w:t>
            </w:r>
            <w:r>
              <w:rPr>
                <w:rFonts w:hint="eastAsia"/>
                <w:color w:val="000000" w:themeColor="text1"/>
                <w:lang w:eastAsia="zh-CN"/>
                <w14:textFill>
                  <w14:solidFill>
                    <w14:schemeClr w14:val="tx1"/>
                  </w14:solidFill>
                </w14:textFill>
              </w:rPr>
              <w:t>规格偏离</w:t>
            </w:r>
            <w:r>
              <w:rPr>
                <w:rFonts w:hint="eastAsia"/>
                <w:color w:val="000000" w:themeColor="text1"/>
                <w14:textFill>
                  <w14:solidFill>
                    <w14:schemeClr w14:val="tx1"/>
                  </w14:solidFill>
                </w14:textFill>
              </w:rPr>
              <w:t>情况</w:t>
            </w:r>
          </w:p>
          <w:p>
            <w:pPr>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投标人应如实填写《技术规格偏离表》，各项技术参数指标及要求全部满足的得</w:t>
            </w:r>
            <w:r>
              <w:rPr>
                <w:rFonts w:hint="eastAsia" w:cs="Times New Roman"/>
                <w:color w:val="000000" w:themeColor="text1"/>
                <w:lang w:val="en-US" w:eastAsia="zh-CN"/>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分；</w:t>
            </w:r>
            <w:r>
              <w:rPr>
                <w:rFonts w:hint="eastAsia" w:ascii="Times New Roman" w:hAnsi="Times New Roman" w:eastAsia="宋体" w:cs="Times New Roman"/>
                <w:color w:val="000000" w:themeColor="text1"/>
                <w:lang w:eastAsia="zh-CN"/>
                <w14:textFill>
                  <w14:solidFill>
                    <w14:schemeClr w14:val="tx1"/>
                  </w14:solidFill>
                </w14:textFill>
              </w:rPr>
              <w:t>带</w:t>
            </w:r>
            <w:r>
              <w:rPr>
                <w:rFonts w:hint="eastAsia" w:ascii="Times New Roman" w:hAnsi="Times New Roman" w:eastAsia="宋体" w:cs="Times New Roman"/>
                <w:color w:val="000000" w:themeColor="text1"/>
                <w14:textFill>
                  <w14:solidFill>
                    <w14:schemeClr w14:val="tx1"/>
                  </w14:solidFill>
                </w14:textFill>
              </w:rPr>
              <w:t>“▲”为重要技术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每负偏离一项扣5分；其他技术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每负偏离一项扣1分；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w:t>
            </w:r>
            <w:r>
              <w:rPr>
                <w:rFonts w:hint="eastAsia" w:ascii="Times New Roman" w:hAnsi="Times New Roman" w:eastAsia="宋体" w:cs="Times New Roman"/>
                <w:color w:val="000000" w:themeColor="text1"/>
                <w14:textFill>
                  <w14:solidFill>
                    <w14:schemeClr w14:val="tx1"/>
                  </w14:solidFill>
                </w14:textFill>
              </w:rPr>
              <w:t>扣1分；扣完为止。接受正偏离但不加分</w:t>
            </w:r>
            <w:r>
              <w:rPr>
                <w:rFonts w:hint="eastAsia" w:ascii="Times New Roman" w:hAnsi="Times New Roman" w:eastAsia="宋体" w:cs="Times New Roman"/>
                <w:color w:val="000000" w:themeColor="text1"/>
                <w:lang w:eastAsia="zh-CN"/>
                <w14:textFill>
                  <w14:solidFill>
                    <w14:schemeClr w14:val="tx1"/>
                  </w14:solidFill>
                </w14:textFill>
              </w:rPr>
              <w:t>。</w:t>
            </w:r>
          </w:p>
          <w:p>
            <w:pPr>
              <w:pStyle w:val="29"/>
              <w:spacing w:line="240" w:lineRule="auto"/>
              <w:ind w:firstLine="0" w:firstLineChars="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000000" w:themeColor="text1"/>
                <w:lang w:eastAsia="zh-CN"/>
                <w14:textFill>
                  <w14:solidFill>
                    <w14:schemeClr w14:val="tx1"/>
                  </w14:solidFill>
                </w14:textFill>
              </w:rPr>
              <w:t>，否则</w:t>
            </w:r>
            <w:r>
              <w:rPr>
                <w:rFonts w:hint="eastAsia" w:ascii="Times New Roman" w:hAnsi="Times New Roman" w:eastAsia="宋体" w:cs="Times New Roman"/>
                <w:color w:val="000000" w:themeColor="text1"/>
                <w:lang w:val="en-US" w:eastAsia="zh-CN"/>
                <w14:textFill>
                  <w14:solidFill>
                    <w14:schemeClr w14:val="tx1"/>
                  </w14:solidFill>
                </w14:textFill>
              </w:rPr>
              <w:t>视为负偏离</w:t>
            </w:r>
            <w:r>
              <w:rPr>
                <w:rFonts w:hint="eastAsia" w:ascii="Times New Roman" w:hAnsi="Times New Roman" w:eastAsia="宋体" w:cs="Times New Roman"/>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tc>
        <w:tc>
          <w:tcPr>
            <w:tcW w:w="1080" w:type="dxa"/>
            <w:vMerge w:val="continue"/>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tc>
        <w:tc>
          <w:tcPr>
            <w:tcW w:w="1245" w:type="dxa"/>
            <w:noWrap w:val="0"/>
            <w:vAlign w:val="center"/>
          </w:tcPr>
          <w:p>
            <w:pPr>
              <w:jc w:val="center"/>
              <w:rPr>
                <w:rFonts w:hint="eastAsia" w:ascii="宋体" w:hAnsi="宋体" w:eastAsia="宋体" w:cs="Arial"/>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评分内容：</w:t>
            </w:r>
            <w:r>
              <w:rPr>
                <w:rFonts w:hint="eastAsia" w:ascii="Times New Roman" w:hAnsi="Times New Roman" w:eastAsia="宋体" w:cs="Times New Roman"/>
                <w:color w:val="000000" w:themeColor="text1"/>
                <w:lang w:eastAsia="zh-CN"/>
                <w14:textFill>
                  <w14:solidFill>
                    <w14:schemeClr w14:val="tx1"/>
                  </w14:solidFill>
                </w14:textFill>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eastAsia="zh-CN"/>
                <w14:textFill>
                  <w14:solidFill>
                    <w14:schemeClr w14:val="tx1"/>
                  </w14:solidFill>
                </w14:textFill>
              </w:rPr>
              <w:t>）性能良好，故障率低；</w:t>
            </w:r>
          </w:p>
          <w:p>
            <w:pPr>
              <w:pStyle w:val="29"/>
              <w:spacing w:line="240" w:lineRule="auto"/>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）设备整体水平先进，可操作性强；</w:t>
            </w:r>
          </w:p>
          <w:p>
            <w:pPr>
              <w:pStyle w:val="29"/>
              <w:spacing w:line="240" w:lineRule="auto"/>
              <w:ind w:firstLine="0" w:firstLineChars="0"/>
              <w:rPr>
                <w:rFonts w:hint="eastAsia" w:ascii="Times New Roman" w:hAnsi="Times New Roman" w:eastAsia="宋体" w:cs="Times New Roman"/>
                <w:color w:val="000000" w:themeColor="text1"/>
                <w:lang w:val="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评分标准：满足以上两项要求得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商务部分（</w:t>
            </w:r>
            <w:r>
              <w:rPr>
                <w:rFonts w:hint="eastAsia" w:ascii="宋体" w:hAnsi="宋体" w:eastAsia="宋体" w:cs="Arial"/>
                <w:color w:val="000000" w:themeColor="text1"/>
                <w:kern w:val="0"/>
                <w:szCs w:val="21"/>
                <w:lang w:val="en-US" w:eastAsia="zh-CN"/>
                <w14:textFill>
                  <w14:solidFill>
                    <w14:schemeClr w14:val="tx1"/>
                  </w14:solidFill>
                </w14:textFill>
              </w:rPr>
              <w:t>29分</w:t>
            </w:r>
            <w:r>
              <w:rPr>
                <w:rFonts w:hint="eastAsia" w:ascii="宋体" w:hAnsi="宋体" w:eastAsia="宋体" w:cs="Arial"/>
                <w:color w:val="000000" w:themeColor="text1"/>
                <w:kern w:val="0"/>
                <w:szCs w:val="21"/>
                <w:lang w:eastAsia="zh-CN"/>
                <w14:textFill>
                  <w14:solidFill>
                    <w14:schemeClr w14:val="tx1"/>
                  </w14:solidFill>
                </w14:textFill>
              </w:rPr>
              <w:t>）</w:t>
            </w:r>
          </w:p>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商务条款偏离情况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10</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lang w:val="sq-AL" w:eastAsia="zh-CN"/>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t>投标人应如实填写《商务条款偏离表》，</w:t>
            </w:r>
            <w:r>
              <w:rPr>
                <w:rFonts w:hint="eastAsia" w:ascii="Times New Roman" w:hAnsi="Times New Roman" w:eastAsia="宋体" w:cs="Times New Roman"/>
                <w:color w:val="000000" w:themeColor="text1"/>
                <w:lang w:val="zh-CN" w:eastAsia="zh-CN"/>
                <w14:textFill>
                  <w14:solidFill>
                    <w14:schemeClr w14:val="tx1"/>
                  </w14:solidFill>
                </w14:textFill>
              </w:rPr>
              <w:t>全部满足的得</w:t>
            </w:r>
            <w:r>
              <w:rPr>
                <w:rFonts w:hint="eastAsia" w:cs="Times New Roman"/>
                <w:color w:val="000000" w:themeColor="text1"/>
                <w:lang w:val="en-US" w:eastAsia="zh-CN"/>
                <w14:textFill>
                  <w14:solidFill>
                    <w14:schemeClr w14:val="tx1"/>
                  </w14:solidFill>
                </w14:textFill>
              </w:rPr>
              <w:t>10</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带“▲”为重要参数，每负偏离一项扣</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zh-CN"/>
                <w14:textFill>
                  <w14:solidFill>
                    <w14:schemeClr w14:val="tx1"/>
                  </w14:solidFill>
                </w14:textFill>
              </w:rPr>
              <w:t>分，其他参数每负偏离一项扣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14:textFill>
                  <w14:solidFill>
                    <w14:schemeClr w14:val="tx1"/>
                  </w14:solidFill>
                </w14:textFill>
              </w:rPr>
              <w:t>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color w:val="000000" w:themeColor="text1"/>
                <w14:textFill>
                  <w14:solidFill>
                    <w14:schemeClr w14:val="tx1"/>
                  </w14:solidFill>
                </w14:textFill>
              </w:rPr>
              <w:t>同类项目业绩</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14:textFill>
                  <w14:solidFill>
                    <w14:schemeClr w14:val="tx1"/>
                  </w14:solidFill>
                </w14:textFill>
              </w:rPr>
              <w:t>年1月1日至本项目开标之日（以合同签订日期为准），投标人具有同类项目业绩的，每提供1个项目得2分，最高得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分。</w:t>
            </w:r>
          </w:p>
          <w:p>
            <w:pPr>
              <w:pStyle w:val="29"/>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售后服务方案</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8</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（1）售后服务机构及维护人员配置合理；</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（2）故障响应时间满足项目需求；</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评分标准：</w:t>
            </w:r>
            <w:r>
              <w:rPr>
                <w:rFonts w:hint="eastAsia" w:ascii="Times New Roman" w:hAnsi="Times New Roman" w:eastAsia="宋体" w:cs="Times New Roman"/>
                <w:color w:val="000000" w:themeColor="text1"/>
                <w:lang w:val="zh-CN" w:eastAsia="zh-CN"/>
                <w14:textFill>
                  <w14:solidFill>
                    <w14:schemeClr w14:val="tx1"/>
                  </w14:solidFill>
                </w14:textFill>
              </w:rPr>
              <w:t>满足以上三项要求得</w:t>
            </w:r>
            <w:r>
              <w:rPr>
                <w:rFonts w:hint="eastAsia" w:ascii="Times New Roman" w:hAnsi="Times New Roman" w:eastAsia="宋体" w:cs="Times New Roman"/>
                <w:color w:val="000000" w:themeColor="text1"/>
                <w:lang w:val="en-US" w:eastAsia="zh-CN"/>
                <w14:textFill>
                  <w14:solidFill>
                    <w14:schemeClr w14:val="tx1"/>
                  </w14:solidFill>
                </w14:textFill>
              </w:rPr>
              <w:t>8</w:t>
            </w:r>
            <w:r>
              <w:rPr>
                <w:rFonts w:hint="eastAsia" w:ascii="Times New Roman" w:hAnsi="Times New Roman" w:eastAsia="宋体" w:cs="Times New Roman"/>
                <w:color w:val="000000" w:themeColor="text1"/>
                <w:lang w:val="zh-CN" w:eastAsia="zh-CN"/>
                <w14:textFill>
                  <w14:solidFill>
                    <w14:schemeClr w14:val="tx1"/>
                  </w14:solidFill>
                </w14:textFill>
              </w:rPr>
              <w:t>分，满足以上两项要求</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val="zh-CN"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zh-CN"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000000" w:themeColor="text1"/>
                <w14:textFill>
                  <w14:solidFill>
                    <w14:schemeClr w14:val="tx1"/>
                  </w14:solidFill>
                </w14:textFill>
              </w:rPr>
            </w:pPr>
          </w:p>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诚信管理情况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三</w:t>
            </w:r>
          </w:p>
        </w:tc>
        <w:tc>
          <w:tcPr>
            <w:tcW w:w="1080" w:type="dxa"/>
            <w:noWrap w:val="0"/>
            <w:vAlign w:val="center"/>
          </w:tcPr>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价格部分</w:t>
            </w:r>
            <w:r>
              <w:rPr>
                <w:rFonts w:hint="eastAsia" w:ascii="宋体" w:hAnsi="宋体" w:cs="Arial"/>
                <w:color w:val="000000" w:themeColor="text1"/>
                <w:kern w:val="0"/>
                <w:szCs w:val="21"/>
                <w:lang w:val="en-US" w:eastAsia="zh-CN"/>
                <w14:textFill>
                  <w14:solidFill>
                    <w14:schemeClr w14:val="tx1"/>
                  </w14:solidFill>
                </w14:textFill>
              </w:rPr>
              <w:t>（30分）</w:t>
            </w:r>
          </w:p>
        </w:tc>
        <w:tc>
          <w:tcPr>
            <w:tcW w:w="8013" w:type="dxa"/>
            <w:gridSpan w:val="3"/>
            <w:noWrap w:val="0"/>
            <w:vAlign w:val="center"/>
          </w:tcPr>
          <w:p>
            <w:pPr>
              <w:widowControl/>
              <w:spacing w:line="240" w:lineRule="auto"/>
              <w:jc w:val="left"/>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价</w:t>
            </w:r>
            <w:r>
              <w:rPr>
                <w:rFonts w:hint="eastAsia" w:ascii="宋体" w:hAnsi="宋体" w:cs="宋体"/>
                <w:bCs/>
                <w:color w:val="000000" w:themeColor="text1"/>
                <w:kern w:val="0"/>
                <w:sz w:val="21"/>
                <w:szCs w:val="21"/>
                <w:lang w:eastAsia="zh-CN"/>
                <w14:textFill>
                  <w14:solidFill>
                    <w14:schemeClr w14:val="tx1"/>
                  </w14:solidFill>
                </w14:textFill>
              </w:rPr>
              <w:t>格</w:t>
            </w:r>
            <w:r>
              <w:rPr>
                <w:rFonts w:hint="eastAsia" w:ascii="宋体" w:hAnsi="宋体" w:eastAsia="宋体" w:cs="宋体"/>
                <w:bCs/>
                <w:color w:val="000000" w:themeColor="text1"/>
                <w:kern w:val="0"/>
                <w:sz w:val="21"/>
                <w:szCs w:val="21"/>
                <w14:textFill>
                  <w14:solidFill>
                    <w14:schemeClr w14:val="tx1"/>
                  </w14:solidFill>
                </w14:textFill>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 xml:space="preserve">0分。其他投标人的价格分按照下列公式计算：   </w:t>
            </w:r>
          </w:p>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投标报价得分=(评标基准价</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投标报价)×</w:t>
            </w:r>
            <w:r>
              <w:rPr>
                <w:rFonts w:hint="eastAsia" w:ascii="Times New Roman" w:hAnsi="Times New Roman" w:eastAsia="宋体" w:cs="Times New Roman"/>
                <w:color w:val="000000" w:themeColor="text1"/>
                <w:lang w:val="en-US" w:eastAsia="zh-CN"/>
                <w14:textFill>
                  <w14:solidFill>
                    <w14:schemeClr w14:val="tx1"/>
                  </w14:solidFill>
                </w14:textFill>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z w:val="32"/>
          <w:szCs w:val="32"/>
          <w:lang w:val="en-US" w:eastAsia="zh-CN"/>
          <w14:textFill>
            <w14:solidFill>
              <w14:schemeClr w14:val="tx1"/>
            </w14:solidFill>
          </w14:textFill>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注：</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numPr>
          <w:ilvl w:val="0"/>
          <w:numId w:val="3"/>
        </w:numP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采购项目名称及项目预算（</w:t>
      </w:r>
      <w:r>
        <w:rPr>
          <w:rFonts w:hint="eastAsia" w:ascii="宋体" w:hAnsi="宋体" w:eastAsia="宋体" w:cs="宋体"/>
          <w:bCs/>
          <w:color w:val="000000" w:themeColor="text1"/>
          <w:kern w:val="0"/>
          <w:sz w:val="21"/>
          <w:szCs w:val="21"/>
          <w:lang w:val="en-US" w:eastAsia="zh-CN"/>
          <w14:textFill>
            <w14:solidFill>
              <w14:schemeClr w14:val="tx1"/>
            </w14:solidFill>
          </w14:textFill>
        </w:rPr>
        <w:t>超出项目最高限价将导致无效投标</w:t>
      </w:r>
      <w:r>
        <w:rPr>
          <w:rFonts w:hint="eastAsia" w:ascii="宋体" w:hAnsi="宋体" w:eastAsia="宋体" w:cs="Times New Roman"/>
          <w:b/>
          <w:bCs/>
          <w:color w:val="000000" w:themeColor="text1"/>
          <w:szCs w:val="21"/>
          <w:lang w:val="en-US" w:eastAsia="zh-CN"/>
          <w14:textFill>
            <w14:solidFill>
              <w14:schemeClr w14:val="tx1"/>
            </w14:solidFill>
          </w14:textFill>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2715" w:type="dxa"/>
            <w:noWrap w:val="0"/>
            <w:vAlign w:val="center"/>
          </w:tcPr>
          <w:p>
            <w:pPr>
              <w:numPr>
                <w:ilvl w:val="0"/>
                <w:numId w:val="0"/>
              </w:numPr>
              <w:jc w:val="center"/>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远程自测血压管理系统</w:t>
            </w:r>
          </w:p>
        </w:tc>
        <w:tc>
          <w:tcPr>
            <w:tcW w:w="1004" w:type="dxa"/>
            <w:noWrap w:val="0"/>
            <w:vAlign w:val="center"/>
          </w:tcPr>
          <w:p>
            <w:pPr>
              <w:numPr>
                <w:ilvl w:val="0"/>
                <w:numId w:val="0"/>
              </w:numPr>
              <w:jc w:val="center"/>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4套</w:t>
            </w:r>
          </w:p>
        </w:tc>
        <w:tc>
          <w:tcPr>
            <w:tcW w:w="2206" w:type="dxa"/>
            <w:noWrap w:val="0"/>
            <w:vAlign w:val="center"/>
          </w:tcPr>
          <w:p>
            <w:pPr>
              <w:numPr>
                <w:ilvl w:val="0"/>
                <w:numId w:val="0"/>
              </w:numPr>
              <w:jc w:val="center"/>
              <w:rPr>
                <w:rFonts w:hint="default"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114000</w:t>
            </w:r>
          </w:p>
        </w:tc>
        <w:tc>
          <w:tcPr>
            <w:tcW w:w="1702" w:type="dxa"/>
            <w:noWrap w:val="0"/>
            <w:vAlign w:val="center"/>
          </w:tcPr>
          <w:p>
            <w:pPr>
              <w:numPr>
                <w:ilvl w:val="0"/>
                <w:numId w:val="0"/>
              </w:numPr>
              <w:jc w:val="center"/>
              <w:rPr>
                <w:rFonts w:hint="eastAsia" w:ascii="宋体" w:hAnsi="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拒绝进口</w:t>
            </w:r>
          </w:p>
        </w:tc>
      </w:tr>
    </w:tbl>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二、用途</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门诊35岁及以上患者测血压</w:t>
      </w:r>
      <w:r>
        <w:rPr>
          <w:rFonts w:hint="eastAsia" w:ascii="宋体" w:hAnsi="宋体" w:cs="宋体"/>
          <w:bCs/>
          <w:color w:val="000000" w:themeColor="text1"/>
          <w:kern w:val="0"/>
          <w:sz w:val="21"/>
          <w:szCs w:val="21"/>
          <w:lang w:val="en-US" w:eastAsia="zh-CN"/>
          <w14:textFill>
            <w14:solidFill>
              <w14:schemeClr w14:val="tx1"/>
            </w14:solidFill>
          </w14:textFill>
        </w:rPr>
        <w:t>。</w:t>
      </w:r>
    </w:p>
    <w:p>
      <w:pPr>
        <w:numPr>
          <w:ilvl w:val="0"/>
          <w:numId w:val="0"/>
        </w:numPr>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三、投标人</w:t>
      </w:r>
      <w:r>
        <w:rPr>
          <w:rFonts w:hint="eastAsia" w:ascii="宋体" w:hAnsi="宋体" w:eastAsia="宋体" w:cs="Times New Roman"/>
          <w:b/>
          <w:bCs/>
          <w:color w:val="000000" w:themeColor="text1"/>
          <w:szCs w:val="21"/>
          <w:lang w:val="en-US" w:eastAsia="zh-CN"/>
          <w14:textFill>
            <w14:solidFill>
              <w14:schemeClr w14:val="tx1"/>
            </w14:solidFill>
          </w14:textFill>
        </w:rPr>
        <w:t>资格要求</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4.近三年内（即至少从2020年</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5.本项目不接受联合体投标，不允许转包分包</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四、</w:t>
      </w:r>
      <w:r>
        <w:rPr>
          <w:rFonts w:hint="eastAsia" w:ascii="宋体" w:hAnsi="宋体" w:cs="Times New Roman"/>
          <w:b/>
          <w:bCs/>
          <w:color w:val="000000" w:themeColor="text1"/>
          <w:szCs w:val="21"/>
          <w:lang w:val="en-US" w:eastAsia="zh-CN"/>
          <w14:textFill>
            <w14:solidFill>
              <w14:schemeClr w14:val="tx1"/>
            </w14:solidFill>
          </w14:textFill>
        </w:rPr>
        <w:t>功能要求及</w:t>
      </w:r>
      <w:r>
        <w:rPr>
          <w:rFonts w:hint="eastAsia" w:ascii="宋体" w:hAnsi="宋体" w:eastAsia="宋体" w:cs="Times New Roman"/>
          <w:b/>
          <w:bCs/>
          <w:color w:val="000000" w:themeColor="text1"/>
          <w:szCs w:val="21"/>
          <w:lang w:val="en-US" w:eastAsia="zh-CN"/>
          <w14:textFill>
            <w14:solidFill>
              <w14:schemeClr w14:val="tx1"/>
            </w14:solidFill>
          </w14:textFill>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满足门诊35岁及以上患者测量血压，自动建立健康电子档案，测量数据自动上传，从而实现无纸化和数据永久保存。</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000000" w:themeColor="text1"/>
          <w:sz w:val="18"/>
          <w:szCs w:val="18"/>
          <w:highlight w:val="yellow"/>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五、技术规格</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（按照下表，编制本项目技术规格偏离表，请勿去掉“</w:t>
      </w:r>
      <w:r>
        <w:rPr>
          <w:rFonts w:hint="eastAsia" w:ascii="宋体" w:hAnsi="宋体" w:eastAsia="宋体" w:cs="宋体"/>
          <w:b/>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numPr>
                <w:ilvl w:val="0"/>
                <w:numId w:val="0"/>
              </w:numPr>
              <w:rPr>
                <w:rFonts w:hint="eastAsia" w:ascii="宋体" w:hAnsi="宋体" w:eastAsia="宋体" w:cs="宋体"/>
                <w:b/>
                <w:bCs w:val="0"/>
                <w:color w:val="000000" w:themeColor="text1"/>
                <w:kern w:val="0"/>
                <w:sz w:val="21"/>
                <w:szCs w:val="21"/>
                <w:lang w:val="en-US" w:eastAsia="zh-CN" w:bidi="ar-SA"/>
                <w14:textFill>
                  <w14:solidFill>
                    <w14:schemeClr w14:val="tx1"/>
                  </w14:solidFill>
                </w14:textFill>
              </w:rPr>
            </w:pPr>
            <w:r>
              <w:rPr>
                <w:rFonts w:hint="eastAsia" w:ascii="宋体" w:hAnsi="宋体"/>
                <w:b/>
                <w:bCs/>
                <w:color w:val="000000" w:themeColor="text1"/>
                <w:szCs w:val="21"/>
                <w14:textFill>
                  <w14:solidFill>
                    <w14:schemeClr w14:val="tx1"/>
                  </w14:solidFill>
                </w14:textFill>
              </w:rPr>
              <w:t>配置清单</w:t>
            </w:r>
            <w:r>
              <w:rPr>
                <w:rFonts w:hint="eastAsia" w:ascii="宋体" w:hAnsi="宋体"/>
                <w:b/>
                <w:bCs/>
                <w:color w:val="000000" w:themeColor="text1"/>
                <w:szCs w:val="21"/>
                <w:lang w:val="en-US" w:eastAsia="zh-CN"/>
                <w14:textFill>
                  <w14:solidFill>
                    <w14:schemeClr w14:val="tx1"/>
                  </w14:solidFill>
                </w14:textFill>
              </w:rPr>
              <w:t xml:space="preserve"> </w:t>
            </w:r>
          </w:p>
        </w:tc>
        <w:tc>
          <w:tcPr>
            <w:tcW w:w="4358" w:type="pct"/>
            <w:noWrap w:val="0"/>
            <w:vAlign w:val="center"/>
          </w:tcPr>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92"/>
              <w:gridCol w:w="9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692" w:type="dxa"/>
                  <w:noWrap/>
                  <w:vAlign w:val="center"/>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配置名称</w:t>
                  </w:r>
                </w:p>
              </w:tc>
              <w:tc>
                <w:tcPr>
                  <w:tcW w:w="945" w:type="dxa"/>
                  <w:noWrap/>
                  <w:vAlign w:val="center"/>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335" w:type="dxa"/>
                  <w:noWrap/>
                  <w:vAlign w:val="center"/>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692" w:type="dxa"/>
                  <w:noWrap/>
                </w:tcPr>
                <w:p>
                  <w:pPr>
                    <w:spacing w:line="288"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远程自测血压管理系统</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医用全自动电子血压计</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触摸平板一体机</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扫码器</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电源适配器</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血压计配套桌椅</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数据线</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2692" w:type="dxa"/>
                  <w:noWrap/>
                </w:tcPr>
                <w:p>
                  <w:pPr>
                    <w:spacing w:line="312" w:lineRule="auto"/>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说明书</w:t>
                  </w:r>
                </w:p>
              </w:tc>
              <w:tc>
                <w:tcPr>
                  <w:tcW w:w="94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335" w:type="dxa"/>
                  <w:noWrap/>
                </w:tcPr>
                <w:p>
                  <w:pPr>
                    <w:spacing w:line="288"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w:t>
                  </w:r>
                </w:p>
              </w:tc>
            </w:tr>
          </w:tbl>
          <w:p>
            <w:pPr>
              <w:pStyle w:val="3"/>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keepNext w:val="0"/>
              <w:keepLines w:val="0"/>
              <w:widowControl/>
              <w:suppressLineNumbers w:val="0"/>
              <w:jc w:val="center"/>
              <w:textAlignment w:val="cente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cs="Times New Roman"/>
                <w:b/>
                <w:color w:val="000000" w:themeColor="text1"/>
                <w:kern w:val="0"/>
                <w:sz w:val="21"/>
                <w:szCs w:val="21"/>
                <w:lang w:eastAsia="zh-CN"/>
                <w14:textFill>
                  <w14:solidFill>
                    <w14:schemeClr w14:val="tx1"/>
                  </w14:solidFill>
                </w14:textFill>
              </w:rPr>
              <w:t>资质要求</w:t>
            </w:r>
          </w:p>
        </w:tc>
        <w:tc>
          <w:tcPr>
            <w:tcW w:w="4358" w:type="pct"/>
            <w:noWrap w:val="0"/>
            <w:vAlign w:val="center"/>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技术参数</w:t>
            </w:r>
          </w:p>
        </w:tc>
        <w:tc>
          <w:tcPr>
            <w:tcW w:w="435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一、远程自测血压管理系统软件技术要求：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▲1、系统开发使用java语言，采用B/S架构，分布性强，维护方便，共享性强。数据上云，安全可靠。跨平台性强，web端，微信端，安卓端，方便运行和维护。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2、系统可以识别患者的体检系统、HIS、公卫系统身份，并将血压、心率及身高体重数据无缝传输到数据平台。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身份识别可通过读取身份证、医保卡、就诊卡、挂号条码或二维码和手机号或扫码等方式，人性化操作界面设计，满足多种人群的需求，并且自动建立健康电子档案，测量数值自动上传，从而实现无纸化和数据永久保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4、支持医生在PC端/微信端登录管理患者数据。</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▲5、同时兼容至少3种品牌的诊室血压计，同时兼容至少3种品牌的身高体重仪。</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6、支持高血压患者从年龄、区域、收缩压、舒张压进行科研/临床决策分析。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7、患者敏感信息加密处理。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8、支持医务人员使用统计，支持设备数量、使用次数统计。</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9、可按日期、按血压级别、危险等级人群分类进行统计监测数据。</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▲10、具有血压风险等级评估、10年心脑血管发病风险评估功能。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▲11、支持自测血压、24小时动态血压、家庭血压、动脉硬化等临床数据导入和分析管理功能。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▲12、患者可通过微信、网站查询检查报告、历史血压数据和用药情况。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▲13、可录入/导入患者其他临床数据（身高体重、血糖、血脂、用药等），并进行统计分析。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14、支持智能提醒设置（血压危险值、间隔时间）、人群分类（血压等级、危险因素、靶器官受损、临床疾患）功能。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▲15、支持测量数据自动上传到医院HIS系统、公卫系统和慢病管理系统。</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无缝对接医院已经上线的血压管理系统。</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大数据监控平台，实时监控所有监测点数据和统计数据。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二、远程自测血压管理系统硬件技术要求：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1、医用全自动电子血压计技术参数: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产</w:t>
            </w:r>
            <w:r>
              <w:rPr>
                <w:rFonts w:hint="eastAsia" w:ascii="宋体" w:hAnsi="宋体" w:eastAsia="宋体" w:cs="宋体"/>
                <w:color w:val="000000" w:themeColor="text1"/>
                <w:kern w:val="0"/>
                <w:sz w:val="21"/>
                <w:szCs w:val="21"/>
                <w14:textFill>
                  <w14:solidFill>
                    <w14:schemeClr w14:val="tx1"/>
                  </w14:solidFill>
                </w14:textFill>
              </w:rPr>
              <w:t>品生产企业需通过 ISO13485及ISO 9001国际质量体系认证，提供认证证明。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为确保临床精度，供应商提供的设备型号必须通过国际标准独立临床认证（ESH或BHS或AAMI）。</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（3）测量原理：示波法。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（4）显示：LED数字显示。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（5）测量位置：左、右臂，适用于各种人群，机体设计更方便孕妇、老年人、残疾人及各种行动不便的病人使用。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（6）可测量手臂周长：18-43厘米。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（7）血压显示范围：0-299mmHg。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（8）血压测量范围：0-290mmHg。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（9）脉率测量范围：30-240次/min。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（10）测量精确：血压精度±3mmHg；脉搏测量精度±5%。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（11）</w:t>
            </w:r>
            <w:r>
              <w:rPr>
                <w:rFonts w:hint="eastAsia" w:ascii="宋体" w:hAnsi="宋体" w:eastAsia="宋体" w:cs="宋体"/>
                <w:color w:val="000000" w:themeColor="text1"/>
                <w:kern w:val="0"/>
                <w:sz w:val="21"/>
                <w:szCs w:val="21"/>
                <w14:textFill>
                  <w14:solidFill>
                    <w14:schemeClr w14:val="tx1"/>
                  </w14:solidFill>
                </w14:textFill>
              </w:rPr>
              <w:t>体积：体积不超过31</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dm³。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测量时间：单次测量时间≤41秒。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kern w:val="0"/>
                <w:sz w:val="21"/>
                <w:szCs w:val="21"/>
                <w14:textFill>
                  <w14:solidFill>
                    <w14:schemeClr w14:val="tx1"/>
                  </w14:solidFill>
                </w14:textFill>
              </w:rPr>
              <w:t>SD值：收缩压标准差≤0.6mmHg,舒张压标准差≤0.6mmHg。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（14）TCBM: 模仿实际佩带袖套的过程，先将腕带收缩至手腕的尺寸，再进行加压。TCBM加压时间短，测量快。可以减轻测量时的疼痛，而且同样的时间内可测量更多的患者。TCBM的耐久性也高。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（15）加压方式：气泵自动加压。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（16）空气控制：</w:t>
            </w:r>
            <w:r>
              <w:rPr>
                <w:rFonts w:hint="eastAsia" w:ascii="宋体" w:hAnsi="宋体" w:eastAsia="宋体" w:cs="宋体"/>
                <w:color w:val="000000" w:themeColor="text1"/>
                <w:sz w:val="21"/>
                <w:szCs w:val="21"/>
                <w14:textFill>
                  <w14:solidFill>
                    <w14:schemeClr w14:val="tx1"/>
                  </w14:solidFill>
                </w14:textFill>
              </w:rPr>
              <w:t>机械排气阀自动减压。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（17）排气方式：</w:t>
            </w:r>
            <w:r>
              <w:rPr>
                <w:rFonts w:hint="eastAsia" w:ascii="宋体" w:hAnsi="宋体" w:eastAsia="宋体" w:cs="宋体"/>
                <w:color w:val="000000" w:themeColor="text1"/>
                <w:sz w:val="21"/>
                <w:szCs w:val="21"/>
                <w14:textFill>
                  <w14:solidFill>
                    <w14:schemeClr w14:val="tx1"/>
                  </w14:solidFill>
                </w14:textFill>
              </w:rPr>
              <w:t>电磁阀快速自动排气。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（18）压力检测装置：电容型压力传感器。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（19）打印装置：热敏打印，自动裁纸。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（20）打印模式：多种模式(高速打印, 位图打印, 图形打印, 列表打印,注释打印，ICT打印，条形码打印，二维码打印)。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（21）IHB功能：检测不规则脉波率，不规则脉搏标记。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超压保护：压力达到300mmHg时，急速排气保护。排气时间不大于10秒。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（23）通信数据传输功能：测量设备具备与上位机通讯功能，且提供设备通讯协议。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（24）语音播报功能：普通话指导测量,</w:t>
            </w:r>
            <w:r>
              <w:rPr>
                <w:rFonts w:hint="eastAsia" w:ascii="宋体" w:hAnsi="宋体" w:eastAsia="宋体" w:cs="宋体"/>
                <w:color w:val="000000" w:themeColor="text1"/>
                <w:sz w:val="21"/>
                <w:szCs w:val="21"/>
                <w14:textFill>
                  <w14:solidFill>
                    <w14:schemeClr w14:val="tx1"/>
                  </w14:solidFill>
                </w14:textFill>
              </w:rPr>
              <w:t>LED显示测量状态。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防盗：带防盗安全锁孔。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脉搏检测音：测量时按脉搏检测的拍数同步发声。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2、触摸平板一体机技术参数: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▲（1）支持安卓系统。</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（2）电容触摸硬屏尺寸≤10.1寸。</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（3）支持≥1280*800/1024*768分辨率。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（4）支持工作温度：-10度-60度、金属外壳。</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▲（5）支持接口：COM*2、USB*1、USBOTG*1、WiFi*1、LAN*1。</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（6）支持全自动血压计通信接口。</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▲（7）支持远程自测血压管理系统。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3、扫码器技术参数：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（1）接口类型：RJ-45 水晶头。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（2）系统接口：RS-232 串口、USB 键盘、USB 虚拟串口。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（3）提示方式：LED 指示灯、蜂鸣器、喇叭（可选）。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▲（4）触发方式：手动触发，红外感应触发。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（5）设置方式：手动（扫描设置条码）。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（6）扫描介质：纸质，金属，屏幕。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（7）解码性能：图像扫描，视场角为水平≥64°，垂直≥44°，扫描角度为±70°，±70°，360°（左右、前后、转动），运动容差为识读13mil UPC-E 条码最高可达1.27m/s，印刷对比度为最低20%反射差。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（8）支持工作温度：-20°C 至55°C（工作），-20°C 至75°C（存储），湿度：5%至95%（无冷凝）。</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 w:val="18"/>
          <w:szCs w:val="18"/>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六、商务条款</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（按照下表，编制本项目商务条款偏离表，请勿去掉“</w:t>
      </w:r>
      <w:r>
        <w:rPr>
          <w:rFonts w:hint="eastAsia" w:ascii="宋体" w:hAnsi="宋体" w:eastAsia="宋体" w:cs="宋体"/>
          <w:b/>
          <w:color w:val="000000" w:themeColor="text1"/>
          <w:kern w:val="0"/>
          <w:sz w:val="18"/>
          <w:szCs w:val="18"/>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18"/>
          <w:szCs w:val="18"/>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lang w:eastAsia="zh-CN"/>
                <w14:textFill>
                  <w14:solidFill>
                    <w14:schemeClr w14:val="tx1"/>
                  </w14:solidFill>
                </w14:textFill>
              </w:rPr>
              <w:t>内容</w:t>
            </w:r>
          </w:p>
        </w:tc>
        <w:tc>
          <w:tcPr>
            <w:tcW w:w="7932" w:type="dxa"/>
            <w:tcBorders>
              <w:left w:val="single" w:color="auto" w:sz="4" w:space="0"/>
            </w:tcBorders>
            <w:noWrap w:val="0"/>
            <w:vAlign w:val="top"/>
          </w:tcPr>
          <w:p>
            <w:pPr>
              <w:jc w:val="center"/>
              <w:rPr>
                <w:rFonts w:hint="eastAsia" w:ascii="宋体" w:hAnsi="宋体"/>
                <w:b/>
                <w:color w:val="000000" w:themeColor="text1"/>
                <w:kern w:val="0"/>
                <w:sz w:val="21"/>
                <w:szCs w:val="21"/>
                <w:lang w:eastAsia="zh-CN"/>
                <w14:textFill>
                  <w14:solidFill>
                    <w14:schemeClr w14:val="tx1"/>
                  </w14:solidFill>
                </w14:textFill>
              </w:rPr>
            </w:pPr>
            <w:r>
              <w:rPr>
                <w:rFonts w:hint="eastAsia" w:ascii="宋体" w:hAnsi="宋体"/>
                <w:b/>
                <w:color w:val="000000" w:themeColor="text1"/>
                <w:kern w:val="0"/>
                <w:sz w:val="21"/>
                <w:szCs w:val="21"/>
                <w:lang w:eastAsia="zh-CN"/>
                <w14:textFill>
                  <w14:solidFill>
                    <w14:schemeClr w14:val="tx1"/>
                  </w14:solidFill>
                </w14:textFill>
              </w:rPr>
              <w:t>招标商务条款</w:t>
            </w:r>
            <w:r>
              <w:rPr>
                <w:rFonts w:hint="eastAsia" w:ascii="宋体" w:hAnsi="宋体"/>
                <w:b/>
                <w:color w:val="000000" w:themeColor="text1"/>
                <w:kern w:val="0"/>
                <w:sz w:val="21"/>
                <w:szCs w:val="2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售后服务</w:t>
            </w:r>
          </w:p>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要求</w:t>
            </w:r>
          </w:p>
        </w:tc>
        <w:tc>
          <w:tcPr>
            <w:tcW w:w="7932" w:type="dxa"/>
            <w:noWrap w:val="0"/>
            <w:vAlign w:val="center"/>
          </w:tcPr>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1、制造商或代理商针对本产品出具的售后服务承诺书；</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2、设备安装调试验收合格后原厂质保</w:t>
            </w:r>
            <w:r>
              <w:rPr>
                <w:rFonts w:hint="eastAsia" w:ascii="宋体" w:hAnsi="宋体" w:cs="宋体"/>
                <w:bCs/>
                <w:color w:val="000000" w:themeColor="text1"/>
                <w:szCs w:val="21"/>
                <w:highlight w:val="yellow"/>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年。投标人中标后需提供与设备生产厂家签订的该设备</w:t>
            </w:r>
            <w:r>
              <w:rPr>
                <w:rFonts w:hint="eastAsia" w:ascii="宋体" w:hAnsi="宋体" w:cs="宋体"/>
                <w:bCs/>
                <w:color w:val="000000" w:themeColor="text1"/>
                <w:szCs w:val="21"/>
                <w:highlight w:val="yellow"/>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年质保协议原件。在质保期内，设备零配件及其维修的有关费用全免，终身负责维修；软件终身免费升级；</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4、提供技术资料、中文操作手册；</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验收方式</w:t>
            </w:r>
          </w:p>
        </w:tc>
        <w:tc>
          <w:tcPr>
            <w:tcW w:w="7932" w:type="dxa"/>
            <w:noWrap w:val="0"/>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1、设备安装调试正常使用后由使用科室、设备科、中标</w:t>
            </w:r>
            <w:r>
              <w:rPr>
                <w:rFonts w:hint="eastAsia" w:ascii="宋体" w:hAnsi="宋体"/>
                <w:color w:val="000000" w:themeColor="text1"/>
                <w:szCs w:val="21"/>
                <w:highlight w:val="none"/>
                <w:lang w:eastAsia="zh-CN"/>
                <w14:textFill>
                  <w14:solidFill>
                    <w14:schemeClr w14:val="tx1"/>
                  </w14:solidFill>
                </w14:textFill>
              </w:rPr>
              <w:t>方</w:t>
            </w:r>
            <w:r>
              <w:rPr>
                <w:rFonts w:hint="eastAsia" w:ascii="宋体" w:hAnsi="宋体"/>
                <w:color w:val="000000" w:themeColor="text1"/>
                <w:szCs w:val="21"/>
                <w:highlight w:val="none"/>
                <w14:textFill>
                  <w14:solidFill>
                    <w14:schemeClr w14:val="tx1"/>
                  </w14:solidFill>
                </w14:textFill>
              </w:rPr>
              <w:t>代表在场进行验收，保修期从验收合格之日起计。</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2、产品质量和安装调试检验标准遵照国家相关规定和最新标准执行。验收中如发现有质量不合格或型号规格、数量等与送货清单不符等情况，</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应免费更换或补齐，并承担因此发生的违约责任。</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货物经过双方检验认可后，签署验收报告。</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3、当满足以下条件时，</w:t>
            </w:r>
            <w:r>
              <w:rPr>
                <w:rFonts w:hint="eastAsia" w:ascii="宋体" w:hAnsi="宋体"/>
                <w:color w:val="000000" w:themeColor="text1"/>
                <w:szCs w:val="21"/>
                <w:highlight w:val="none"/>
                <w:lang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才向</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签发货物验收报告：</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已按照合同规定提供了全部产品及完整的技术资料。</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b、货物符合招标文件技术规格书的要求，性能满足要求。</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c、货物具备产品合格证。</w:t>
            </w:r>
          </w:p>
          <w:p>
            <w:pPr>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d、提供维修手册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售后服务承诺书</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中文操作手册。</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4、若</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单位对中标产品质量有争议，将由</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委托第三方质量检测部门按照招标文书进行验收确认，委托检测验收费用由中标方负责支付。出具检测验收报告合格，</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将履行采购合同；若检测验收报告不合格，</w:t>
            </w:r>
            <w:r>
              <w:rPr>
                <w:rFonts w:hint="eastAsia" w:ascii="宋体" w:hAnsi="宋体"/>
                <w:color w:val="000000" w:themeColor="text1"/>
                <w:szCs w:val="21"/>
                <w:highlight w:val="none"/>
                <w:lang w:val="en-US" w:eastAsia="zh-CN"/>
                <w14:textFill>
                  <w14:solidFill>
                    <w14:schemeClr w14:val="tx1"/>
                  </w14:solidFill>
                </w14:textFill>
              </w:rPr>
              <w:t>采购单位</w:t>
            </w:r>
            <w:r>
              <w:rPr>
                <w:rFonts w:hint="eastAsia" w:ascii="宋体" w:hAnsi="宋体"/>
                <w:color w:val="000000" w:themeColor="text1"/>
                <w:szCs w:val="21"/>
                <w:highlight w:val="none"/>
                <w14:textFill>
                  <w14:solidFill>
                    <w14:schemeClr w14:val="tx1"/>
                  </w14:solidFill>
                </w14:textFill>
              </w:rPr>
              <w:t>将取消采购合同，由</w:t>
            </w:r>
            <w:r>
              <w:rPr>
                <w:rFonts w:hint="eastAsia" w:ascii="宋体" w:hAnsi="宋体"/>
                <w:color w:val="000000" w:themeColor="text1"/>
                <w:szCs w:val="21"/>
                <w:highlight w:val="none"/>
                <w:lang w:val="en-US" w:eastAsia="zh-CN"/>
                <w14:textFill>
                  <w14:solidFill>
                    <w14:schemeClr w14:val="tx1"/>
                  </w14:solidFill>
                </w14:textFill>
              </w:rPr>
              <w:t>中标方</w:t>
            </w:r>
            <w:r>
              <w:rPr>
                <w:rFonts w:hint="eastAsia" w:ascii="宋体" w:hAnsi="宋体"/>
                <w:color w:val="000000" w:themeColor="text1"/>
                <w:szCs w:val="21"/>
                <w:highlight w:val="none"/>
                <w14:textFill>
                  <w14:solidFill>
                    <w14:schemeClr w14:val="tx1"/>
                  </w14:solidFill>
                </w14:textFill>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报价要求</w:t>
            </w:r>
          </w:p>
        </w:tc>
        <w:tc>
          <w:tcPr>
            <w:tcW w:w="7932" w:type="dxa"/>
            <w:noWrap w:val="0"/>
            <w:vAlign w:val="top"/>
          </w:tcPr>
          <w:p>
            <w:pPr>
              <w:spacing w:line="240" w:lineRule="auto"/>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付款方式</w:t>
            </w:r>
          </w:p>
        </w:tc>
        <w:tc>
          <w:tcPr>
            <w:tcW w:w="7932" w:type="dxa"/>
            <w:noWrap w:val="0"/>
            <w:vAlign w:val="top"/>
          </w:tcPr>
          <w:p>
            <w:pPr>
              <w:spacing w:line="240" w:lineRule="auto"/>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2、中标人提供全额发票，经验收合格，办理入库后，采购人在收到履约保证金后15个工作日内，向中标人支付合同全款。</w:t>
            </w:r>
          </w:p>
          <w:p>
            <w:pP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交货期</w:t>
            </w:r>
          </w:p>
        </w:tc>
        <w:tc>
          <w:tcPr>
            <w:tcW w:w="7932" w:type="dxa"/>
            <w:noWrap w:val="0"/>
            <w:vAlign w:val="center"/>
          </w:tcPr>
          <w:p>
            <w:pPr>
              <w:tabs>
                <w:tab w:val="left" w:pos="0"/>
              </w:tabs>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逾期交货采购人有权按照相关规定处罚。</w:t>
            </w:r>
            <w:r>
              <w:rPr>
                <w:rFonts w:hint="eastAsia" w:ascii="宋体" w:hAnsi="宋体"/>
                <w:color w:val="000000" w:themeColor="text1"/>
                <w:szCs w:val="21"/>
                <w:highlight w:val="none"/>
                <w:lang w:val="en-US" w:eastAsia="zh-CN"/>
                <w14:textFill>
                  <w14:solidFill>
                    <w14:schemeClr w14:val="tx1"/>
                  </w14:solidFill>
                </w14:textFill>
              </w:rPr>
              <w:t>中标方</w:t>
            </w:r>
            <w:r>
              <w:rPr>
                <w:rFonts w:hint="eastAsia" w:ascii="宋体" w:hAnsi="宋体"/>
                <w:bCs/>
                <w:color w:val="000000" w:themeColor="text1"/>
                <w:szCs w:val="21"/>
                <w:highlight w:val="none"/>
                <w14:textFill>
                  <w14:solidFill>
                    <w14:schemeClr w14:val="tx1"/>
                  </w14:solidFill>
                </w14:textFill>
              </w:rPr>
              <w:t>必须承担的设备运输、安装调试、验收检测和提供设备操作说明书、图纸等其他类似的义务。</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14:textFill>
                  <w14:solidFill>
                    <w14:schemeClr w14:val="tx1"/>
                  </w14:solidFill>
                </w14:textFill>
              </w:rPr>
              <w:t>设备和材料</w:t>
            </w:r>
            <w:r>
              <w:rPr>
                <w:rFonts w:hint="eastAsia" w:ascii="宋体" w:hAnsi="宋体" w:eastAsia="宋体" w:cs="Times New Roman"/>
                <w:bCs/>
                <w:color w:val="000000" w:themeColor="text1"/>
                <w:szCs w:val="21"/>
                <w:highlight w:val="none"/>
                <w:lang w:eastAsia="zh-CN"/>
                <w14:textFill>
                  <w14:solidFill>
                    <w14:schemeClr w14:val="tx1"/>
                  </w14:solidFill>
                </w14:textFill>
              </w:rPr>
              <w:t>须为</w:t>
            </w:r>
            <w:r>
              <w:rPr>
                <w:rFonts w:hint="eastAsia" w:ascii="宋体" w:hAnsi="宋体" w:eastAsia="宋体" w:cs="Times New Roman"/>
                <w:bCs/>
                <w:color w:val="000000" w:themeColor="text1"/>
                <w:szCs w:val="21"/>
                <w:highlight w:val="none"/>
                <w14:textFill>
                  <w14:solidFill>
                    <w14:schemeClr w14:val="tx1"/>
                  </w14:solidFill>
                </w14:textFill>
              </w:rPr>
              <w:t>全新，包装方式按照原厂出厂原标准</w:t>
            </w:r>
            <w:r>
              <w:rPr>
                <w:rFonts w:hint="eastAsia" w:ascii="宋体" w:hAnsi="宋体" w:eastAsia="宋体" w:cs="Times New Roman"/>
                <w:bCs/>
                <w:color w:val="000000" w:themeColor="text1"/>
                <w:szCs w:val="21"/>
                <w:highlight w:val="none"/>
                <w:lang w:eastAsia="zh-CN"/>
                <w14:textFill>
                  <w14:solidFill>
                    <w14:schemeClr w14:val="tx1"/>
                  </w14:solidFill>
                </w14:textFill>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7"/>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3"/>
        <w:rPr>
          <w:rFonts w:hint="eastAsia" w:ascii="宋体" w:hAnsi="宋体"/>
          <w:b/>
          <w:bCs/>
          <w:szCs w:val="21"/>
          <w:lang w:val="en-US" w:eastAsia="zh-CN"/>
        </w:rPr>
      </w:pPr>
    </w:p>
    <w:p>
      <w:pPr>
        <w:pStyle w:val="23"/>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10"/>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2"/>
        <w:rPr>
          <w:rFonts w:hint="eastAsia" w:hAnsi="宋体"/>
          <w:bCs/>
          <w:color w:val="000000"/>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2"/>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SZSZXYJHYY202308073</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rPr>
              <w:t>远程自测血压管理系统</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7" w:name="_Toc6350"/>
      <w:bookmarkStart w:id="8" w:name="_Toc116913827"/>
      <w:bookmarkStart w:id="9" w:name="_Toc435514866"/>
      <w:bookmarkStart w:id="10" w:name="_Toc275865611"/>
      <w:bookmarkStart w:id="11" w:name="_Toc192662843"/>
      <w:bookmarkStart w:id="12" w:name="_Toc435515306"/>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7"/>
      <w:bookmarkEnd w:id="8"/>
      <w:bookmarkEnd w:id="9"/>
      <w:bookmarkEnd w:id="10"/>
      <w:bookmarkEnd w:id="11"/>
      <w:bookmarkEnd w:id="12"/>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2079"/>
        <w:gridCol w:w="753"/>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4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90"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207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53"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29" w:type="dxa"/>
            <w:noWrap w:val="0"/>
            <w:vAlign w:val="center"/>
          </w:tcPr>
          <w:p>
            <w:pPr>
              <w:spacing w:line="24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462"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239" w:type="dxa"/>
            <w:noWrap w:val="0"/>
            <w:vAlign w:val="center"/>
          </w:tcPr>
          <w:p>
            <w:pPr>
              <w:spacing w:line="24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noWrap w:val="0"/>
            <w:vAlign w:val="center"/>
          </w:tcPr>
          <w:p>
            <w:pPr>
              <w:spacing w:line="24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40" w:type="dxa"/>
            <w:noWrap w:val="0"/>
            <w:vAlign w:val="center"/>
          </w:tcPr>
          <w:p>
            <w:pPr>
              <w:spacing w:line="240" w:lineRule="auto"/>
              <w:jc w:val="center"/>
              <w:rPr>
                <w:rFonts w:hint="eastAsia" w:ascii="宋体" w:hAnsi="宋体" w:cs="Arial"/>
                <w:color w:val="000000"/>
                <w:kern w:val="0"/>
                <w:sz w:val="18"/>
                <w:szCs w:val="18"/>
              </w:rPr>
            </w:pPr>
          </w:p>
        </w:tc>
        <w:tc>
          <w:tcPr>
            <w:tcW w:w="1290" w:type="dxa"/>
            <w:noWrap w:val="0"/>
            <w:vAlign w:val="center"/>
          </w:tcPr>
          <w:p>
            <w:pPr>
              <w:spacing w:line="240" w:lineRule="auto"/>
              <w:jc w:val="center"/>
              <w:rPr>
                <w:rFonts w:hint="eastAsia" w:ascii="宋体" w:hAnsi="宋体" w:cs="Arial"/>
                <w:color w:val="000000"/>
                <w:kern w:val="0"/>
                <w:sz w:val="18"/>
                <w:szCs w:val="18"/>
              </w:rPr>
            </w:pPr>
          </w:p>
        </w:tc>
        <w:tc>
          <w:tcPr>
            <w:tcW w:w="2079" w:type="dxa"/>
            <w:noWrap w:val="0"/>
            <w:vAlign w:val="center"/>
          </w:tcPr>
          <w:p>
            <w:pPr>
              <w:spacing w:line="240" w:lineRule="auto"/>
              <w:jc w:val="center"/>
              <w:rPr>
                <w:rFonts w:hint="eastAsia" w:ascii="宋体" w:hAnsi="宋体" w:cs="Arial"/>
                <w:color w:val="000000"/>
                <w:kern w:val="0"/>
                <w:sz w:val="18"/>
                <w:szCs w:val="18"/>
              </w:rPr>
            </w:pPr>
          </w:p>
        </w:tc>
        <w:tc>
          <w:tcPr>
            <w:tcW w:w="753" w:type="dxa"/>
            <w:noWrap w:val="0"/>
            <w:vAlign w:val="center"/>
          </w:tcPr>
          <w:p>
            <w:pPr>
              <w:spacing w:line="240" w:lineRule="auto"/>
              <w:jc w:val="center"/>
              <w:rPr>
                <w:rFonts w:hint="eastAsia" w:ascii="宋体" w:hAnsi="宋体" w:cs="Arial"/>
                <w:color w:val="000000"/>
                <w:kern w:val="0"/>
                <w:sz w:val="18"/>
                <w:szCs w:val="18"/>
              </w:rPr>
            </w:pPr>
          </w:p>
        </w:tc>
        <w:tc>
          <w:tcPr>
            <w:tcW w:w="829" w:type="dxa"/>
            <w:noWrap w:val="0"/>
            <w:vAlign w:val="center"/>
          </w:tcPr>
          <w:p>
            <w:pPr>
              <w:spacing w:line="240" w:lineRule="auto"/>
              <w:jc w:val="center"/>
              <w:rPr>
                <w:rFonts w:hint="eastAsia" w:ascii="宋体" w:hAnsi="宋体" w:cs="Arial"/>
                <w:color w:val="000000"/>
                <w:kern w:val="0"/>
                <w:sz w:val="18"/>
                <w:szCs w:val="18"/>
              </w:rPr>
            </w:pPr>
          </w:p>
        </w:tc>
        <w:tc>
          <w:tcPr>
            <w:tcW w:w="1462" w:type="dxa"/>
            <w:noWrap w:val="0"/>
            <w:vAlign w:val="center"/>
          </w:tcPr>
          <w:p>
            <w:pPr>
              <w:spacing w:line="240" w:lineRule="auto"/>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40" w:type="dxa"/>
            <w:noWrap w:val="0"/>
            <w:vAlign w:val="center"/>
          </w:tcPr>
          <w:p>
            <w:pPr>
              <w:spacing w:line="360" w:lineRule="auto"/>
              <w:jc w:val="center"/>
              <w:rPr>
                <w:rFonts w:hint="eastAsia" w:ascii="宋体" w:hAnsi="宋体" w:cs="Arial"/>
                <w:color w:val="000000"/>
                <w:kern w:val="0"/>
                <w:sz w:val="18"/>
                <w:szCs w:val="18"/>
              </w:rPr>
            </w:pPr>
          </w:p>
        </w:tc>
        <w:tc>
          <w:tcPr>
            <w:tcW w:w="1290" w:type="dxa"/>
            <w:noWrap w:val="0"/>
            <w:vAlign w:val="center"/>
          </w:tcPr>
          <w:p>
            <w:pPr>
              <w:spacing w:line="360" w:lineRule="auto"/>
              <w:jc w:val="center"/>
              <w:rPr>
                <w:rFonts w:hint="eastAsia" w:ascii="宋体" w:hAnsi="宋体" w:cs="Arial"/>
                <w:color w:val="000000"/>
                <w:kern w:val="0"/>
                <w:sz w:val="18"/>
                <w:szCs w:val="18"/>
              </w:rPr>
            </w:pPr>
          </w:p>
        </w:tc>
        <w:tc>
          <w:tcPr>
            <w:tcW w:w="2079" w:type="dxa"/>
            <w:noWrap w:val="0"/>
            <w:vAlign w:val="center"/>
          </w:tcPr>
          <w:p>
            <w:pPr>
              <w:spacing w:line="360" w:lineRule="auto"/>
              <w:jc w:val="center"/>
              <w:rPr>
                <w:rFonts w:hint="eastAsia" w:ascii="宋体" w:hAnsi="宋体" w:cs="Arial"/>
                <w:color w:val="000000"/>
                <w:kern w:val="0"/>
                <w:sz w:val="18"/>
                <w:szCs w:val="18"/>
              </w:rPr>
            </w:pPr>
          </w:p>
        </w:tc>
        <w:tc>
          <w:tcPr>
            <w:tcW w:w="753" w:type="dxa"/>
            <w:noWrap w:val="0"/>
            <w:vAlign w:val="center"/>
          </w:tcPr>
          <w:p>
            <w:pPr>
              <w:spacing w:line="360" w:lineRule="auto"/>
              <w:jc w:val="center"/>
              <w:rPr>
                <w:rFonts w:hint="eastAsia" w:ascii="宋体" w:hAnsi="宋体" w:cs="Arial"/>
                <w:color w:val="000000"/>
                <w:kern w:val="0"/>
                <w:sz w:val="18"/>
                <w:szCs w:val="18"/>
              </w:rPr>
            </w:pPr>
          </w:p>
        </w:tc>
        <w:tc>
          <w:tcPr>
            <w:tcW w:w="829" w:type="dxa"/>
            <w:noWrap w:val="0"/>
            <w:vAlign w:val="center"/>
          </w:tcPr>
          <w:p>
            <w:pPr>
              <w:spacing w:line="360" w:lineRule="auto"/>
              <w:jc w:val="center"/>
              <w:rPr>
                <w:rFonts w:hint="eastAsia" w:ascii="宋体" w:hAnsi="宋体" w:cs="Arial"/>
                <w:color w:val="000000"/>
                <w:kern w:val="0"/>
                <w:sz w:val="18"/>
                <w:szCs w:val="18"/>
              </w:rPr>
            </w:pPr>
          </w:p>
        </w:tc>
        <w:tc>
          <w:tcPr>
            <w:tcW w:w="1462"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239"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68150AE1"/>
    <w:multiLevelType w:val="singleLevel"/>
    <w:tmpl w:val="68150AE1"/>
    <w:lvl w:ilvl="0" w:tentative="0">
      <w:start w:val="16"/>
      <w:numFmt w:val="decimal"/>
      <w:suff w:val="nothing"/>
      <w:lvlText w:val="%1、"/>
      <w:lvlJc w:val="left"/>
      <w:rPr>
        <w:rFonts w:hint="default" w:ascii="宋体" w:hAnsi="宋体" w:eastAsia="宋体" w:cs="宋体"/>
        <w:b w:val="0"/>
        <w:bCs w:val="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5F7D5E"/>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1F0E8F"/>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next w:val="2"/>
    <w:qFormat/>
    <w:uiPriority w:val="0"/>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23</TotalTime>
  <ScaleCrop>false</ScaleCrop>
  <LinksUpToDate>false</LinksUpToDate>
  <CharactersWithSpaces>24425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2023-08-10T09:25:27Z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1FACF3F5CFB640E19EF146A3C0ABC323_13</vt:lpwstr>
  </property>
</Properties>
</file>