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70</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SZSZXYJHYY202307070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079"/>
        <w:gridCol w:w="1245"/>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0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20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鼻内窥镜</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r>
              <w:rPr>
                <w:rFonts w:hint="eastAsia" w:cs="Times New Roman"/>
                <w:sz w:val="18"/>
                <w:szCs w:val="18"/>
                <w:lang w:val="en-US" w:eastAsia="zh-CN"/>
              </w:rPr>
              <w:t>2</w:t>
            </w:r>
            <w:r>
              <w:rPr>
                <w:rFonts w:hint="eastAsia" w:ascii="Times New Roman" w:hAnsi="Times New Roman" w:eastAsia="宋体" w:cs="Times New Roman"/>
                <w:sz w:val="18"/>
                <w:szCs w:val="18"/>
                <w:lang w:val="en-US" w:eastAsia="zh-CN"/>
              </w:rPr>
              <w:t>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14</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8月4日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7"/>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8"/>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8"/>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序号</w:t>
            </w:r>
          </w:p>
        </w:tc>
        <w:tc>
          <w:tcPr>
            <w:tcW w:w="2325" w:type="dxa"/>
            <w:gridSpan w:val="2"/>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评分因素</w:t>
            </w:r>
          </w:p>
        </w:tc>
        <w:tc>
          <w:tcPr>
            <w:tcW w:w="465"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分值</w:t>
            </w:r>
          </w:p>
        </w:tc>
        <w:tc>
          <w:tcPr>
            <w:tcW w:w="6303"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both"/>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一</w:t>
            </w:r>
          </w:p>
        </w:tc>
        <w:tc>
          <w:tcPr>
            <w:tcW w:w="1080" w:type="dxa"/>
            <w:vMerge w:val="restart"/>
            <w:noWrap w:val="0"/>
            <w:vAlign w:val="center"/>
          </w:tcPr>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技术部分</w:t>
            </w: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w:t>
            </w:r>
            <w:r>
              <w:rPr>
                <w:rFonts w:hint="eastAsia" w:ascii="宋体" w:hAnsi="宋体" w:eastAsia="宋体" w:cs="Arial"/>
                <w:color w:val="000000" w:themeColor="text1"/>
                <w:kern w:val="0"/>
                <w:szCs w:val="21"/>
                <w:lang w:val="en-US" w:eastAsia="zh-CN"/>
                <w14:textFill>
                  <w14:solidFill>
                    <w14:schemeClr w14:val="tx1"/>
                  </w14:solidFill>
                </w14:textFill>
              </w:rPr>
              <w:t>41分</w:t>
            </w:r>
            <w:r>
              <w:rPr>
                <w:rFonts w:hint="eastAsia" w:ascii="宋体" w:hAnsi="宋体" w:eastAsia="宋体" w:cs="Arial"/>
                <w:color w:val="000000" w:themeColor="text1"/>
                <w:kern w:val="0"/>
                <w:szCs w:val="21"/>
                <w:lang w:eastAsia="zh-CN"/>
                <w14:textFill>
                  <w14:solidFill>
                    <w14:schemeClr w14:val="tx1"/>
                  </w14:solidFill>
                </w14:textFill>
              </w:rPr>
              <w:t>）</w:t>
            </w:r>
          </w:p>
        </w:tc>
        <w:tc>
          <w:tcPr>
            <w:tcW w:w="1245" w:type="dxa"/>
            <w:noWrap w:val="0"/>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w:t>
            </w:r>
            <w:r>
              <w:rPr>
                <w:rFonts w:hint="eastAsia"/>
                <w:color w:val="000000" w:themeColor="text1"/>
                <w:lang w:eastAsia="zh-CN"/>
                <w14:textFill>
                  <w14:solidFill>
                    <w14:schemeClr w14:val="tx1"/>
                  </w14:solidFill>
                </w14:textFill>
              </w:rPr>
              <w:t>规格偏离</w:t>
            </w:r>
            <w:r>
              <w:rPr>
                <w:rFonts w:hint="eastAsia"/>
                <w:color w:val="000000" w:themeColor="text1"/>
                <w14:textFill>
                  <w14:solidFill>
                    <w14:schemeClr w14:val="tx1"/>
                  </w14:solidFill>
                </w14:textFill>
              </w:rPr>
              <w:t>情况</w:t>
            </w:r>
          </w:p>
          <w:p>
            <w:pPr>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投标人应如实填写《技术规格偏离表》，各项技术参数指标及要求全部满足的得</w:t>
            </w:r>
            <w:r>
              <w:rPr>
                <w:rFonts w:hint="eastAsia" w:cs="Times New Roman"/>
                <w:color w:val="000000" w:themeColor="text1"/>
                <w:lang w:val="en-US" w:eastAsia="zh-CN"/>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分；</w:t>
            </w:r>
            <w:r>
              <w:rPr>
                <w:rFonts w:hint="eastAsia" w:ascii="Times New Roman" w:hAnsi="Times New Roman" w:eastAsia="宋体" w:cs="Times New Roman"/>
                <w:color w:val="000000" w:themeColor="text1"/>
                <w:lang w:eastAsia="zh-CN"/>
                <w14:textFill>
                  <w14:solidFill>
                    <w14:schemeClr w14:val="tx1"/>
                  </w14:solidFill>
                </w14:textFill>
              </w:rPr>
              <w:t>带</w:t>
            </w:r>
            <w:r>
              <w:rPr>
                <w:rFonts w:hint="eastAsia" w:ascii="Times New Roman" w:hAnsi="Times New Roman" w:eastAsia="宋体" w:cs="Times New Roman"/>
                <w:color w:val="000000" w:themeColor="text1"/>
                <w14:textFill>
                  <w14:solidFill>
                    <w14:schemeClr w14:val="tx1"/>
                  </w14:solidFill>
                </w14:textFill>
              </w:rPr>
              <w:t>“▲”为重要技术</w:t>
            </w:r>
            <w:r>
              <w:rPr>
                <w:rFonts w:hint="eastAsia" w:ascii="Times New Roman" w:hAnsi="Times New Roman" w:eastAsia="宋体" w:cs="Times New Roman"/>
                <w:color w:val="000000" w:themeColor="text1"/>
                <w:lang w:eastAsia="zh-CN"/>
                <w14:textFill>
                  <w14:solidFill>
                    <w14:schemeClr w14:val="tx1"/>
                  </w14:solidFill>
                </w14:textFill>
              </w:rPr>
              <w:t>参数</w:t>
            </w:r>
            <w:r>
              <w:rPr>
                <w:rFonts w:hint="eastAsia" w:ascii="Times New Roman" w:hAnsi="Times New Roman" w:eastAsia="宋体" w:cs="Times New Roman"/>
                <w:color w:val="000000" w:themeColor="text1"/>
                <w14:textFill>
                  <w14:solidFill>
                    <w14:schemeClr w14:val="tx1"/>
                  </w14:solidFill>
                </w14:textFill>
              </w:rPr>
              <w:t>每负偏离一项扣5分；其他技术</w:t>
            </w:r>
            <w:r>
              <w:rPr>
                <w:rFonts w:hint="eastAsia" w:ascii="Times New Roman" w:hAnsi="Times New Roman" w:eastAsia="宋体" w:cs="Times New Roman"/>
                <w:color w:val="000000" w:themeColor="text1"/>
                <w:lang w:eastAsia="zh-CN"/>
                <w14:textFill>
                  <w14:solidFill>
                    <w14:schemeClr w14:val="tx1"/>
                  </w14:solidFill>
                </w14:textFill>
              </w:rPr>
              <w:t>参数</w:t>
            </w:r>
            <w:r>
              <w:rPr>
                <w:rFonts w:hint="eastAsia" w:ascii="Times New Roman" w:hAnsi="Times New Roman" w:eastAsia="宋体" w:cs="Times New Roman"/>
                <w:color w:val="000000" w:themeColor="text1"/>
                <w14:textFill>
                  <w14:solidFill>
                    <w14:schemeClr w14:val="tx1"/>
                  </w14:solidFill>
                </w14:textFill>
              </w:rPr>
              <w:t>每负偏离一项扣1分；</w:t>
            </w:r>
            <w:r>
              <w:rPr>
                <w:rFonts w:hint="eastAsia" w:ascii="Times New Roman" w:hAnsi="Times New Roman" w:eastAsia="宋体" w:cs="Times New Roman"/>
                <w:color w:val="000000" w:themeColor="text1"/>
                <w:lang w:val="zh-CN" w:eastAsia="zh-CN"/>
                <w14:textFill>
                  <w14:solidFill>
                    <w14:schemeClr w14:val="tx1"/>
                  </w14:solidFill>
                </w14:textFill>
              </w:rPr>
              <w:t>未响应参数视为负偏离，</w:t>
            </w:r>
            <w:r>
              <w:rPr>
                <w:rFonts w:hint="eastAsia" w:ascii="Times New Roman" w:hAnsi="Times New Roman" w:eastAsia="宋体" w:cs="Times New Roman"/>
                <w:color w:val="000000" w:themeColor="text1"/>
                <w14:textFill>
                  <w14:solidFill>
                    <w14:schemeClr w14:val="tx1"/>
                  </w14:solidFill>
                </w14:textFill>
              </w:rPr>
              <w:t>扣1分；扣完为止。接受正偏离但不加分</w:t>
            </w:r>
            <w:r>
              <w:rPr>
                <w:rFonts w:hint="eastAsia" w:ascii="Times New Roman" w:hAnsi="Times New Roman" w:eastAsia="宋体" w:cs="Times New Roman"/>
                <w:color w:val="000000" w:themeColor="text1"/>
                <w:lang w:eastAsia="zh-CN"/>
                <w14:textFill>
                  <w14:solidFill>
                    <w14:schemeClr w14:val="tx1"/>
                  </w14:solidFill>
                </w14:textFill>
              </w:rPr>
              <w:t>。</w:t>
            </w:r>
          </w:p>
          <w:p>
            <w:pPr>
              <w:pStyle w:val="29"/>
              <w:spacing w:line="240" w:lineRule="auto"/>
              <w:ind w:firstLine="0" w:firstLineChars="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000000" w:themeColor="text1"/>
                <w:lang w:eastAsia="zh-CN"/>
                <w14:textFill>
                  <w14:solidFill>
                    <w14:schemeClr w14:val="tx1"/>
                  </w14:solidFill>
                </w14:textFill>
              </w:rPr>
              <w:t>，否则</w:t>
            </w:r>
            <w:r>
              <w:rPr>
                <w:rFonts w:hint="eastAsia" w:ascii="Times New Roman" w:hAnsi="Times New Roman" w:eastAsia="宋体" w:cs="Times New Roman"/>
                <w:color w:val="000000" w:themeColor="text1"/>
                <w:lang w:val="en-US" w:eastAsia="zh-CN"/>
                <w14:textFill>
                  <w14:solidFill>
                    <w14:schemeClr w14:val="tx1"/>
                  </w14:solidFill>
                </w14:textFill>
              </w:rPr>
              <w:t>视为负偏离</w:t>
            </w:r>
            <w:r>
              <w:rPr>
                <w:rFonts w:hint="eastAsia" w:ascii="Times New Roman" w:hAnsi="Times New Roman" w:eastAsia="宋体" w:cs="Times New Roman"/>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tc>
        <w:tc>
          <w:tcPr>
            <w:tcW w:w="1080" w:type="dxa"/>
            <w:vMerge w:val="continue"/>
            <w:noWrap w:val="0"/>
            <w:vAlign w:val="center"/>
          </w:tcPr>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tc>
        <w:tc>
          <w:tcPr>
            <w:tcW w:w="1245" w:type="dxa"/>
            <w:noWrap w:val="0"/>
            <w:vAlign w:val="center"/>
          </w:tcPr>
          <w:p>
            <w:pPr>
              <w:jc w:val="center"/>
              <w:rPr>
                <w:rFonts w:hint="eastAsia" w:ascii="宋体" w:hAnsi="宋体" w:eastAsia="宋体" w:cs="Arial"/>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评分内容：</w:t>
            </w:r>
            <w:r>
              <w:rPr>
                <w:rFonts w:hint="eastAsia" w:ascii="Times New Roman" w:hAnsi="Times New Roman" w:eastAsia="宋体" w:cs="Times New Roman"/>
                <w:color w:val="000000" w:themeColor="text1"/>
                <w:lang w:eastAsia="zh-CN"/>
                <w14:textFill>
                  <w14:solidFill>
                    <w14:schemeClr w14:val="tx1"/>
                  </w14:solidFill>
                </w14:textFill>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eastAsia="zh-CN"/>
                <w14:textFill>
                  <w14:solidFill>
                    <w14:schemeClr w14:val="tx1"/>
                  </w14:solidFill>
                </w14:textFill>
              </w:rPr>
              <w:t>）性能良好，故障率低；</w:t>
            </w:r>
          </w:p>
          <w:p>
            <w:pPr>
              <w:pStyle w:val="29"/>
              <w:spacing w:line="240" w:lineRule="auto"/>
              <w:ind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eastAsia="zh-CN"/>
                <w14:textFill>
                  <w14:solidFill>
                    <w14:schemeClr w14:val="tx1"/>
                  </w14:solidFill>
                </w14:textFill>
              </w:rPr>
              <w:t>）设备整体水平先进，可操作性强；</w:t>
            </w:r>
          </w:p>
          <w:p>
            <w:pPr>
              <w:pStyle w:val="29"/>
              <w:spacing w:line="240" w:lineRule="auto"/>
              <w:ind w:firstLine="0" w:firstLineChars="0"/>
              <w:rPr>
                <w:rFonts w:hint="eastAsia" w:ascii="Times New Roman" w:hAnsi="Times New Roman" w:eastAsia="宋体" w:cs="Times New Roman"/>
                <w:color w:val="000000" w:themeColor="text1"/>
                <w:lang w:val="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评分标准：满足以上两项要求得</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lang w:eastAsia="zh-CN"/>
                <w14:textFill>
                  <w14:solidFill>
                    <w14:schemeClr w14:val="tx1"/>
                  </w14:solidFill>
                </w14:textFill>
              </w:rPr>
              <w:t>分，满足以上一项要求得</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eastAsia="zh-CN"/>
                <w14:textFill>
                  <w14:solidFill>
                    <w14:schemeClr w14:val="tx1"/>
                  </w14:solidFill>
                </w14:textFill>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商务部分（</w:t>
            </w:r>
            <w:r>
              <w:rPr>
                <w:rFonts w:hint="eastAsia" w:ascii="宋体" w:hAnsi="宋体" w:eastAsia="宋体" w:cs="Arial"/>
                <w:color w:val="000000" w:themeColor="text1"/>
                <w:kern w:val="0"/>
                <w:szCs w:val="21"/>
                <w:lang w:val="en-US" w:eastAsia="zh-CN"/>
                <w14:textFill>
                  <w14:solidFill>
                    <w14:schemeClr w14:val="tx1"/>
                  </w14:solidFill>
                </w14:textFill>
              </w:rPr>
              <w:t>29分</w:t>
            </w:r>
            <w:r>
              <w:rPr>
                <w:rFonts w:hint="eastAsia" w:ascii="宋体" w:hAnsi="宋体" w:eastAsia="宋体" w:cs="Arial"/>
                <w:color w:val="000000" w:themeColor="text1"/>
                <w:kern w:val="0"/>
                <w:szCs w:val="21"/>
                <w:lang w:eastAsia="zh-CN"/>
                <w14:textFill>
                  <w14:solidFill>
                    <w14:schemeClr w14:val="tx1"/>
                  </w14:solidFill>
                </w14:textFill>
              </w:rPr>
              <w:t>）</w:t>
            </w:r>
          </w:p>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商务条款偏离情况</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lang w:val="sq-AL" w:eastAsia="zh-CN"/>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t>投标人应如实填写《商务条款偏离表》，</w:t>
            </w:r>
            <w:r>
              <w:rPr>
                <w:rFonts w:hint="eastAsia" w:ascii="Times New Roman" w:hAnsi="Times New Roman" w:eastAsia="宋体" w:cs="Times New Roman"/>
                <w:color w:val="000000" w:themeColor="text1"/>
                <w:lang w:val="zh-CN" w:eastAsia="zh-CN"/>
                <w14:textFill>
                  <w14:solidFill>
                    <w14:schemeClr w14:val="tx1"/>
                  </w14:solidFill>
                </w14:textFill>
              </w:rPr>
              <w:t>全部满足的得</w:t>
            </w:r>
            <w:r>
              <w:rPr>
                <w:rFonts w:hint="eastAsia" w:cs="Times New Roman"/>
                <w:color w:val="000000" w:themeColor="text1"/>
                <w:lang w:val="en-US" w:eastAsia="zh-CN"/>
                <w14:textFill>
                  <w14:solidFill>
                    <w14:schemeClr w14:val="tx1"/>
                  </w14:solidFill>
                </w14:textFill>
              </w:rPr>
              <w:t>10</w:t>
            </w:r>
            <w:r>
              <w:rPr>
                <w:rFonts w:hint="eastAsia" w:ascii="Times New Roman" w:hAnsi="Times New Roman" w:eastAsia="宋体" w:cs="Times New Roman"/>
                <w:color w:val="000000" w:themeColor="text1"/>
                <w:lang w:val="zh-CN" w:eastAsia="zh-CN"/>
                <w14:textFill>
                  <w14:solidFill>
                    <w14:schemeClr w14:val="tx1"/>
                  </w14:solidFill>
                </w14:textFill>
              </w:rPr>
              <w:t>分；</w:t>
            </w:r>
            <w:r>
              <w:rPr>
                <w:rFonts w:hint="eastAsia" w:ascii="Times New Roman" w:hAnsi="Times New Roman" w:eastAsia="宋体" w:cs="Times New Roman"/>
                <w:color w:val="000000" w:themeColor="text1"/>
                <w:lang w:val="zh-CN"/>
                <w14:textFill>
                  <w14:solidFill>
                    <w14:schemeClr w14:val="tx1"/>
                  </w14:solidFill>
                </w14:textFill>
              </w:rPr>
              <w:t>带“▲”为重要参数，每负偏离一项扣</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zh-CN"/>
                <w14:textFill>
                  <w14:solidFill>
                    <w14:schemeClr w14:val="tx1"/>
                  </w14:solidFill>
                </w14:textFill>
              </w:rPr>
              <w:t>分，其他参数每负偏离一项扣</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zh-CN"/>
                <w14:textFill>
                  <w14:solidFill>
                    <w14:schemeClr w14:val="tx1"/>
                  </w14:solidFill>
                </w14:textFill>
              </w:rPr>
              <w:t>分，</w:t>
            </w:r>
            <w:r>
              <w:rPr>
                <w:rFonts w:hint="eastAsia" w:ascii="Times New Roman" w:hAnsi="Times New Roman" w:eastAsia="宋体" w:cs="Times New Roman"/>
                <w:color w:val="000000" w:themeColor="text1"/>
                <w:lang w:val="zh-CN" w:eastAsia="zh-CN"/>
                <w14:textFill>
                  <w14:solidFill>
                    <w14:schemeClr w14:val="tx1"/>
                  </w14:solidFill>
                </w14:textFill>
              </w:rPr>
              <w:t>未响应参数视为负偏离一项扣</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zh-CN" w:eastAsia="zh-CN"/>
                <w14:textFill>
                  <w14:solidFill>
                    <w14:schemeClr w14:val="tx1"/>
                  </w14:solidFill>
                </w14:textFill>
              </w:rPr>
              <w:t>分，</w:t>
            </w:r>
            <w:r>
              <w:rPr>
                <w:rFonts w:hint="eastAsia" w:ascii="Times New Roman" w:hAnsi="Times New Roman" w:eastAsia="宋体" w:cs="Times New Roman"/>
                <w:color w:val="000000" w:themeColor="text1"/>
                <w:lang w:val="zh-CN"/>
                <w14:textFill>
                  <w14:solidFill>
                    <w14:schemeClr w14:val="tx1"/>
                  </w14:solidFill>
                </w14:textFill>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color w:val="000000" w:themeColor="text1"/>
                <w14:textFill>
                  <w14:solidFill>
                    <w14:schemeClr w14:val="tx1"/>
                  </w14:solidFill>
                </w14:textFill>
              </w:rPr>
              <w:t>同类项目业绩</w:t>
            </w:r>
          </w:p>
        </w:tc>
        <w:tc>
          <w:tcPr>
            <w:tcW w:w="465" w:type="dxa"/>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14:textFill>
                  <w14:solidFill>
                    <w14:schemeClr w14:val="tx1"/>
                  </w14:solidFill>
                </w14:textFill>
              </w:rPr>
              <w:t>年1月1日至本项目开标之日（以合同签订日期为准），投标人具有同类项目业绩的，每提供1个项目得2分，最高得</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分。</w:t>
            </w:r>
          </w:p>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售后服务方案</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（1）售后服务机构及维护人员配置合理；</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（2）故障响应时间满足项目需求；</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评分标准：</w:t>
            </w:r>
            <w:r>
              <w:rPr>
                <w:rFonts w:hint="eastAsia" w:ascii="Times New Roman" w:hAnsi="Times New Roman" w:eastAsia="宋体" w:cs="Times New Roman"/>
                <w:color w:val="000000" w:themeColor="text1"/>
                <w:lang w:val="zh-CN" w:eastAsia="zh-CN"/>
                <w14:textFill>
                  <w14:solidFill>
                    <w14:schemeClr w14:val="tx1"/>
                  </w14:solidFill>
                </w14:textFill>
              </w:rPr>
              <w:t>满足以上三项要求得</w:t>
            </w:r>
            <w:r>
              <w:rPr>
                <w:rFonts w:hint="eastAsia" w:ascii="Times New Roman" w:hAnsi="Times New Roman" w:eastAsia="宋体" w:cs="Times New Roman"/>
                <w:color w:val="000000" w:themeColor="text1"/>
                <w:lang w:val="en-US" w:eastAsia="zh-CN"/>
                <w14:textFill>
                  <w14:solidFill>
                    <w14:schemeClr w14:val="tx1"/>
                  </w14:solidFill>
                </w14:textFill>
              </w:rPr>
              <w:t>8</w:t>
            </w:r>
            <w:r>
              <w:rPr>
                <w:rFonts w:hint="eastAsia" w:ascii="Times New Roman" w:hAnsi="Times New Roman" w:eastAsia="宋体" w:cs="Times New Roman"/>
                <w:color w:val="000000" w:themeColor="text1"/>
                <w:lang w:val="zh-CN" w:eastAsia="zh-CN"/>
                <w14:textFill>
                  <w14:solidFill>
                    <w14:schemeClr w14:val="tx1"/>
                  </w14:solidFill>
                </w14:textFill>
              </w:rPr>
              <w:t>分，满足以上两项要求</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val="zh-CN" w:eastAsia="zh-CN"/>
                <w14:textFill>
                  <w14:solidFill>
                    <w14:schemeClr w14:val="tx1"/>
                  </w14:solidFill>
                </w14:textFill>
              </w:rPr>
              <w:t>分，满足以上一项要求得</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zh-CN" w:eastAsia="zh-CN"/>
                <w14:textFill>
                  <w14:solidFill>
                    <w14:schemeClr w14:val="tx1"/>
                  </w14:solidFill>
                </w14:textFill>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000000" w:themeColor="text1"/>
                <w14:textFill>
                  <w14:solidFill>
                    <w14:schemeClr w14:val="tx1"/>
                  </w14:solidFill>
                </w14:textFill>
              </w:rPr>
            </w:pPr>
          </w:p>
          <w:p>
            <w:pPr>
              <w:spacing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诚信管理情况</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三</w:t>
            </w:r>
          </w:p>
        </w:tc>
        <w:tc>
          <w:tcPr>
            <w:tcW w:w="1080" w:type="dxa"/>
            <w:noWrap w:val="0"/>
            <w:vAlign w:val="center"/>
          </w:tcPr>
          <w:p>
            <w:pPr>
              <w:widowControl/>
              <w:spacing w:line="240" w:lineRule="auto"/>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价格部分</w:t>
            </w:r>
            <w:r>
              <w:rPr>
                <w:rFonts w:hint="eastAsia" w:ascii="宋体" w:hAnsi="宋体" w:cs="Arial"/>
                <w:color w:val="000000" w:themeColor="text1"/>
                <w:kern w:val="0"/>
                <w:szCs w:val="21"/>
                <w:lang w:val="en-US" w:eastAsia="zh-CN"/>
                <w14:textFill>
                  <w14:solidFill>
                    <w14:schemeClr w14:val="tx1"/>
                  </w14:solidFill>
                </w14:textFill>
              </w:rPr>
              <w:t>（30分）</w:t>
            </w:r>
          </w:p>
        </w:tc>
        <w:tc>
          <w:tcPr>
            <w:tcW w:w="8013" w:type="dxa"/>
            <w:gridSpan w:val="3"/>
            <w:noWrap w:val="0"/>
            <w:vAlign w:val="center"/>
          </w:tcPr>
          <w:p>
            <w:pPr>
              <w:widowControl/>
              <w:spacing w:line="240" w:lineRule="auto"/>
              <w:jc w:val="left"/>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价</w:t>
            </w:r>
            <w:r>
              <w:rPr>
                <w:rFonts w:hint="eastAsia" w:ascii="宋体" w:hAnsi="宋体" w:cs="宋体"/>
                <w:bCs/>
                <w:color w:val="000000" w:themeColor="text1"/>
                <w:kern w:val="0"/>
                <w:sz w:val="21"/>
                <w:szCs w:val="21"/>
                <w:lang w:eastAsia="zh-CN"/>
                <w14:textFill>
                  <w14:solidFill>
                    <w14:schemeClr w14:val="tx1"/>
                  </w14:solidFill>
                </w14:textFill>
              </w:rPr>
              <w:t>格</w:t>
            </w:r>
            <w:r>
              <w:rPr>
                <w:rFonts w:hint="eastAsia" w:ascii="宋体" w:hAnsi="宋体" w:eastAsia="宋体" w:cs="宋体"/>
                <w:bCs/>
                <w:color w:val="000000" w:themeColor="text1"/>
                <w:kern w:val="0"/>
                <w:sz w:val="21"/>
                <w:szCs w:val="21"/>
                <w14:textFill>
                  <w14:solidFill>
                    <w14:schemeClr w14:val="tx1"/>
                  </w14:solidFill>
                </w14:textFill>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 xml:space="preserve">0分。其他投标人的价格分按照下列公式计算：   </w:t>
            </w:r>
          </w:p>
          <w:p>
            <w:pPr>
              <w:widowControl/>
              <w:spacing w:line="240" w:lineRule="auto"/>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投标报价得分=(评标基准价</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投标报价)×</w:t>
            </w:r>
            <w:r>
              <w:rPr>
                <w:rFonts w:hint="eastAsia" w:ascii="Times New Roman" w:hAnsi="Times New Roman" w:eastAsia="宋体" w:cs="Times New Roman"/>
                <w:color w:val="000000" w:themeColor="text1"/>
                <w:lang w:val="en-US" w:eastAsia="zh-CN"/>
                <w14:textFill>
                  <w14:solidFill>
                    <w14:schemeClr w14:val="tx1"/>
                  </w14:solidFill>
                </w14:textFill>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000000" w:themeColor="text1"/>
          <w:sz w:val="32"/>
          <w:szCs w:val="32"/>
          <w:lang w:val="en-US" w:eastAsia="zh-CN"/>
          <w14:textFill>
            <w14:solidFill>
              <w14:schemeClr w14:val="tx1"/>
            </w14:solidFill>
          </w14:textFill>
        </w:rPr>
      </w:pPr>
      <w:r>
        <w:rPr>
          <w:rFonts w:hint="eastAsia" w:ascii="宋体" w:hAnsi="宋体" w:eastAsia="宋体" w:cs="Times New Roman"/>
          <w:b/>
          <w:bCs/>
          <w:color w:val="000000" w:themeColor="text1"/>
          <w:sz w:val="32"/>
          <w:szCs w:val="32"/>
          <w:lang w:val="en-US" w:eastAsia="zh-CN"/>
          <w14:textFill>
            <w14:solidFill>
              <w14:schemeClr w14:val="tx1"/>
            </w14:solidFill>
          </w14:textFill>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注：</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p>
      <w:pPr>
        <w:numPr>
          <w:ilvl w:val="0"/>
          <w:numId w:val="3"/>
        </w:numPr>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采购项目名称及项目预算（</w:t>
      </w:r>
      <w:r>
        <w:rPr>
          <w:rFonts w:hint="eastAsia" w:ascii="宋体" w:hAnsi="宋体" w:eastAsia="宋体" w:cs="宋体"/>
          <w:bCs/>
          <w:color w:val="000000" w:themeColor="text1"/>
          <w:kern w:val="0"/>
          <w:sz w:val="21"/>
          <w:szCs w:val="21"/>
          <w:lang w:val="en-US" w:eastAsia="zh-CN"/>
          <w14:textFill>
            <w14:solidFill>
              <w14:schemeClr w14:val="tx1"/>
            </w14:solidFill>
          </w14:textFill>
        </w:rPr>
        <w:t>超出项目最高限价将导致无效投标</w:t>
      </w:r>
      <w:r>
        <w:rPr>
          <w:rFonts w:hint="eastAsia" w:ascii="宋体" w:hAnsi="宋体" w:eastAsia="宋体" w:cs="Times New Roman"/>
          <w:b/>
          <w:bCs/>
          <w:color w:val="000000" w:themeColor="text1"/>
          <w:szCs w:val="21"/>
          <w:lang w:val="en-US" w:eastAsia="zh-CN"/>
          <w14:textFill>
            <w14:solidFill>
              <w14:schemeClr w14:val="tx1"/>
            </w14:solidFill>
          </w14:textFill>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2715"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鼻内窥镜</w:t>
            </w:r>
          </w:p>
        </w:tc>
        <w:tc>
          <w:tcPr>
            <w:tcW w:w="1004"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3条</w:t>
            </w:r>
          </w:p>
        </w:tc>
        <w:tc>
          <w:tcPr>
            <w:tcW w:w="2206" w:type="dxa"/>
            <w:noWrap w:val="0"/>
            <w:vAlign w:val="center"/>
          </w:tcPr>
          <w:p>
            <w:pPr>
              <w:numPr>
                <w:ilvl w:val="0"/>
                <w:numId w:val="0"/>
              </w:numPr>
              <w:jc w:val="center"/>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120000</w:t>
            </w:r>
          </w:p>
        </w:tc>
        <w:tc>
          <w:tcPr>
            <w:tcW w:w="1702"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接受进口</w:t>
            </w:r>
          </w:p>
        </w:tc>
      </w:tr>
    </w:tbl>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二、用途</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用于耳鼻喉科鼻窦，腺样体，鼻颅底等微创精细手术。</w:t>
      </w:r>
    </w:p>
    <w:p>
      <w:pPr>
        <w:numPr>
          <w:ilvl w:val="0"/>
          <w:numId w:val="0"/>
        </w:numPr>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三、投标人</w:t>
      </w:r>
      <w:r>
        <w:rPr>
          <w:rFonts w:hint="eastAsia" w:ascii="宋体" w:hAnsi="宋体" w:eastAsia="宋体" w:cs="Times New Roman"/>
          <w:b/>
          <w:bCs/>
          <w:color w:val="000000" w:themeColor="text1"/>
          <w:szCs w:val="21"/>
          <w:lang w:val="en-US" w:eastAsia="zh-CN"/>
          <w14:textFill>
            <w14:solidFill>
              <w14:schemeClr w14:val="tx1"/>
            </w14:solidFill>
          </w14:textFill>
        </w:rPr>
        <w:t>资格要求</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4.近三年内（即至少从2020年</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5.本项目不接受联合体投标，不允许转包分包</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（由供应商在《政府采购投标及履约承诺函》中作出声明）；</w:t>
      </w:r>
    </w:p>
    <w:p>
      <w:pPr>
        <w:numPr>
          <w:ilvl w:val="0"/>
          <w:numId w:val="0"/>
        </w:numPr>
        <w:ind w:firstLine="420" w:firstLineChars="2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四、</w:t>
      </w:r>
      <w:r>
        <w:rPr>
          <w:rFonts w:hint="eastAsia" w:ascii="宋体" w:hAnsi="宋体" w:cs="Times New Roman"/>
          <w:b/>
          <w:bCs/>
          <w:color w:val="000000" w:themeColor="text1"/>
          <w:szCs w:val="21"/>
          <w:lang w:val="en-US" w:eastAsia="zh-CN"/>
          <w14:textFill>
            <w14:solidFill>
              <w14:schemeClr w14:val="tx1"/>
            </w14:solidFill>
          </w14:textFill>
        </w:rPr>
        <w:t>功能要求及</w:t>
      </w:r>
      <w:r>
        <w:rPr>
          <w:rFonts w:hint="eastAsia" w:ascii="宋体" w:hAnsi="宋体" w:eastAsia="宋体" w:cs="Times New Roman"/>
          <w:b/>
          <w:bCs/>
          <w:color w:val="000000" w:themeColor="text1"/>
          <w:szCs w:val="21"/>
          <w:lang w:val="en-US" w:eastAsia="zh-CN"/>
          <w14:textFill>
            <w14:solidFill>
              <w14:schemeClr w14:val="tx1"/>
            </w14:solidFill>
          </w14:textFill>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1.内窥镜具备蓝宝石镜面，第二代“柱状晶体“技术，平面图像无球失真，超广角，大视野。可浸泡、气熏或高温高压消毒；</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2.镜子具有接口可连接重复使用冲洗鞘，方便术中清洗镜身前端，无需术中多次取出清洗，节约手术时间。</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3.内镜光纤接口具有多个角度可选包括向下、向左、向右，可以根据临床使用习惯选择；镜身带颜色标识，方便选择使用。</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000000" w:themeColor="text1"/>
          <w:sz w:val="18"/>
          <w:szCs w:val="18"/>
          <w:highlight w:val="yellow"/>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五、技术规格</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（按照下表，编制本项目技术规格偏离表，请勿去掉“</w:t>
      </w:r>
      <w:r>
        <w:rPr>
          <w:rFonts w:hint="eastAsia" w:ascii="宋体" w:hAnsi="宋体" w:eastAsia="宋体" w:cs="宋体"/>
          <w:b/>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41" w:type="pct"/>
            <w:noWrap w:val="0"/>
            <w:vAlign w:val="center"/>
          </w:tcPr>
          <w:p>
            <w:pPr>
              <w:numPr>
                <w:ilvl w:val="0"/>
                <w:numId w:val="0"/>
              </w:numPr>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p>
          <w:p>
            <w:pPr>
              <w:numPr>
                <w:ilvl w:val="0"/>
                <w:numId w:val="0"/>
              </w:numPr>
              <w:rPr>
                <w:rFonts w:hint="eastAsia" w:ascii="宋体" w:hAnsi="宋体" w:eastAsia="宋体" w:cs="宋体"/>
                <w:b/>
                <w:bCs w:val="0"/>
                <w:color w:val="000000" w:themeColor="text1"/>
                <w:kern w:val="0"/>
                <w:sz w:val="21"/>
                <w:szCs w:val="21"/>
                <w:lang w:val="en-US" w:eastAsia="zh-CN" w:bidi="ar-SA"/>
                <w14:textFill>
                  <w14:solidFill>
                    <w14:schemeClr w14:val="tx1"/>
                  </w14:solidFill>
                </w14:textFill>
              </w:rPr>
            </w:pPr>
            <w:r>
              <w:rPr>
                <w:rFonts w:hint="eastAsia" w:ascii="宋体" w:hAnsi="宋体"/>
                <w:b/>
                <w:bCs/>
                <w:color w:val="000000" w:themeColor="text1"/>
                <w:szCs w:val="21"/>
                <w14:textFill>
                  <w14:solidFill>
                    <w14:schemeClr w14:val="tx1"/>
                  </w14:solidFill>
                </w14:textFill>
              </w:rPr>
              <w:t>配置清单</w:t>
            </w:r>
            <w:r>
              <w:rPr>
                <w:rFonts w:hint="eastAsia" w:ascii="宋体" w:hAnsi="宋体"/>
                <w:b/>
                <w:bCs/>
                <w:color w:val="000000" w:themeColor="text1"/>
                <w:szCs w:val="21"/>
                <w:lang w:val="en-US" w:eastAsia="zh-CN"/>
                <w14:textFill>
                  <w14:solidFill>
                    <w14:schemeClr w14:val="tx1"/>
                  </w14:solidFill>
                </w14:textFill>
              </w:rPr>
              <w:t xml:space="preserve"> </w:t>
            </w:r>
          </w:p>
        </w:tc>
        <w:tc>
          <w:tcPr>
            <w:tcW w:w="4358" w:type="pct"/>
            <w:noWrap w:val="0"/>
            <w:vAlign w:val="center"/>
          </w:tcPr>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2692" w:type="dxa"/>
                  <w:noWrap w:val="0"/>
                  <w:vAlign w:val="center"/>
                </w:tcPr>
                <w:p>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配置</w:t>
                  </w:r>
                  <w:r>
                    <w:rPr>
                      <w:rFonts w:hint="eastAsia"/>
                      <w:color w:val="000000" w:themeColor="text1"/>
                      <w:sz w:val="21"/>
                      <w:szCs w:val="21"/>
                      <w14:textFill>
                        <w14:solidFill>
                          <w14:schemeClr w14:val="tx1"/>
                        </w14:solidFill>
                      </w14:textFill>
                    </w:rPr>
                    <w:t>名称</w:t>
                  </w:r>
                </w:p>
              </w:tc>
              <w:tc>
                <w:tcPr>
                  <w:tcW w:w="945" w:type="dxa"/>
                  <w:noWrap w:val="0"/>
                  <w:vAlign w:val="center"/>
                </w:tcPr>
                <w:p>
                  <w:pPr>
                    <w:spacing w:line="288"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数量</w:t>
                  </w:r>
                </w:p>
              </w:tc>
              <w:tc>
                <w:tcPr>
                  <w:tcW w:w="1335" w:type="dxa"/>
                  <w:noWrap w:val="0"/>
                  <w:vAlign w:val="center"/>
                </w:tcPr>
                <w:p>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2692" w:type="dxa"/>
                  <w:noWrap w:val="0"/>
                  <w:vAlign w:val="top"/>
                </w:tcPr>
                <w:p>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0°内窥镜</w:t>
                  </w:r>
                </w:p>
              </w:tc>
              <w:tc>
                <w:tcPr>
                  <w:tcW w:w="945" w:type="dxa"/>
                  <w:noWrap w:val="0"/>
                  <w:vAlign w:val="top"/>
                </w:tcPr>
                <w:p>
                  <w:pPr>
                    <w:spacing w:line="288"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335" w:type="dxa"/>
                  <w:noWrap w:val="0"/>
                  <w:vAlign w:val="top"/>
                </w:tcPr>
                <w:p>
                  <w:pPr>
                    <w:spacing w:line="288" w:lineRule="auto"/>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条</w:t>
                  </w:r>
                </w:p>
              </w:tc>
            </w:tr>
          </w:tbl>
          <w:p>
            <w:pPr>
              <w:pStyle w:val="2"/>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p>
          <w:p>
            <w:pPr>
              <w:keepNext w:val="0"/>
              <w:keepLines w:val="0"/>
              <w:widowControl/>
              <w:suppressLineNumbers w:val="0"/>
              <w:jc w:val="center"/>
              <w:textAlignment w:val="center"/>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cs="Times New Roman"/>
                <w:b/>
                <w:color w:val="000000" w:themeColor="text1"/>
                <w:kern w:val="0"/>
                <w:sz w:val="21"/>
                <w:szCs w:val="21"/>
                <w:lang w:eastAsia="zh-CN"/>
                <w14:textFill>
                  <w14:solidFill>
                    <w14:schemeClr w14:val="tx1"/>
                  </w14:solidFill>
                </w14:textFill>
              </w:rPr>
              <w:t>资质要求</w:t>
            </w:r>
          </w:p>
        </w:tc>
        <w:tc>
          <w:tcPr>
            <w:tcW w:w="4358" w:type="pct"/>
            <w:noWrap w:val="0"/>
            <w:vAlign w:val="center"/>
          </w:tcPr>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技术参数</w:t>
            </w:r>
          </w:p>
        </w:tc>
        <w:tc>
          <w:tcPr>
            <w:tcW w:w="4358" w:type="pct"/>
            <w:noWrap w:val="0"/>
            <w:vAlign w:val="top"/>
          </w:tcPr>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一、内窥镜技术参数要求</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1、▲内窥镜具备蓝宝石镜面，第二代“柱状晶体“技术，平面图像无球失真，广角，大视野。可浸泡、气熏或高温高压消毒；</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2、镜体内外多层涂层，双层外管，增加光亮度；</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3、内镜光纤接口整合多个适配器，可拆分设计，兼容其他品牌导光束；</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4、内镜光纤接口具有多个角度可选包括向下、向左、向右，可以根据临床使用习惯选择；镜身带颜色标识，方便选择使用。</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5、▲镜子具有接口可连接重复使用冲洗鞘，方便术中清洗镜身前端，无需术中多次取出清洗，节约手术时间。</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6、0°内窥镜，直径4 mm±0.1mm，有效工作长度18cm±0.1cm；镜身带颜色标识，方便选择使用。</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 w:val="18"/>
          <w:szCs w:val="18"/>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六、商务条款</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（按照下表，编制本项目商务条款偏离表，请勿去掉“</w:t>
      </w:r>
      <w:r>
        <w:rPr>
          <w:rFonts w:hint="eastAsia" w:ascii="宋体" w:hAnsi="宋体" w:eastAsia="宋体" w:cs="宋体"/>
          <w:b/>
          <w:color w:val="000000" w:themeColor="text1"/>
          <w:kern w:val="0"/>
          <w:sz w:val="18"/>
          <w:szCs w:val="18"/>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w:t>
      </w:r>
      <w:r>
        <w:rPr>
          <w:rFonts w:hint="eastAsia" w:ascii="宋体" w:hAnsi="宋体" w:eastAsia="宋体" w:cs="宋体"/>
          <w:bCs/>
          <w:color w:val="000000" w:themeColor="text1"/>
          <w:kern w:val="0"/>
          <w:sz w:val="18"/>
          <w:szCs w:val="18"/>
          <w:lang w:val="en-US" w:eastAsia="zh-CN"/>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lang w:eastAsia="zh-CN"/>
                <w14:textFill>
                  <w14:solidFill>
                    <w14:schemeClr w14:val="tx1"/>
                  </w14:solidFill>
                </w14:textFill>
              </w:rPr>
              <w:t>内容</w:t>
            </w:r>
          </w:p>
        </w:tc>
        <w:tc>
          <w:tcPr>
            <w:tcW w:w="7932" w:type="dxa"/>
            <w:tcBorders>
              <w:left w:val="single" w:color="auto" w:sz="4" w:space="0"/>
            </w:tcBorders>
            <w:noWrap w:val="0"/>
            <w:vAlign w:val="top"/>
          </w:tcPr>
          <w:p>
            <w:pPr>
              <w:jc w:val="center"/>
              <w:rPr>
                <w:rFonts w:hint="eastAsia" w:ascii="宋体" w:hAnsi="宋体"/>
                <w:b/>
                <w:color w:val="000000" w:themeColor="text1"/>
                <w:kern w:val="0"/>
                <w:sz w:val="21"/>
                <w:szCs w:val="21"/>
                <w:lang w:eastAsia="zh-CN"/>
                <w14:textFill>
                  <w14:solidFill>
                    <w14:schemeClr w14:val="tx1"/>
                  </w14:solidFill>
                </w14:textFill>
              </w:rPr>
            </w:pPr>
            <w:r>
              <w:rPr>
                <w:rFonts w:hint="eastAsia" w:ascii="宋体" w:hAnsi="宋体"/>
                <w:b/>
                <w:color w:val="000000" w:themeColor="text1"/>
                <w:kern w:val="0"/>
                <w:sz w:val="21"/>
                <w:szCs w:val="21"/>
                <w:lang w:eastAsia="zh-CN"/>
                <w14:textFill>
                  <w14:solidFill>
                    <w14:schemeClr w14:val="tx1"/>
                  </w14:solidFill>
                </w14:textFill>
              </w:rPr>
              <w:t>招标商务条款</w:t>
            </w:r>
            <w:r>
              <w:rPr>
                <w:rFonts w:hint="eastAsia" w:ascii="宋体" w:hAnsi="宋体"/>
                <w:b/>
                <w:color w:val="000000" w:themeColor="text1"/>
                <w:kern w:val="0"/>
                <w:sz w:val="21"/>
                <w:szCs w:val="21"/>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售后服务</w:t>
            </w:r>
          </w:p>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要求</w:t>
            </w:r>
          </w:p>
        </w:tc>
        <w:tc>
          <w:tcPr>
            <w:tcW w:w="7932" w:type="dxa"/>
            <w:noWrap w:val="0"/>
            <w:vAlign w:val="center"/>
          </w:tcPr>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1、制造商或代理商针对本产品出具的售后服务承诺书；</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2、设备安装调试验收合格后原厂质保</w:t>
            </w:r>
            <w:r>
              <w:rPr>
                <w:rFonts w:hint="eastAsia" w:ascii="宋体" w:hAnsi="宋体" w:cs="宋体"/>
                <w:bCs/>
                <w:color w:val="000000" w:themeColor="text1"/>
                <w:szCs w:val="21"/>
                <w:highlight w:val="yellow"/>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年。投标人中标后需提供与设备生产厂家签订的该设备</w:t>
            </w:r>
            <w:r>
              <w:rPr>
                <w:rFonts w:hint="eastAsia" w:ascii="宋体" w:hAnsi="宋体" w:cs="宋体"/>
                <w:bCs/>
                <w:color w:val="000000" w:themeColor="text1"/>
                <w:szCs w:val="21"/>
                <w:highlight w:val="yellow"/>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年质保协议原件。在质保期内，设备零配件及其维修的有关费用全免，终身负责维修；软件终身免费升级；</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4、提供技术资料、中文操作手册；</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验收方式</w:t>
            </w:r>
          </w:p>
        </w:tc>
        <w:tc>
          <w:tcPr>
            <w:tcW w:w="7932" w:type="dxa"/>
            <w:noWrap w:val="0"/>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1、设备安装调试正常使用后由使用科室、设备科、中标</w:t>
            </w:r>
            <w:r>
              <w:rPr>
                <w:rFonts w:hint="eastAsia" w:ascii="宋体" w:hAnsi="宋体"/>
                <w:color w:val="000000" w:themeColor="text1"/>
                <w:szCs w:val="21"/>
                <w:highlight w:val="none"/>
                <w:lang w:eastAsia="zh-CN"/>
                <w14:textFill>
                  <w14:solidFill>
                    <w14:schemeClr w14:val="tx1"/>
                  </w14:solidFill>
                </w14:textFill>
              </w:rPr>
              <w:t>方</w:t>
            </w:r>
            <w:r>
              <w:rPr>
                <w:rFonts w:hint="eastAsia" w:ascii="宋体" w:hAnsi="宋体"/>
                <w:color w:val="000000" w:themeColor="text1"/>
                <w:szCs w:val="21"/>
                <w:highlight w:val="none"/>
                <w14:textFill>
                  <w14:solidFill>
                    <w14:schemeClr w14:val="tx1"/>
                  </w14:solidFill>
                </w14:textFill>
              </w:rPr>
              <w:t>代表在场进行验收，保修期从验收合格之日起计。</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2、产品质量和安装调试检验标准遵照国家相关规定和最新标准执行。验收中如发现有质量不合格或型号规格、数量等与送货清单不符等情况，</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应免费更换或补齐，并承担因此发生的违约责任。</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货物经过双方检验认可后，签署验收报告。</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3、当满足以下条件时，</w:t>
            </w:r>
            <w:r>
              <w:rPr>
                <w:rFonts w:hint="eastAsia" w:ascii="宋体" w:hAnsi="宋体"/>
                <w:color w:val="000000" w:themeColor="text1"/>
                <w:szCs w:val="21"/>
                <w:highlight w:val="none"/>
                <w:lang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才向</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签发货物验收报告：</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已按照合同规定提供了全部产品及完整的技术资料。</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b、货物符合招标文件技术规格书的要求，性能满足要求。</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c、货物具备产品合格证。</w:t>
            </w:r>
          </w:p>
          <w:p>
            <w:pPr>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d、提供维修手册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售后服务承诺书</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中文操作手册。</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4、若</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单位对中标产品质量有争议，将由</w:t>
            </w:r>
            <w:r>
              <w:rPr>
                <w:rFonts w:hint="eastAsia" w:ascii="宋体" w:hAnsi="宋体"/>
                <w:color w:val="000000" w:themeColor="text1"/>
                <w:szCs w:val="21"/>
                <w:highlight w:val="none"/>
                <w:lang w:val="en-US"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委托第三方质量检测部门按照招标文书进行验收确认，委托检测验收费用由中标方负责支付。出具检测验收报告合格，</w:t>
            </w:r>
            <w:r>
              <w:rPr>
                <w:rFonts w:hint="eastAsia" w:ascii="宋体" w:hAnsi="宋体"/>
                <w:color w:val="000000" w:themeColor="text1"/>
                <w:szCs w:val="21"/>
                <w:highlight w:val="none"/>
                <w:lang w:val="en-US"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将履行采购合同；若检测验收报告不合格，</w:t>
            </w:r>
            <w:r>
              <w:rPr>
                <w:rFonts w:hint="eastAsia" w:ascii="宋体" w:hAnsi="宋体"/>
                <w:color w:val="000000" w:themeColor="text1"/>
                <w:szCs w:val="21"/>
                <w:highlight w:val="none"/>
                <w:lang w:val="en-US"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将取消采购合同，由</w:t>
            </w:r>
            <w:r>
              <w:rPr>
                <w:rFonts w:hint="eastAsia" w:ascii="宋体" w:hAnsi="宋体"/>
                <w:color w:val="000000" w:themeColor="text1"/>
                <w:szCs w:val="21"/>
                <w:highlight w:val="none"/>
                <w:lang w:val="en-US"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报价要求</w:t>
            </w:r>
          </w:p>
        </w:tc>
        <w:tc>
          <w:tcPr>
            <w:tcW w:w="7932" w:type="dxa"/>
            <w:noWrap w:val="0"/>
            <w:vAlign w:val="top"/>
          </w:tcPr>
          <w:p>
            <w:pPr>
              <w:spacing w:line="240" w:lineRule="auto"/>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付款方式</w:t>
            </w:r>
          </w:p>
        </w:tc>
        <w:tc>
          <w:tcPr>
            <w:tcW w:w="7932" w:type="dxa"/>
            <w:noWrap w:val="0"/>
            <w:vAlign w:val="top"/>
          </w:tcPr>
          <w:p>
            <w:pPr>
              <w:spacing w:line="240" w:lineRule="auto"/>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2、中标人提供全额发票，经验收合格，办理入库后，采购人在收到履约保证金后15个工作日内，向中标人支付合同全款。</w:t>
            </w:r>
          </w:p>
          <w:p>
            <w:pP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交货期</w:t>
            </w:r>
          </w:p>
        </w:tc>
        <w:tc>
          <w:tcPr>
            <w:tcW w:w="7932" w:type="dxa"/>
            <w:noWrap w:val="0"/>
            <w:vAlign w:val="center"/>
          </w:tcPr>
          <w:p>
            <w:pPr>
              <w:tabs>
                <w:tab w:val="left" w:pos="0"/>
              </w:tabs>
              <w:rPr>
                <w:rFonts w:hint="eastAsia"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逾期交货采购人有权按照相关规定处罚。</w:t>
            </w:r>
            <w:r>
              <w:rPr>
                <w:rFonts w:hint="eastAsia" w:ascii="宋体" w:hAnsi="宋体"/>
                <w:color w:val="000000" w:themeColor="text1"/>
                <w:szCs w:val="21"/>
                <w:highlight w:val="none"/>
                <w:lang w:val="en-US" w:eastAsia="zh-CN"/>
                <w14:textFill>
                  <w14:solidFill>
                    <w14:schemeClr w14:val="tx1"/>
                  </w14:solidFill>
                </w14:textFill>
              </w:rPr>
              <w:t>中标方</w:t>
            </w:r>
            <w:r>
              <w:rPr>
                <w:rFonts w:hint="eastAsia" w:ascii="宋体" w:hAnsi="宋体"/>
                <w:bCs/>
                <w:color w:val="000000" w:themeColor="text1"/>
                <w:szCs w:val="21"/>
                <w:highlight w:val="none"/>
                <w14:textFill>
                  <w14:solidFill>
                    <w14:schemeClr w14:val="tx1"/>
                  </w14:solidFill>
                </w14:textFill>
              </w:rPr>
              <w:t>必须承担的设备运输、安装调试、验收检测和提供设备操作说明书、图纸等其他类似的义务。</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14:textFill>
                  <w14:solidFill>
                    <w14:schemeClr w14:val="tx1"/>
                  </w14:solidFill>
                </w14:textFill>
              </w:rPr>
              <w:t>设备和材料</w:t>
            </w:r>
            <w:r>
              <w:rPr>
                <w:rFonts w:hint="eastAsia" w:ascii="宋体" w:hAnsi="宋体" w:eastAsia="宋体" w:cs="Times New Roman"/>
                <w:bCs/>
                <w:color w:val="000000" w:themeColor="text1"/>
                <w:szCs w:val="21"/>
                <w:highlight w:val="none"/>
                <w:lang w:eastAsia="zh-CN"/>
                <w14:textFill>
                  <w14:solidFill>
                    <w14:schemeClr w14:val="tx1"/>
                  </w14:solidFill>
                </w14:textFill>
              </w:rPr>
              <w:t>须为</w:t>
            </w:r>
            <w:r>
              <w:rPr>
                <w:rFonts w:hint="eastAsia" w:ascii="宋体" w:hAnsi="宋体" w:eastAsia="宋体" w:cs="Times New Roman"/>
                <w:bCs/>
                <w:color w:val="000000" w:themeColor="text1"/>
                <w:szCs w:val="21"/>
                <w:highlight w:val="none"/>
                <w14:textFill>
                  <w14:solidFill>
                    <w14:schemeClr w14:val="tx1"/>
                  </w14:solidFill>
                </w14:textFill>
              </w:rPr>
              <w:t>全新，包装方式按照原厂出厂原标准</w:t>
            </w:r>
            <w:r>
              <w:rPr>
                <w:rFonts w:hint="eastAsia" w:ascii="宋体" w:hAnsi="宋体" w:eastAsia="宋体" w:cs="Times New Roman"/>
                <w:bCs/>
                <w:color w:val="000000" w:themeColor="text1"/>
                <w:szCs w:val="21"/>
                <w:highlight w:val="none"/>
                <w:lang w:eastAsia="zh-CN"/>
                <w14:textFill>
                  <w14:solidFill>
                    <w14:schemeClr w14:val="tx1"/>
                  </w14:solidFill>
                </w14:textFill>
              </w:rPr>
              <w:t>。</w:t>
            </w:r>
          </w:p>
        </w:tc>
      </w:tr>
    </w:tbl>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8"/>
        <w:rPr>
          <w:rFonts w:hint="default"/>
          <w:lang w:val="en-US" w:eastAsia="zh-CN"/>
        </w:rPr>
      </w:pPr>
    </w:p>
    <w:p>
      <w:pPr>
        <w:rPr>
          <w:rFonts w:hint="eastAsia" w:ascii="Arial" w:hAnsi="Arial"/>
          <w:szCs w:val="21"/>
        </w:rPr>
      </w:pP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rPr>
          <w:rFonts w:hint="eastAsia" w:ascii="宋体" w:hAnsi="宋体" w:eastAsia="宋体" w:cs="Times New Roman"/>
          <w:b/>
          <w:bCs/>
          <w:kern w:val="2"/>
          <w:sz w:val="21"/>
          <w:szCs w:val="21"/>
          <w:lang w:val="en-US" w:eastAsia="zh-CN" w:bidi="ar-SA"/>
        </w:rPr>
      </w:pPr>
    </w:p>
    <w:p>
      <w:pPr>
        <w:pStyle w:val="10"/>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8"/>
        <w:rPr>
          <w:rFonts w:hint="eastAsia" w:hAnsi="宋体"/>
          <w:bCs/>
          <w:color w:val="000000"/>
          <w:lang w:val="zh-CN" w:eastAsia="zh-CN"/>
        </w:rPr>
      </w:pPr>
    </w:p>
    <w:p>
      <w:pPr>
        <w:pStyle w:val="8"/>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8"/>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8"/>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8"/>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SZSZXYJHYY202307070</w:t>
      </w:r>
      <w:bookmarkStart w:id="13" w:name="_GoBack"/>
      <w:bookmarkEnd w:id="13"/>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Times New Roman" w:hAnsi="Times New Roman" w:eastAsia="宋体" w:cs="Times New Roman"/>
              </w:rPr>
              <w:t>鼻内窥镜</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6350"/>
      <w:bookmarkStart w:id="8" w:name="_Toc435514866"/>
      <w:bookmarkStart w:id="9" w:name="_Toc192662843"/>
      <w:bookmarkStart w:id="10" w:name="_Toc116913827"/>
      <w:bookmarkStart w:id="11" w:name="_Toc435515306"/>
      <w:bookmarkStart w:id="12" w:name="_Toc275865611"/>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8"/>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D32FF0"/>
    <w:rsid w:val="02164FD8"/>
    <w:rsid w:val="023A5F85"/>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3B1275"/>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818D0"/>
    <w:rsid w:val="2DA9740F"/>
    <w:rsid w:val="2DAC6047"/>
    <w:rsid w:val="2DD65871"/>
    <w:rsid w:val="2DEF2BDC"/>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5A3428A"/>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F818D1"/>
    <w:rsid w:val="4131589B"/>
    <w:rsid w:val="414342A6"/>
    <w:rsid w:val="41632ABD"/>
    <w:rsid w:val="41A97753"/>
    <w:rsid w:val="41F832AA"/>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7D38B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51B48"/>
    <w:rsid w:val="5F3E24A9"/>
    <w:rsid w:val="5F5A6ED0"/>
    <w:rsid w:val="5F8B6E46"/>
    <w:rsid w:val="5FC66C44"/>
    <w:rsid w:val="5FED0BD9"/>
    <w:rsid w:val="607B2B9B"/>
    <w:rsid w:val="60966616"/>
    <w:rsid w:val="60CD12F7"/>
    <w:rsid w:val="613C32EA"/>
    <w:rsid w:val="617277DD"/>
    <w:rsid w:val="61861065"/>
    <w:rsid w:val="61D2241D"/>
    <w:rsid w:val="61E5048D"/>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536215"/>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w:basedOn w:val="1"/>
    <w:qFormat/>
    <w:uiPriority w:val="0"/>
    <w:pPr>
      <w:spacing w:after="120"/>
    </w:p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19093</Words>
  <Characters>20769</Characters>
  <Lines>0</Lines>
  <Paragraphs>0</Paragraphs>
  <TotalTime>1</TotalTime>
  <ScaleCrop>false</ScaleCrop>
  <LinksUpToDate>false</LinksUpToDate>
  <CharactersWithSpaces>22225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2023-08-04T01:28:23Z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79591E909F364437815DC91DB845FAF5_13</vt:lpwstr>
  </property>
</Properties>
</file>