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67</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SZSZXYJHYY20230706</w:t>
      </w:r>
      <w:r>
        <w:rPr>
          <w:rFonts w:hint="eastAsia" w:ascii="宋体" w:hAnsi="宋体" w:cs="Times New Roman"/>
          <w:b/>
          <w:bCs/>
          <w:color w:val="auto"/>
          <w:sz w:val="30"/>
          <w:szCs w:val="30"/>
          <w:highlight w:val="none"/>
          <w:lang w:val="en-US" w:eastAsia="zh-CN"/>
        </w:rPr>
        <w:t>7</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bookmarkStart w:id="13" w:name="_GoBack"/>
      <w:bookmarkEnd w:id="13"/>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862"/>
        <w:gridCol w:w="2075"/>
        <w:gridCol w:w="239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20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w:t>
            </w:r>
            <w:r>
              <w:rPr>
                <w:rFonts w:hint="eastAsia" w:eastAsia="宋体"/>
                <w:b/>
                <w:bCs/>
                <w:sz w:val="18"/>
                <w:szCs w:val="18"/>
                <w:lang w:val="en-US" w:eastAsia="zh-CN"/>
              </w:rPr>
              <w:t>价（人民币元）</w:t>
            </w:r>
          </w:p>
        </w:tc>
        <w:tc>
          <w:tcPr>
            <w:tcW w:w="239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ascii="宋体" w:hAnsi="宋体"/>
                <w:szCs w:val="21"/>
                <w:highlight w:val="none"/>
                <w:lang w:val="en-US" w:eastAsia="zh-CN"/>
              </w:rPr>
              <w:t>口腔扫描仪</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sz w:val="18"/>
                <w:szCs w:val="18"/>
                <w:lang w:val="en-US" w:eastAsia="zh-CN"/>
              </w:rPr>
              <w:t>1套</w:t>
            </w:r>
          </w:p>
        </w:tc>
        <w:tc>
          <w:tcPr>
            <w:tcW w:w="20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330000</w:t>
            </w:r>
          </w:p>
        </w:tc>
        <w:tc>
          <w:tcPr>
            <w:tcW w:w="239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9</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w:t>
      </w:r>
      <w:r>
        <w:rPr>
          <w:rFonts w:hint="eastAsia" w:ascii="宋体" w:hAnsi="宋体" w:cs="Arial"/>
          <w:color w:val="000000"/>
          <w:kern w:val="0"/>
          <w:szCs w:val="21"/>
          <w:highlight w:val="none"/>
          <w:lang w:eastAsia="zh-CN"/>
        </w:rPr>
        <w:t>文件</w:t>
      </w:r>
      <w:r>
        <w:rPr>
          <w:rFonts w:hint="eastAsia" w:ascii="宋体" w:hAnsi="宋体" w:eastAsia="宋体" w:cs="Arial"/>
          <w:color w:val="000000"/>
          <w:kern w:val="0"/>
          <w:szCs w:val="21"/>
          <w:highlight w:val="none"/>
          <w:lang w:eastAsia="zh-CN"/>
        </w:rPr>
        <w:t>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7月31日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8"/>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8"/>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29"/>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口腔扫描仪</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1套</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33</w:t>
            </w:r>
            <w:r>
              <w:rPr>
                <w:rFonts w:hint="eastAsia" w:ascii="宋体" w:hAnsi="宋体" w:eastAsia="宋体" w:cs="宋体"/>
                <w:bCs/>
                <w:color w:val="auto"/>
                <w:kern w:val="0"/>
                <w:sz w:val="21"/>
                <w:szCs w:val="21"/>
                <w:lang w:val="en-US" w:eastAsia="zh-CN"/>
              </w:rPr>
              <w:t>0000</w:t>
            </w:r>
          </w:p>
        </w:tc>
        <w:tc>
          <w:tcPr>
            <w:tcW w:w="170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采集口腔内牙体、牙龈和粘膜等软硬组织数字化印模</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四、质量标准</w:t>
      </w:r>
      <w:r>
        <w:rPr>
          <w:rFonts w:hint="eastAsia" w:ascii="宋体" w:hAnsi="宋体" w:cs="Times New Roman"/>
          <w:b/>
          <w:bCs/>
          <w:color w:val="auto"/>
          <w:szCs w:val="21"/>
          <w:lang w:val="en-US" w:eastAsia="zh-CN"/>
        </w:rPr>
        <w:t>及功能要求</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r>
        <w:rPr>
          <w:rFonts w:hint="eastAsia" w:ascii="宋体" w:hAnsi="宋体" w:eastAsia="宋体" w:cs="宋体"/>
          <w:bCs/>
          <w:color w:val="auto"/>
          <w:kern w:val="0"/>
          <w:sz w:val="21"/>
          <w:szCs w:val="21"/>
          <w:lang w:val="en-US" w:eastAsia="zh-CN"/>
        </w:rPr>
        <w:t>采集口腔内牙体、牙龈和粘膜等软硬组织数字化印模。</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0"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p>
            <w:pPr>
              <w:numPr>
                <w:ilvl w:val="0"/>
                <w:numId w:val="0"/>
              </w:numPr>
              <w:rPr>
                <w:rFonts w:hint="eastAsia" w:ascii="宋体" w:hAnsi="宋体" w:eastAsia="宋体" w:cs="Times New Roman"/>
                <w:b/>
                <w:bCs/>
                <w:color w:val="auto"/>
                <w:szCs w:val="21"/>
              </w:rPr>
            </w:pPr>
          </w:p>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397"/>
              <w:gridCol w:w="63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序号</w:t>
                  </w:r>
                </w:p>
              </w:tc>
              <w:tc>
                <w:tcPr>
                  <w:tcW w:w="3397"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637"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938" w:type="dxa"/>
                  <w:noWrap w:val="0"/>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1</w:t>
                  </w:r>
                </w:p>
              </w:tc>
              <w:tc>
                <w:tcPr>
                  <w:tcW w:w="3397" w:type="dxa"/>
                  <w:noWrap w:val="0"/>
                  <w:vAlign w:val="center"/>
                </w:tcPr>
                <w:p>
                  <w:pPr>
                    <w:spacing w:line="288" w:lineRule="auto"/>
                    <w:jc w:val="center"/>
                    <w:rPr>
                      <w:rFonts w:hint="eastAsia"/>
                      <w:color w:val="auto"/>
                      <w:sz w:val="21"/>
                      <w:szCs w:val="21"/>
                    </w:rPr>
                  </w:pPr>
                  <w:r>
                    <w:rPr>
                      <w:rFonts w:hint="eastAsia" w:ascii="宋体" w:hAnsi="宋体" w:eastAsia="宋体" w:cs="宋体"/>
                      <w:color w:val="auto"/>
                    </w:rPr>
                    <w:t>扫描</w:t>
                  </w:r>
                  <w:r>
                    <w:rPr>
                      <w:rFonts w:hint="eastAsia" w:ascii="宋体" w:hAnsi="宋体" w:eastAsia="宋体" w:cs="宋体"/>
                      <w:color w:val="auto"/>
                      <w:lang w:val="en-US" w:eastAsia="zh-CN"/>
                    </w:rPr>
                    <w:t>抢</w:t>
                  </w:r>
                  <w:r>
                    <w:rPr>
                      <w:rFonts w:hint="eastAsia" w:ascii="宋体" w:hAnsi="宋体" w:eastAsia="宋体" w:cs="宋体"/>
                      <w:color w:val="auto"/>
                    </w:rPr>
                    <w:t>（笔式，含保护头）</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color w:val="auto"/>
                      <w:sz w:val="21"/>
                      <w:szCs w:val="21"/>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lang w:val="en-US" w:eastAsia="zh-CN"/>
                    </w:rPr>
                  </w:pPr>
                  <w:r>
                    <w:rPr>
                      <w:rFonts w:hint="eastAsia"/>
                      <w:color w:val="auto"/>
                      <w:sz w:val="21"/>
                      <w:szCs w:val="21"/>
                      <w:lang w:val="en-US" w:eastAsia="zh-CN"/>
                    </w:rPr>
                    <w:t>2</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支架(笔式使用)</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eastAsia="宋体"/>
                      <w:color w:val="auto"/>
                      <w:sz w:val="21"/>
                      <w:szCs w:val="21"/>
                      <w:lang w:eastAsia="zh-CN"/>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lang w:val="en-US" w:eastAsia="zh-CN"/>
                    </w:rPr>
                  </w:pPr>
                  <w:r>
                    <w:rPr>
                      <w:rFonts w:hint="eastAsia"/>
                      <w:color w:val="auto"/>
                      <w:sz w:val="21"/>
                      <w:szCs w:val="21"/>
                      <w:lang w:val="en-US" w:eastAsia="zh-CN"/>
                    </w:rPr>
                    <w:t>3</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lang w:val="en-US" w:eastAsia="zh-CN"/>
                    </w:rPr>
                    <w:t>可高温消毒</w:t>
                  </w:r>
                  <w:r>
                    <w:rPr>
                      <w:rFonts w:hint="eastAsia" w:ascii="宋体" w:hAnsi="宋体" w:eastAsia="宋体" w:cs="宋体"/>
                      <w:color w:val="auto"/>
                    </w:rPr>
                    <w:t>扫描头</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5</w:t>
                  </w:r>
                </w:p>
              </w:tc>
              <w:tc>
                <w:tcPr>
                  <w:tcW w:w="938" w:type="dxa"/>
                  <w:noWrap w:val="0"/>
                  <w:vAlign w:val="center"/>
                </w:tcPr>
                <w:p>
                  <w:pPr>
                    <w:spacing w:line="288" w:lineRule="auto"/>
                    <w:jc w:val="center"/>
                    <w:rPr>
                      <w:rFonts w:hint="eastAsia" w:eastAsia="宋体"/>
                      <w:color w:val="auto"/>
                      <w:sz w:val="21"/>
                      <w:szCs w:val="21"/>
                      <w:lang w:eastAsia="zh-CN"/>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color w:val="auto"/>
                      <w:sz w:val="21"/>
                      <w:szCs w:val="21"/>
                      <w:lang w:val="en-US" w:eastAsia="zh-CN"/>
                    </w:rPr>
                  </w:pPr>
                  <w:r>
                    <w:rPr>
                      <w:rFonts w:hint="eastAsia"/>
                      <w:color w:val="auto"/>
                      <w:sz w:val="21"/>
                      <w:szCs w:val="21"/>
                      <w:lang w:val="en-US" w:eastAsia="zh-CN"/>
                    </w:rPr>
                    <w:t>4</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校准头</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color w:val="auto"/>
                      <w:sz w:val="21"/>
                      <w:szCs w:val="21"/>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color w:val="auto"/>
                      <w:sz w:val="21"/>
                      <w:szCs w:val="21"/>
                      <w:lang w:val="en-US" w:eastAsia="zh-CN"/>
                    </w:rPr>
                  </w:pPr>
                  <w:r>
                    <w:rPr>
                      <w:rFonts w:hint="eastAsia"/>
                      <w:color w:val="auto"/>
                      <w:sz w:val="21"/>
                      <w:szCs w:val="21"/>
                      <w:lang w:val="en-US" w:eastAsia="zh-CN"/>
                    </w:rPr>
                    <w:t>5</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USB转换器</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color w:val="auto"/>
                      <w:sz w:val="21"/>
                      <w:szCs w:val="21"/>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color w:val="auto"/>
                      <w:sz w:val="21"/>
                      <w:szCs w:val="21"/>
                      <w:lang w:val="en-US" w:eastAsia="zh-CN"/>
                    </w:rPr>
                  </w:pPr>
                  <w:r>
                    <w:rPr>
                      <w:rFonts w:hint="eastAsia"/>
                      <w:color w:val="auto"/>
                      <w:sz w:val="21"/>
                      <w:szCs w:val="21"/>
                      <w:lang w:val="en-US" w:eastAsia="zh-CN"/>
                    </w:rPr>
                    <w:t>6</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彩色校准工具包</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color w:val="auto"/>
                      <w:sz w:val="21"/>
                      <w:szCs w:val="21"/>
                    </w:rPr>
                  </w:pPr>
                  <w:r>
                    <w:rPr>
                      <w:rFonts w:hint="eastAsia" w:ascii="宋体" w:hAnsi="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color w:val="auto"/>
                      <w:sz w:val="21"/>
                      <w:szCs w:val="21"/>
                      <w:lang w:val="en-US" w:eastAsia="zh-CN"/>
                    </w:rPr>
                  </w:pPr>
                  <w:r>
                    <w:rPr>
                      <w:rFonts w:hint="eastAsia"/>
                      <w:color w:val="auto"/>
                      <w:sz w:val="21"/>
                      <w:szCs w:val="21"/>
                      <w:lang w:val="en-US" w:eastAsia="zh-CN"/>
                    </w:rPr>
                    <w:t>7</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加密狗</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color w:val="auto"/>
                      <w:sz w:val="21"/>
                      <w:szCs w:val="21"/>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color w:val="auto"/>
                      <w:sz w:val="21"/>
                      <w:szCs w:val="21"/>
                      <w:lang w:val="en-US" w:eastAsia="zh-CN"/>
                    </w:rPr>
                  </w:pPr>
                  <w:r>
                    <w:rPr>
                      <w:rFonts w:hint="eastAsia"/>
                      <w:color w:val="auto"/>
                      <w:sz w:val="21"/>
                      <w:szCs w:val="21"/>
                      <w:lang w:val="en-US" w:eastAsia="zh-CN"/>
                    </w:rPr>
                    <w:t>8</w:t>
                  </w:r>
                </w:p>
              </w:tc>
              <w:tc>
                <w:tcPr>
                  <w:tcW w:w="3397" w:type="dxa"/>
                  <w:noWrap w:val="0"/>
                  <w:vAlign w:val="center"/>
                </w:tcPr>
                <w:p>
                  <w:pPr>
                    <w:spacing w:line="312" w:lineRule="auto"/>
                    <w:jc w:val="center"/>
                    <w:rPr>
                      <w:rFonts w:hint="eastAsia"/>
                      <w:color w:val="auto"/>
                      <w:sz w:val="21"/>
                      <w:szCs w:val="21"/>
                    </w:rPr>
                  </w:pPr>
                  <w:r>
                    <w:rPr>
                      <w:rFonts w:hint="eastAsia" w:ascii="宋体" w:hAnsi="宋体" w:eastAsia="宋体" w:cs="宋体"/>
                      <w:color w:val="auto"/>
                    </w:rPr>
                    <w:t>软件</w:t>
                  </w:r>
                  <w:r>
                    <w:rPr>
                      <w:rFonts w:hint="eastAsia" w:ascii="宋体" w:hAnsi="宋体" w:eastAsia="宋体" w:cs="宋体"/>
                      <w:color w:val="auto"/>
                      <w:lang w:val="en-US" w:eastAsia="zh-CN"/>
                    </w:rPr>
                    <w:t>（含显示器）</w:t>
                  </w:r>
                </w:p>
              </w:tc>
              <w:tc>
                <w:tcPr>
                  <w:tcW w:w="637" w:type="dxa"/>
                  <w:noWrap w:val="0"/>
                  <w:vAlign w:val="center"/>
                </w:tcPr>
                <w:p>
                  <w:pPr>
                    <w:spacing w:line="288" w:lineRule="auto"/>
                    <w:jc w:val="center"/>
                    <w:rPr>
                      <w:rFonts w:hint="eastAsia" w:eastAsia="宋体"/>
                      <w:color w:val="auto"/>
                      <w:sz w:val="21"/>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eastAsia="宋体"/>
                      <w:color w:val="auto"/>
                      <w:sz w:val="21"/>
                      <w:szCs w:val="21"/>
                      <w:lang w:eastAsia="zh-CN"/>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lang w:val="en-US" w:eastAsia="zh-CN"/>
                    </w:rPr>
                  </w:pPr>
                  <w:r>
                    <w:rPr>
                      <w:rFonts w:hint="eastAsia" w:ascii="宋体" w:hAnsi="宋体"/>
                      <w:color w:val="auto"/>
                      <w:kern w:val="0"/>
                      <w:sz w:val="21"/>
                      <w:szCs w:val="21"/>
                      <w:lang w:val="en-US" w:eastAsia="zh-CN"/>
                    </w:rPr>
                    <w:t>9</w:t>
                  </w:r>
                </w:p>
              </w:tc>
              <w:tc>
                <w:tcPr>
                  <w:tcW w:w="3397" w:type="dxa"/>
                  <w:noWrap w:val="0"/>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lang w:val="en-US" w:eastAsia="zh-CN"/>
                    </w:rPr>
                    <w:t>数据传输软件</w:t>
                  </w:r>
                </w:p>
              </w:tc>
              <w:tc>
                <w:tcPr>
                  <w:tcW w:w="637"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lang w:val="en-US" w:eastAsia="zh-CN"/>
                    </w:rPr>
                  </w:pPr>
                  <w:r>
                    <w:rPr>
                      <w:rFonts w:hint="eastAsia" w:ascii="宋体" w:hAnsi="宋体"/>
                      <w:color w:val="auto"/>
                      <w:kern w:val="0"/>
                      <w:sz w:val="21"/>
                      <w:szCs w:val="21"/>
                      <w:lang w:val="en-US" w:eastAsia="zh-CN"/>
                    </w:rPr>
                    <w:t>10</w:t>
                  </w:r>
                </w:p>
              </w:tc>
              <w:tc>
                <w:tcPr>
                  <w:tcW w:w="3397" w:type="dxa"/>
                  <w:noWrap w:val="0"/>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电源适配器（含电源线）</w:t>
                  </w:r>
                </w:p>
              </w:tc>
              <w:tc>
                <w:tcPr>
                  <w:tcW w:w="637"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lang w:val="en-US" w:eastAsia="zh-CN"/>
                    </w:rPr>
                  </w:pPr>
                  <w:r>
                    <w:rPr>
                      <w:rFonts w:hint="eastAsia" w:ascii="宋体" w:hAnsi="宋体"/>
                      <w:color w:val="auto"/>
                      <w:kern w:val="0"/>
                      <w:sz w:val="21"/>
                      <w:szCs w:val="21"/>
                      <w:lang w:val="en-US" w:eastAsia="zh-CN"/>
                    </w:rPr>
                    <w:t>11</w:t>
                  </w:r>
                </w:p>
              </w:tc>
              <w:tc>
                <w:tcPr>
                  <w:tcW w:w="3397" w:type="dxa"/>
                  <w:noWrap w:val="0"/>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U盘</w:t>
                  </w:r>
                </w:p>
              </w:tc>
              <w:tc>
                <w:tcPr>
                  <w:tcW w:w="637"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938" w:type="dxa"/>
                  <w:noWrap w:val="0"/>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个</w:t>
                  </w:r>
                </w:p>
              </w:tc>
            </w:tr>
          </w:tbl>
          <w:p>
            <w:pPr>
              <w:pStyle w:val="2"/>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numPr>
                <w:ilvl w:val="0"/>
                <w:numId w:val="0"/>
              </w:numPr>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1.电源电压：220V±10%   50Hz±3%</w:t>
            </w:r>
          </w:p>
          <w:p>
            <w:pPr>
              <w:numPr>
                <w:ilvl w:val="0"/>
                <w:numId w:val="0"/>
              </w:numPr>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2.扫描条件：直接扫描，无需喷粉</w:t>
            </w:r>
          </w:p>
          <w:p>
            <w:pPr>
              <w:numPr>
                <w:ilvl w:val="0"/>
                <w:numId w:val="0"/>
              </w:numPr>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3.基本技术要求</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3.1数字印模：真彩技术</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3.2扫描光源：LED</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3.3扫描分辨率：&lt; 0.15 mm</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3.4扫描精度：&lt; 20 μm   </w:t>
            </w:r>
          </w:p>
          <w:p>
            <w:pPr>
              <w:numPr>
                <w:ilvl w:val="0"/>
                <w:numId w:val="0"/>
              </w:numPr>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3.5产品重量：扫描仪重约 340g</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3.6关键尺寸：扫描窗口长宽 &gt;15mm*10mm，扫描头高度&lt; 20mm</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4.性能特点</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 xml:space="preserve"> 4.1 共焦显微扫描技术 Ultrafast Optical Sectioning （超快光学切片）原理</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4.2扫描方式</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4.2.1具有普通扫描和加速扫描模式，全口扫描约2分钟内完成</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4.2.2高分辨率拍照功能（口腔观察仪），让定位局部更清晰，图像可发送至加工厂作为参考依据</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4.2.3取像景深加强模式，&gt;15mm，特定部位扫描更清晰，加强对于种植治疗中的扫描杆取像效果</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4.2.4具有牙龈锁定扫描功能，牙龈回弹不影响扫描</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4.2.5 AI 人工智能扫描，能识别不需要的颊，舌和唇粘膜等软组织并自动去除</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4.2.6 可远程操控，按住扫描枪按钮，通过转动扫描枪即可完成操控进行下一步</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4.2.7支持对口内多颗种植体的扫描，有丰富的原厂植体数据库进行配套</w:t>
            </w:r>
          </w:p>
          <w:p>
            <w:pPr>
              <w:numPr>
                <w:ilvl w:val="0"/>
                <w:numId w:val="0"/>
              </w:numPr>
              <w:jc w:val="left"/>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4.2.8多种智能基台匹配功能，有丰富的原厂基台数据库进行匹配</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4.2.9扫描枪内置自动加热系统，防止镜面起雾，造成扫描过程中的误差</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4.3清洁及感控消毒</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4.3.1扫描头可拆卸，进行符合医院感控要求的高温高压消</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4.3.2机身表面可以用75%医用酒精进行表面消毒</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4.4 图像后处理速度约为 2 分钟</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4.5软件应用及临床治疗沟通</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4.5.1有原厂数据处理软件，自带病例管理功能，数据也可以导出，兼容第三方处理软件</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4.5.2数字印模可发送至不同电脑作后期设计，不影响口内扫描仪进行下一次扫描</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en-US" w:bidi="ar-SA"/>
              </w:rPr>
              <w:t>▲</w:t>
            </w:r>
            <w:r>
              <w:rPr>
                <w:rFonts w:hint="eastAsia" w:ascii="宋体" w:hAnsi="宋体" w:eastAsia="宋体" w:cs="宋体"/>
                <w:bCs/>
                <w:color w:val="auto"/>
                <w:kern w:val="0"/>
                <w:sz w:val="21"/>
                <w:szCs w:val="21"/>
                <w:lang w:val="en-US" w:eastAsia="zh-CN" w:bidi="ar-SA"/>
              </w:rPr>
              <w:t>4.5.3内置数字化比色系统，通过鼠标点击即可显示牙齿局部颜色色号</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4.5.4智能牙体预备检测功能，让备牙情况一目了然，提高最终修复体效果，同时可以用于临床教学</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4.5.5口扫软件含有倒凹观察，咬距离检测，对额测量、边缘线测量功能</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4.5.6动态咬合自动对齐功能，特殊病例可通过手动对齐完成咬合关系的配准和确认</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4.5.7支持 IOS 及 Android 的医患，技沟通的平台，具备配套的 App</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5.工控机配置要求</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5.1处理器：不低于2.50 GHz</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5.2内存：16G DDR4 以上</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5.3操作系统：windows 10</w:t>
            </w:r>
          </w:p>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5.4输出文件格式：STL、PLY开放格式，DCM 彩色格式，压缩文件还原齿色及订单信息</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年。投标人中标后需提供与设备生产厂家签订的该设备</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eastAsia="宋体" w:cs="Times New Roman"/>
                <w:bCs/>
                <w:color w:val="auto"/>
                <w:szCs w:val="21"/>
                <w:highlight w:val="none"/>
              </w:rPr>
              <w:t>设备和材料</w:t>
            </w:r>
            <w:r>
              <w:rPr>
                <w:rFonts w:hint="eastAsia" w:ascii="宋体" w:hAnsi="宋体" w:eastAsia="宋体" w:cs="Times New Roman"/>
                <w:bCs/>
                <w:color w:val="auto"/>
                <w:szCs w:val="21"/>
                <w:highlight w:val="none"/>
                <w:lang w:eastAsia="zh-CN"/>
              </w:rPr>
              <w:t>须为</w:t>
            </w:r>
            <w:r>
              <w:rPr>
                <w:rFonts w:hint="eastAsia" w:ascii="宋体" w:hAnsi="宋体" w:eastAsia="宋体" w:cs="Times New Roman"/>
                <w:bCs/>
                <w:color w:val="auto"/>
                <w:szCs w:val="21"/>
                <w:highlight w:val="none"/>
              </w:rPr>
              <w:t>全新，包装方式按照原厂出厂原标准</w:t>
            </w:r>
            <w:r>
              <w:rPr>
                <w:rFonts w:hint="eastAsia" w:ascii="宋体" w:hAnsi="宋体" w:eastAsia="宋体" w:cs="Times New Roman"/>
                <w:bCs/>
                <w:color w:val="auto"/>
                <w:szCs w:val="21"/>
                <w:highlight w:val="none"/>
                <w:lang w:eastAsia="zh-CN"/>
              </w:rPr>
              <w:t>。</w:t>
            </w:r>
          </w:p>
        </w:tc>
      </w:tr>
    </w:tbl>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widowControl/>
        <w:spacing w:line="360" w:lineRule="atLeast"/>
        <w:jc w:val="both"/>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rPr>
          <w:rFonts w:hint="eastAsia" w:ascii="宋体" w:hAnsi="宋体" w:eastAsia="宋体" w:cs="Times New Roman"/>
          <w:b/>
          <w:bCs/>
          <w:kern w:val="2"/>
          <w:sz w:val="21"/>
          <w:szCs w:val="21"/>
          <w:lang w:val="en-US" w:eastAsia="zh-CN" w:bidi="ar-SA"/>
        </w:rPr>
      </w:pPr>
    </w:p>
    <w:p>
      <w:pPr>
        <w:pStyle w:val="11"/>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8"/>
        <w:rPr>
          <w:rFonts w:hint="eastAsia" w:hAnsi="宋体"/>
          <w:bCs/>
          <w:color w:val="000000"/>
          <w:lang w:val="zh-CN" w:eastAsia="zh-CN"/>
        </w:rPr>
      </w:pPr>
    </w:p>
    <w:p>
      <w:pPr>
        <w:pStyle w:val="8"/>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8"/>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SZSZXYJHYY202307067</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rPr>
              <w:t>口腔</w:t>
            </w:r>
            <w:r>
              <w:rPr>
                <w:rFonts w:hint="eastAsia" w:ascii="宋体" w:hAnsi="宋体"/>
                <w:szCs w:val="21"/>
                <w:lang w:val="en-US" w:eastAsia="zh-CN"/>
              </w:rPr>
              <w:t>扫描仪</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275865611"/>
      <w:bookmarkStart w:id="8" w:name="_Toc435515306"/>
      <w:bookmarkStart w:id="9" w:name="_Toc192662843"/>
      <w:bookmarkStart w:id="10" w:name="_Toc116913827"/>
      <w:bookmarkStart w:id="11" w:name="_Toc6350"/>
      <w:bookmarkStart w:id="12" w:name="_Toc43551486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8"/>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CA1363"/>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357EE7"/>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6F29D3"/>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818D0"/>
    <w:rsid w:val="2DA9740F"/>
    <w:rsid w:val="2DAC6047"/>
    <w:rsid w:val="2DD65871"/>
    <w:rsid w:val="2E10681D"/>
    <w:rsid w:val="2E1B71DE"/>
    <w:rsid w:val="2E2C1F76"/>
    <w:rsid w:val="2E3816E8"/>
    <w:rsid w:val="2E640B9D"/>
    <w:rsid w:val="2E6464CE"/>
    <w:rsid w:val="2EA319BC"/>
    <w:rsid w:val="2EBA783B"/>
    <w:rsid w:val="2ECD1FFB"/>
    <w:rsid w:val="2EE66610"/>
    <w:rsid w:val="2F2C2B98"/>
    <w:rsid w:val="2F2D0F43"/>
    <w:rsid w:val="2F2D1A36"/>
    <w:rsid w:val="2F3A598B"/>
    <w:rsid w:val="2F454665"/>
    <w:rsid w:val="2F603FAF"/>
    <w:rsid w:val="2F7470EF"/>
    <w:rsid w:val="2FC34383"/>
    <w:rsid w:val="30036E3F"/>
    <w:rsid w:val="30517430"/>
    <w:rsid w:val="307373A7"/>
    <w:rsid w:val="30CC4343"/>
    <w:rsid w:val="30CE12B1"/>
    <w:rsid w:val="310417C9"/>
    <w:rsid w:val="31317290"/>
    <w:rsid w:val="31627E89"/>
    <w:rsid w:val="31895BB2"/>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4A70E4"/>
    <w:rsid w:val="39524DAA"/>
    <w:rsid w:val="399D395D"/>
    <w:rsid w:val="3A0379ED"/>
    <w:rsid w:val="3A06128C"/>
    <w:rsid w:val="3A0A10BA"/>
    <w:rsid w:val="3A7C34E2"/>
    <w:rsid w:val="3A924E40"/>
    <w:rsid w:val="3AB12061"/>
    <w:rsid w:val="3AB91BD3"/>
    <w:rsid w:val="3ADD45FD"/>
    <w:rsid w:val="3AE4658F"/>
    <w:rsid w:val="3B5D0401"/>
    <w:rsid w:val="3B7140B5"/>
    <w:rsid w:val="3B7F380D"/>
    <w:rsid w:val="3B842468"/>
    <w:rsid w:val="3BEB17D0"/>
    <w:rsid w:val="3BF92FA2"/>
    <w:rsid w:val="3CD67608"/>
    <w:rsid w:val="3D4E0F7F"/>
    <w:rsid w:val="3D8B3576"/>
    <w:rsid w:val="3DA60DBB"/>
    <w:rsid w:val="3DB93A68"/>
    <w:rsid w:val="3DE1064E"/>
    <w:rsid w:val="3DFB61C8"/>
    <w:rsid w:val="3E030C8D"/>
    <w:rsid w:val="3E3D762C"/>
    <w:rsid w:val="3EAC028F"/>
    <w:rsid w:val="3EBE4E5C"/>
    <w:rsid w:val="3EC003F2"/>
    <w:rsid w:val="3EC00405"/>
    <w:rsid w:val="3EC6723B"/>
    <w:rsid w:val="3F7A6AE8"/>
    <w:rsid w:val="3F806B5B"/>
    <w:rsid w:val="3F9800BC"/>
    <w:rsid w:val="3F982986"/>
    <w:rsid w:val="3FBD063E"/>
    <w:rsid w:val="3FF252D5"/>
    <w:rsid w:val="4013025E"/>
    <w:rsid w:val="40343CAE"/>
    <w:rsid w:val="403666A1"/>
    <w:rsid w:val="404266FC"/>
    <w:rsid w:val="40F818D1"/>
    <w:rsid w:val="4131589B"/>
    <w:rsid w:val="414342A6"/>
    <w:rsid w:val="41632ABD"/>
    <w:rsid w:val="41A97753"/>
    <w:rsid w:val="41F832AA"/>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9FB248F"/>
    <w:rsid w:val="4A1322EC"/>
    <w:rsid w:val="4A16422A"/>
    <w:rsid w:val="4A1D0657"/>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656994"/>
    <w:rsid w:val="59730E5F"/>
    <w:rsid w:val="59982BEC"/>
    <w:rsid w:val="59A4342A"/>
    <w:rsid w:val="59B312EF"/>
    <w:rsid w:val="59BC747E"/>
    <w:rsid w:val="59C45C79"/>
    <w:rsid w:val="59FD66E3"/>
    <w:rsid w:val="5A464050"/>
    <w:rsid w:val="5A9336B3"/>
    <w:rsid w:val="5B081706"/>
    <w:rsid w:val="5B0A1BC6"/>
    <w:rsid w:val="5B0D3081"/>
    <w:rsid w:val="5B4214A1"/>
    <w:rsid w:val="5B8A0775"/>
    <w:rsid w:val="5B8E21EC"/>
    <w:rsid w:val="5BDB7A2A"/>
    <w:rsid w:val="5C026DC7"/>
    <w:rsid w:val="5C646491"/>
    <w:rsid w:val="5C653CAB"/>
    <w:rsid w:val="5C7C3E2C"/>
    <w:rsid w:val="5C8B32B0"/>
    <w:rsid w:val="5C8C4481"/>
    <w:rsid w:val="5CA93512"/>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8B6E46"/>
    <w:rsid w:val="5FC66C44"/>
    <w:rsid w:val="5FED0BD9"/>
    <w:rsid w:val="607B2B9B"/>
    <w:rsid w:val="60966616"/>
    <w:rsid w:val="60CD12F7"/>
    <w:rsid w:val="613C32EA"/>
    <w:rsid w:val="617277DD"/>
    <w:rsid w:val="61861065"/>
    <w:rsid w:val="61D2241D"/>
    <w:rsid w:val="61E504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80948"/>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w:basedOn w:val="1"/>
    <w:next w:val="9"/>
    <w:qFormat/>
    <w:uiPriority w:val="0"/>
    <w:pPr>
      <w:spacing w:after="120"/>
    </w:pPr>
  </w:style>
  <w:style w:type="paragraph" w:styleId="9">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cs="宋体"/>
      <w:szCs w:val="21"/>
    </w:r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19093</Words>
  <Characters>20769</Characters>
  <Lines>0</Lines>
  <Paragraphs>0</Paragraphs>
  <TotalTime>30</TotalTime>
  <ScaleCrop>false</ScaleCrop>
  <LinksUpToDate>false</LinksUpToDate>
  <CharactersWithSpaces>22225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2023-07-31T02:23:26Z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A306BEF6770A471E95208F61F568B412_13</vt:lpwstr>
  </property>
</Properties>
</file>