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312" w:beforeLines="100" w:after="31" w:afterLines="10"/>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医疗器械临床试验检查要点及判定原则</w:t>
      </w:r>
    </w:p>
    <w:p>
      <w:pPr>
        <w:pStyle w:val="4"/>
        <w:keepNext w:val="0"/>
        <w:keepLines w:val="0"/>
        <w:widowControl/>
        <w:suppressLineNumbers w:val="0"/>
        <w:wordWrap/>
        <w:spacing w:line="480" w:lineRule="atLeast"/>
        <w:ind w:left="0" w:firstLine="480" w:firstLineChars="20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根据《医疗器械注册管理办法》和《医疗器械临床试验质量管理规范》等要求制定本检查要点及判定原则，用于指导医疗器械临床试验现场检查工作。</w:t>
      </w:r>
    </w:p>
    <w:p>
      <w:pPr>
        <w:pStyle w:val="4"/>
        <w:keepNext w:val="0"/>
        <w:keepLines w:val="0"/>
        <w:widowControl/>
        <w:suppressLineNumbers w:val="0"/>
        <w:wordWrap/>
        <w:spacing w:line="480" w:lineRule="atLeast"/>
        <w:ind w:left="0" w:firstLine="420"/>
        <w:jc w:val="left"/>
        <w:rPr>
          <w:color w:val="000000"/>
          <w:sz w:val="24"/>
          <w:szCs w:val="24"/>
        </w:rPr>
      </w:pPr>
      <w:r>
        <w:rPr>
          <w:rStyle w:val="7"/>
          <w:rFonts w:hint="eastAsia" w:ascii="微软雅黑" w:hAnsi="微软雅黑" w:eastAsia="微软雅黑" w:cs="微软雅黑"/>
          <w:caps w:val="0"/>
          <w:color w:val="000000"/>
          <w:spacing w:val="0"/>
          <w:sz w:val="24"/>
          <w:szCs w:val="24"/>
        </w:rPr>
        <w:t>一、检查要点</w:t>
      </w:r>
    </w:p>
    <w:tbl>
      <w:tblPr>
        <w:tblStyle w:val="5"/>
        <w:tblW w:w="9060" w:type="dxa"/>
        <w:tblCellSpacing w:w="0"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52"/>
        <w:gridCol w:w="3876"/>
        <w:gridCol w:w="4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blHeader/>
          <w:tblCellSpacing w:w="0" w:type="dxa"/>
        </w:trPr>
        <w:tc>
          <w:tcPr>
            <w:tcW w:w="652"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hint="eastAsia"/>
                <w:b/>
                <w:bCs/>
                <w:sz w:val="20"/>
                <w:szCs w:val="22"/>
              </w:rPr>
            </w:pPr>
            <w:r>
              <w:rPr>
                <w:rFonts w:hint="eastAsia"/>
                <w:b/>
                <w:bCs/>
                <w:sz w:val="20"/>
                <w:szCs w:val="22"/>
              </w:rPr>
              <w:t>序号</w:t>
            </w:r>
          </w:p>
        </w:tc>
        <w:tc>
          <w:tcPr>
            <w:tcW w:w="3876"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jc w:val="center"/>
              <w:rPr>
                <w:rFonts w:hint="eastAsia"/>
                <w:b/>
                <w:bCs/>
                <w:sz w:val="20"/>
                <w:szCs w:val="22"/>
              </w:rPr>
            </w:pPr>
            <w:r>
              <w:rPr>
                <w:rFonts w:hint="eastAsia"/>
                <w:b/>
                <w:bCs/>
                <w:sz w:val="20"/>
                <w:szCs w:val="22"/>
              </w:rPr>
              <w:t>现场检查要点</w:t>
            </w:r>
          </w:p>
        </w:tc>
        <w:tc>
          <w:tcPr>
            <w:tcW w:w="4532"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jc w:val="center"/>
              <w:rPr>
                <w:b/>
                <w:bCs/>
                <w:sz w:val="20"/>
                <w:szCs w:val="22"/>
              </w:rPr>
            </w:pPr>
            <w:r>
              <w:rPr>
                <w:rFonts w:hint="eastAsia"/>
                <w:b/>
                <w:bCs/>
                <w:sz w:val="20"/>
                <w:szCs w:val="22"/>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Style w:val="7"/>
                <w:rFonts w:hint="eastAsia" w:ascii="微软雅黑" w:hAnsi="微软雅黑" w:eastAsia="微软雅黑" w:cs="微软雅黑"/>
                <w:color w:val="000000"/>
                <w:sz w:val="18"/>
                <w:szCs w:val="18"/>
              </w:rPr>
              <w:t>1</w:t>
            </w:r>
          </w:p>
        </w:tc>
        <w:tc>
          <w:tcPr>
            <w:tcW w:w="8408"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Style w:val="7"/>
                <w:rFonts w:ascii="仿宋_GB2312" w:hAnsi="仿宋_GB2312" w:eastAsia="仿宋_GB2312" w:cs="仿宋_GB2312"/>
                <w:color w:val="000000"/>
                <w:sz w:val="24"/>
                <w:szCs w:val="24"/>
              </w:rPr>
              <w:t>临床试验前准备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1.1</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Fonts w:hint="default" w:ascii="仿宋_GB2312" w:hAnsi="仿宋_GB2312" w:eastAsia="仿宋_GB2312" w:cs="仿宋_GB2312"/>
                <w:color w:val="000000"/>
                <w:sz w:val="24"/>
                <w:szCs w:val="24"/>
              </w:rPr>
              <w:t>临床试验机构应具有开展相关医疗器械产品临床试验的资质</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Fonts w:hint="default" w:ascii="仿宋_GB2312" w:hAnsi="仿宋_GB2312" w:eastAsia="仿宋_GB2312" w:cs="仿宋_GB2312"/>
                <w:color w:val="000000"/>
                <w:sz w:val="24"/>
                <w:szCs w:val="24"/>
              </w:rPr>
              <w:t>检查药物临床试验机构资格证明或医疗器械临床试验机构备案证明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1.2</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Fonts w:hint="default" w:ascii="仿宋_GB2312" w:hAnsi="仿宋_GB2312" w:eastAsia="仿宋_GB2312" w:cs="仿宋_GB2312"/>
                <w:color w:val="000000"/>
                <w:sz w:val="24"/>
                <w:szCs w:val="24"/>
              </w:rPr>
              <w:t>需要进行临床试验审批的第三类医疗器械应获得批准</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Fonts w:hint="default" w:ascii="仿宋_GB2312" w:hAnsi="仿宋_GB2312" w:eastAsia="仿宋_GB2312" w:cs="仿宋_GB2312"/>
                <w:color w:val="000000"/>
                <w:sz w:val="24"/>
                <w:szCs w:val="24"/>
              </w:rPr>
              <w:t>检查医疗器械临床试验批件，且批件日期不晚于临床试验开始日期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1.3</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Fonts w:hint="default" w:ascii="仿宋_GB2312" w:hAnsi="仿宋_GB2312" w:eastAsia="仿宋_GB2312" w:cs="仿宋_GB2312"/>
                <w:color w:val="000000"/>
                <w:sz w:val="24"/>
                <w:szCs w:val="24"/>
              </w:rPr>
              <w:t>临床试验项目按相关规定备案</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Fonts w:hint="default" w:ascii="仿宋_GB2312" w:hAnsi="仿宋_GB2312" w:eastAsia="仿宋_GB2312" w:cs="仿宋_GB2312"/>
                <w:color w:val="000000"/>
                <w:sz w:val="24"/>
                <w:szCs w:val="24"/>
              </w:rPr>
              <w:t>检查省局出具的《医疗器械临床试验备案表》，备案日期不晚于临床试验开始日期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1.4</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Fonts w:hint="default" w:ascii="仿宋_GB2312" w:hAnsi="仿宋_GB2312" w:eastAsia="仿宋_GB2312" w:cs="仿宋_GB2312"/>
                <w:color w:val="000000"/>
                <w:sz w:val="24"/>
                <w:szCs w:val="24"/>
              </w:rPr>
              <w:t>临床试验应获得临床试验机构伦理委员会批准</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Fonts w:hint="default" w:ascii="仿宋_GB2312" w:hAnsi="仿宋_GB2312" w:eastAsia="仿宋_GB2312" w:cs="仿宋_GB2312"/>
                <w:color w:val="000000"/>
                <w:sz w:val="24"/>
                <w:szCs w:val="24"/>
              </w:rPr>
              <w:t>检查伦理审查批件，批准日期不晚于临床试验开始入组日期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1.5</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Fonts w:hint="default" w:ascii="仿宋_GB2312" w:hAnsi="仿宋_GB2312" w:eastAsia="仿宋_GB2312" w:cs="仿宋_GB2312"/>
                <w:color w:val="000000"/>
                <w:sz w:val="24"/>
                <w:szCs w:val="24"/>
              </w:rPr>
              <w:t>试验用医疗器械研制符合适用的医疗器械质量管理体系相关要求</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Fonts w:hint="default" w:ascii="仿宋_GB2312" w:hAnsi="仿宋_GB2312" w:eastAsia="仿宋_GB2312" w:cs="仿宋_GB2312"/>
                <w:color w:val="000000"/>
                <w:sz w:val="24"/>
                <w:szCs w:val="24"/>
              </w:rPr>
              <w:t>检查试验用医疗器械的研制符合适用的医疗器械质量管理体系相关要求的声明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1.6</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Fonts w:hint="default" w:ascii="仿宋_GB2312" w:hAnsi="仿宋_GB2312" w:eastAsia="仿宋_GB2312" w:cs="仿宋_GB2312"/>
                <w:color w:val="000000"/>
                <w:sz w:val="24"/>
                <w:szCs w:val="24"/>
              </w:rPr>
              <w:t>试验用医疗器械有自检报告和具有资质的检验机构出具的一年内的产品注册检验合格报告</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Fonts w:hint="default" w:ascii="仿宋_GB2312" w:hAnsi="仿宋_GB2312" w:eastAsia="仿宋_GB2312" w:cs="仿宋_GB2312"/>
                <w:color w:val="000000"/>
                <w:sz w:val="24"/>
                <w:szCs w:val="24"/>
              </w:rPr>
              <w:t>检查相应检验报告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1.7</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Fonts w:hint="default" w:ascii="仿宋_GB2312" w:hAnsi="仿宋_GB2312" w:eastAsia="仿宋_GB2312" w:cs="仿宋_GB2312"/>
                <w:color w:val="000000"/>
                <w:sz w:val="24"/>
                <w:szCs w:val="24"/>
              </w:rPr>
              <w:t>临床试验机构设施和条件与临床试验项目相适应</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Fonts w:hint="default" w:ascii="仿宋_GB2312" w:hAnsi="仿宋_GB2312" w:eastAsia="仿宋_GB2312" w:cs="仿宋_GB2312"/>
                <w:color w:val="000000"/>
                <w:sz w:val="24"/>
                <w:szCs w:val="24"/>
              </w:rPr>
              <w:t>检查试验方案中涉及的主要仪器设备及设施条件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1.8</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Fonts w:hint="default" w:ascii="仿宋_GB2312" w:hAnsi="仿宋_GB2312" w:eastAsia="仿宋_GB2312" w:cs="仿宋_GB2312"/>
                <w:color w:val="000000"/>
                <w:sz w:val="24"/>
                <w:szCs w:val="24"/>
              </w:rPr>
              <w:t>临床试验机构具有医学或实验室操作的质控证明（若有）</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Fonts w:hint="default" w:ascii="仿宋_GB2312" w:hAnsi="仿宋_GB2312" w:eastAsia="仿宋_GB2312" w:cs="仿宋_GB2312"/>
                <w:color w:val="000000"/>
                <w:sz w:val="24"/>
                <w:szCs w:val="24"/>
              </w:rPr>
              <w:t>临床检验室开展临床检验室内质量控制，检查有效的临床检验室间质量评价合格证书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1.9</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Fonts w:hint="default" w:ascii="仿宋_GB2312" w:hAnsi="仿宋_GB2312" w:eastAsia="仿宋_GB2312" w:cs="仿宋_GB2312"/>
                <w:color w:val="000000"/>
                <w:sz w:val="24"/>
                <w:szCs w:val="24"/>
              </w:rPr>
              <w:t>试验相关仪器和设备应定期维护和校准</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Fonts w:hint="default" w:ascii="仿宋_GB2312" w:hAnsi="仿宋_GB2312" w:eastAsia="仿宋_GB2312" w:cs="仿宋_GB2312"/>
                <w:color w:val="000000"/>
                <w:sz w:val="24"/>
                <w:szCs w:val="24"/>
              </w:rPr>
              <w:t>检查试验相关仪器和设备维护、校准记录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1.10</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Fonts w:hint="default" w:ascii="仿宋_GB2312" w:hAnsi="仿宋_GB2312" w:eastAsia="仿宋_GB2312" w:cs="仿宋_GB2312"/>
                <w:color w:val="000000"/>
                <w:sz w:val="24"/>
                <w:szCs w:val="24"/>
              </w:rPr>
              <w:t>研究者应具有执业资格、临床试验的专业特长、资格和能力</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Fonts w:hint="default" w:ascii="仿宋_GB2312" w:hAnsi="仿宋_GB2312" w:eastAsia="仿宋_GB2312" w:cs="仿宋_GB2312"/>
                <w:color w:val="000000"/>
                <w:sz w:val="24"/>
                <w:szCs w:val="24"/>
              </w:rPr>
              <w:t>检查研究者的执业资格、职称证书、履历等。负责临床试验的研究者应当在该临床试验机构中具有副高以上相关专业技术职称和资质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1.11</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Fonts w:hint="default" w:ascii="仿宋_GB2312" w:hAnsi="仿宋_GB2312" w:eastAsia="仿宋_GB2312" w:cs="仿宋_GB2312"/>
                <w:color w:val="000000"/>
                <w:sz w:val="24"/>
                <w:szCs w:val="24"/>
              </w:rPr>
              <w:t>研究者经过临床试验方案和试验用医疗器械使用和维护的培训</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Fonts w:hint="default" w:ascii="仿宋_GB2312" w:hAnsi="仿宋_GB2312" w:eastAsia="仿宋_GB2312" w:cs="仿宋_GB2312"/>
                <w:color w:val="000000"/>
                <w:sz w:val="24"/>
                <w:szCs w:val="24"/>
              </w:rPr>
              <w:t>检查研究者临床试验方案和试验用医疗器械使用和维护的培训记录，培训日期不晚于临床试验开始日期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1.12</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临床试验签署临床试验协议</w:t>
            </w:r>
            <w:r>
              <w:rPr>
                <w:rFonts w:hint="eastAsia" w:ascii="仿宋_GB2312" w:hAnsi="仿宋_GB2312" w:eastAsia="仿宋_GB2312" w:cs="仿宋_GB2312"/>
                <w:color w:val="000000"/>
                <w:sz w:val="24"/>
                <w:szCs w:val="24"/>
              </w:rPr>
              <w:t>/</w:t>
            </w:r>
            <w:r>
              <w:rPr>
                <w:rFonts w:hint="default" w:ascii="仿宋_GB2312" w:hAnsi="仿宋_GB2312" w:eastAsia="仿宋_GB2312" w:cs="仿宋_GB2312"/>
                <w:color w:val="000000"/>
                <w:sz w:val="24"/>
                <w:szCs w:val="24"/>
              </w:rPr>
              <w:t>合同</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检查申办者</w:t>
            </w:r>
            <w:r>
              <w:rPr>
                <w:rFonts w:hint="eastAsia" w:ascii="仿宋_GB2312" w:hAnsi="仿宋_GB2312" w:eastAsia="仿宋_GB2312" w:cs="仿宋_GB2312"/>
                <w:color w:val="000000"/>
                <w:sz w:val="24"/>
                <w:szCs w:val="24"/>
              </w:rPr>
              <w:t>/</w:t>
            </w:r>
            <w:r>
              <w:rPr>
                <w:rFonts w:hint="default" w:ascii="仿宋_GB2312" w:hAnsi="仿宋_GB2312" w:eastAsia="仿宋_GB2312" w:cs="仿宋_GB2312"/>
                <w:color w:val="000000"/>
                <w:sz w:val="24"/>
                <w:szCs w:val="24"/>
              </w:rPr>
              <w:t>代理人与临床试验机构签订的协议</w:t>
            </w:r>
            <w:r>
              <w:rPr>
                <w:rFonts w:hint="eastAsia" w:ascii="仿宋_GB2312" w:hAnsi="仿宋_GB2312" w:eastAsia="仿宋_GB2312" w:cs="仿宋_GB2312"/>
                <w:color w:val="000000"/>
                <w:sz w:val="24"/>
                <w:szCs w:val="24"/>
              </w:rPr>
              <w:t>/</w:t>
            </w:r>
            <w:r>
              <w:rPr>
                <w:rFonts w:hint="default" w:ascii="仿宋_GB2312" w:hAnsi="仿宋_GB2312" w:eastAsia="仿宋_GB2312" w:cs="仿宋_GB2312"/>
                <w:color w:val="000000"/>
                <w:sz w:val="24"/>
                <w:szCs w:val="24"/>
              </w:rPr>
              <w:t>合同，规定了各自职责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1.13</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协议</w:t>
            </w:r>
            <w:r>
              <w:rPr>
                <w:rFonts w:hint="eastAsia" w:ascii="仿宋_GB2312" w:hAnsi="仿宋_GB2312" w:eastAsia="仿宋_GB2312" w:cs="仿宋_GB2312"/>
                <w:color w:val="000000"/>
                <w:sz w:val="24"/>
                <w:szCs w:val="24"/>
              </w:rPr>
              <w:t>/</w:t>
            </w:r>
            <w:r>
              <w:rPr>
                <w:rFonts w:hint="default" w:ascii="仿宋_GB2312" w:hAnsi="仿宋_GB2312" w:eastAsia="仿宋_GB2312" w:cs="仿宋_GB2312"/>
                <w:color w:val="000000"/>
                <w:sz w:val="24"/>
                <w:szCs w:val="24"/>
              </w:rPr>
              <w:t>合同内容与试验用医疗器械信息相符</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检查协议</w:t>
            </w:r>
            <w:r>
              <w:rPr>
                <w:rFonts w:hint="eastAsia" w:ascii="仿宋_GB2312" w:hAnsi="仿宋_GB2312" w:eastAsia="仿宋_GB2312" w:cs="仿宋_GB2312"/>
                <w:color w:val="000000"/>
                <w:sz w:val="24"/>
                <w:szCs w:val="24"/>
              </w:rPr>
              <w:t>/</w:t>
            </w:r>
            <w:r>
              <w:rPr>
                <w:rFonts w:hint="default" w:ascii="仿宋_GB2312" w:hAnsi="仿宋_GB2312" w:eastAsia="仿宋_GB2312" w:cs="仿宋_GB2312"/>
                <w:color w:val="000000"/>
                <w:sz w:val="24"/>
                <w:szCs w:val="24"/>
              </w:rPr>
              <w:t>合同与临床试验方案，相关信息一致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Style w:val="7"/>
                <w:rFonts w:hint="eastAsia" w:ascii="微软雅黑" w:hAnsi="微软雅黑" w:eastAsia="微软雅黑" w:cs="微软雅黑"/>
                <w:color w:val="000000"/>
                <w:sz w:val="18"/>
                <w:szCs w:val="18"/>
              </w:rPr>
              <w:t>2</w:t>
            </w:r>
          </w:p>
        </w:tc>
        <w:tc>
          <w:tcPr>
            <w:tcW w:w="8408"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Style w:val="7"/>
                <w:rFonts w:hint="default" w:ascii="仿宋_GB2312" w:hAnsi="仿宋_GB2312" w:eastAsia="仿宋_GB2312" w:cs="仿宋_GB2312"/>
                <w:color w:val="000000"/>
                <w:sz w:val="24"/>
                <w:szCs w:val="24"/>
              </w:rPr>
              <w:t>受试者权益保障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Style w:val="7"/>
                <w:rFonts w:hint="eastAsia" w:ascii="微软雅黑" w:hAnsi="微软雅黑" w:eastAsia="微软雅黑" w:cs="微软雅黑"/>
                <w:color w:val="000000"/>
                <w:sz w:val="18"/>
                <w:szCs w:val="18"/>
              </w:rPr>
              <w:t>2.1</w:t>
            </w:r>
          </w:p>
        </w:tc>
        <w:tc>
          <w:tcPr>
            <w:tcW w:w="8408"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Style w:val="7"/>
                <w:rFonts w:hint="default" w:ascii="仿宋_GB2312" w:hAnsi="仿宋_GB2312" w:eastAsia="仿宋_GB2312" w:cs="仿宋_GB2312"/>
                <w:color w:val="000000"/>
                <w:sz w:val="24"/>
                <w:szCs w:val="24"/>
              </w:rPr>
              <w:t>伦理审查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2.1.1</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伦理委员会委员经过培训</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检查伦理委员会委员培训记录或培训证书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2.1.2</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伦理审查内容符合相关规范、指导原则和</w:t>
            </w:r>
            <w:r>
              <w:rPr>
                <w:rFonts w:hint="eastAsia" w:ascii="仿宋_GB2312" w:hAnsi="仿宋_GB2312" w:eastAsia="仿宋_GB2312" w:cs="仿宋_GB2312"/>
                <w:color w:val="000000"/>
                <w:sz w:val="24"/>
                <w:szCs w:val="24"/>
              </w:rPr>
              <w:t>SOP</w:t>
            </w:r>
            <w:r>
              <w:rPr>
                <w:rFonts w:hint="default" w:ascii="仿宋_GB2312" w:hAnsi="仿宋_GB2312" w:eastAsia="仿宋_GB2312" w:cs="仿宋_GB2312"/>
                <w:color w:val="000000"/>
                <w:sz w:val="24"/>
                <w:szCs w:val="24"/>
              </w:rPr>
              <w:t>要求</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检查伦理审查内容应当符合《医疗器械临床试验质量管理规范》（以下简称医疗器械</w:t>
            </w:r>
            <w:r>
              <w:rPr>
                <w:rFonts w:hint="eastAsia" w:ascii="仿宋_GB2312" w:hAnsi="仿宋_GB2312" w:eastAsia="仿宋_GB2312" w:cs="仿宋_GB2312"/>
                <w:color w:val="000000"/>
                <w:sz w:val="24"/>
                <w:szCs w:val="24"/>
              </w:rPr>
              <w:t>GCP</w:t>
            </w:r>
            <w:r>
              <w:rPr>
                <w:rFonts w:hint="default" w:ascii="仿宋_GB2312" w:hAnsi="仿宋_GB2312" w:eastAsia="仿宋_GB2312" w:cs="仿宋_GB2312"/>
                <w:color w:val="000000"/>
                <w:sz w:val="24"/>
                <w:szCs w:val="24"/>
              </w:rPr>
              <w:t>）第</w:t>
            </w:r>
            <w:r>
              <w:rPr>
                <w:rFonts w:hint="eastAsia" w:ascii="仿宋_GB2312" w:hAnsi="仿宋_GB2312" w:eastAsia="仿宋_GB2312" w:cs="仿宋_GB2312"/>
                <w:color w:val="000000"/>
                <w:sz w:val="24"/>
                <w:szCs w:val="24"/>
              </w:rPr>
              <w:t>17</w:t>
            </w:r>
            <w:r>
              <w:rPr>
                <w:rFonts w:hint="default"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33</w:t>
            </w:r>
            <w:r>
              <w:rPr>
                <w:rFonts w:hint="default" w:ascii="仿宋_GB2312" w:hAnsi="仿宋_GB2312" w:eastAsia="仿宋_GB2312" w:cs="仿宋_GB2312"/>
                <w:color w:val="000000"/>
                <w:sz w:val="24"/>
                <w:szCs w:val="24"/>
              </w:rPr>
              <w:t>条，相关指导原则和医院伦理</w:t>
            </w:r>
            <w:r>
              <w:rPr>
                <w:rFonts w:hint="eastAsia" w:ascii="仿宋_GB2312" w:hAnsi="仿宋_GB2312" w:eastAsia="仿宋_GB2312" w:cs="仿宋_GB2312"/>
                <w:color w:val="000000"/>
                <w:sz w:val="24"/>
                <w:szCs w:val="24"/>
              </w:rPr>
              <w:t>SOP</w:t>
            </w:r>
            <w:r>
              <w:rPr>
                <w:rFonts w:hint="default" w:ascii="仿宋_GB2312" w:hAnsi="仿宋_GB2312" w:eastAsia="仿宋_GB2312" w:cs="仿宋_GB2312"/>
                <w:color w:val="000000"/>
                <w:sz w:val="24"/>
                <w:szCs w:val="24"/>
              </w:rPr>
              <w:t>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2.1.3</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伦理审查记录应完整</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检查伦理委员会保存的资料的完整性，应当具有审查材料、审查表格、签到表、表决票、会议记录、审查批件等</w:t>
            </w:r>
            <w:r>
              <w:rPr>
                <w:rFonts w:hint="eastAsia" w:ascii="仿宋_GB2312" w:hAnsi="仿宋_GB2312" w:eastAsia="仿宋_GB2312" w:cs="仿宋_GB2312"/>
                <w:color w:val="000000"/>
                <w:sz w:val="24"/>
                <w:szCs w:val="24"/>
              </w:rPr>
              <w:t>SOP</w:t>
            </w:r>
            <w:r>
              <w:rPr>
                <w:rFonts w:hint="default" w:ascii="仿宋_GB2312" w:hAnsi="仿宋_GB2312" w:eastAsia="仿宋_GB2312" w:cs="仿宋_GB2312"/>
                <w:color w:val="000000"/>
                <w:sz w:val="24"/>
                <w:szCs w:val="24"/>
              </w:rPr>
              <w:t>中规定的文件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2.1.4</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伦理委员会表决符合相关规范、指导原则和</w:t>
            </w:r>
            <w:r>
              <w:rPr>
                <w:rFonts w:hint="eastAsia" w:ascii="仿宋_GB2312" w:hAnsi="仿宋_GB2312" w:eastAsia="仿宋_GB2312" w:cs="仿宋_GB2312"/>
                <w:color w:val="000000"/>
                <w:sz w:val="24"/>
                <w:szCs w:val="24"/>
              </w:rPr>
              <w:t>SOP</w:t>
            </w:r>
            <w:r>
              <w:rPr>
                <w:rFonts w:hint="default" w:ascii="仿宋_GB2312" w:hAnsi="仿宋_GB2312" w:eastAsia="仿宋_GB2312" w:cs="仿宋_GB2312"/>
                <w:color w:val="000000"/>
                <w:sz w:val="24"/>
                <w:szCs w:val="24"/>
              </w:rPr>
              <w:t>要求</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检查伦理审查意见、伦理委员会成员组成、表决记录，应当符合医疗器械</w:t>
            </w:r>
            <w:r>
              <w:rPr>
                <w:rFonts w:hint="eastAsia" w:ascii="仿宋_GB2312" w:hAnsi="仿宋_GB2312" w:eastAsia="仿宋_GB2312" w:cs="仿宋_GB2312"/>
                <w:color w:val="000000"/>
                <w:sz w:val="24"/>
                <w:szCs w:val="24"/>
              </w:rPr>
              <w:t>GCP</w:t>
            </w:r>
            <w:r>
              <w:rPr>
                <w:rFonts w:hint="default" w:ascii="仿宋_GB2312" w:hAnsi="仿宋_GB2312" w:eastAsia="仿宋_GB2312" w:cs="仿宋_GB2312"/>
                <w:color w:val="000000"/>
                <w:sz w:val="24"/>
                <w:szCs w:val="24"/>
              </w:rPr>
              <w:t>第</w:t>
            </w:r>
            <w:r>
              <w:rPr>
                <w:rFonts w:hint="eastAsia" w:ascii="仿宋_GB2312" w:hAnsi="仿宋_GB2312" w:eastAsia="仿宋_GB2312" w:cs="仿宋_GB2312"/>
                <w:color w:val="000000"/>
                <w:sz w:val="24"/>
                <w:szCs w:val="24"/>
              </w:rPr>
              <w:t>30</w:t>
            </w:r>
            <w:r>
              <w:rPr>
                <w:rFonts w:hint="default"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32</w:t>
            </w:r>
            <w:r>
              <w:rPr>
                <w:rFonts w:hint="default"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35</w:t>
            </w:r>
            <w:r>
              <w:rPr>
                <w:rFonts w:hint="default" w:ascii="仿宋_GB2312" w:hAnsi="仿宋_GB2312" w:eastAsia="仿宋_GB2312" w:cs="仿宋_GB2312"/>
                <w:color w:val="000000"/>
                <w:sz w:val="24"/>
                <w:szCs w:val="24"/>
              </w:rPr>
              <w:t>条，指导原则和</w:t>
            </w:r>
            <w:r>
              <w:rPr>
                <w:rFonts w:hint="eastAsia" w:ascii="仿宋_GB2312" w:hAnsi="仿宋_GB2312" w:eastAsia="仿宋_GB2312" w:cs="仿宋_GB2312"/>
                <w:color w:val="000000"/>
                <w:sz w:val="24"/>
                <w:szCs w:val="24"/>
              </w:rPr>
              <w:t>SOP</w:t>
            </w:r>
            <w:r>
              <w:rPr>
                <w:rFonts w:hint="default" w:ascii="仿宋_GB2312" w:hAnsi="仿宋_GB2312" w:eastAsia="仿宋_GB2312" w:cs="仿宋_GB2312"/>
                <w:color w:val="000000"/>
                <w:sz w:val="24"/>
                <w:szCs w:val="24"/>
              </w:rPr>
              <w:t>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2.1.5</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临床试验方案、知情同意书等文件的修订、请求偏离、恢复已暂停临床试验，应获得伦理委员会的书面批准</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检查相关情况的伦理委员会批准文件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2.1.6</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伦理委员会对已批准的临床试验进行跟踪监督</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检查临床试验的跟踪记录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Style w:val="7"/>
                <w:rFonts w:hint="eastAsia" w:ascii="微软雅黑" w:hAnsi="微软雅黑" w:eastAsia="微软雅黑" w:cs="微软雅黑"/>
                <w:color w:val="000000"/>
                <w:sz w:val="18"/>
                <w:szCs w:val="18"/>
              </w:rPr>
              <w:t>2.2</w:t>
            </w:r>
          </w:p>
        </w:tc>
        <w:tc>
          <w:tcPr>
            <w:tcW w:w="8408"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Style w:val="7"/>
                <w:rFonts w:hint="default" w:ascii="仿宋_GB2312" w:hAnsi="仿宋_GB2312" w:eastAsia="仿宋_GB2312" w:cs="仿宋_GB2312"/>
                <w:color w:val="000000"/>
                <w:sz w:val="24"/>
                <w:szCs w:val="24"/>
              </w:rPr>
              <w:t>知情同意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2.2.1</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知情同意书内容符合相关规范、指导原则和</w:t>
            </w:r>
            <w:r>
              <w:rPr>
                <w:rFonts w:hint="eastAsia" w:ascii="仿宋_GB2312" w:hAnsi="仿宋_GB2312" w:eastAsia="仿宋_GB2312" w:cs="仿宋_GB2312"/>
                <w:color w:val="000000"/>
                <w:sz w:val="24"/>
                <w:szCs w:val="24"/>
              </w:rPr>
              <w:t>SOP</w:t>
            </w:r>
            <w:r>
              <w:rPr>
                <w:rFonts w:hint="default" w:ascii="仿宋_GB2312" w:hAnsi="仿宋_GB2312" w:eastAsia="仿宋_GB2312" w:cs="仿宋_GB2312"/>
                <w:color w:val="000000"/>
                <w:sz w:val="24"/>
                <w:szCs w:val="24"/>
              </w:rPr>
              <w:t>要求</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检查知情同意书内容，应当符合医疗器械</w:t>
            </w:r>
            <w:r>
              <w:rPr>
                <w:rFonts w:hint="eastAsia" w:ascii="仿宋_GB2312" w:hAnsi="仿宋_GB2312" w:eastAsia="仿宋_GB2312" w:cs="仿宋_GB2312"/>
                <w:color w:val="000000"/>
                <w:sz w:val="24"/>
                <w:szCs w:val="24"/>
              </w:rPr>
              <w:t>GCP</w:t>
            </w:r>
            <w:r>
              <w:rPr>
                <w:rFonts w:hint="default" w:ascii="仿宋_GB2312" w:hAnsi="仿宋_GB2312" w:eastAsia="仿宋_GB2312" w:cs="仿宋_GB2312"/>
                <w:color w:val="000000"/>
                <w:sz w:val="24"/>
                <w:szCs w:val="24"/>
              </w:rPr>
              <w:t>第</w:t>
            </w:r>
            <w:r>
              <w:rPr>
                <w:rFonts w:hint="eastAsia" w:ascii="仿宋_GB2312" w:hAnsi="仿宋_GB2312" w:eastAsia="仿宋_GB2312" w:cs="仿宋_GB2312"/>
                <w:color w:val="000000"/>
                <w:sz w:val="24"/>
                <w:szCs w:val="24"/>
              </w:rPr>
              <w:t>22</w:t>
            </w:r>
            <w:r>
              <w:rPr>
                <w:rFonts w:hint="default" w:ascii="仿宋_GB2312" w:hAnsi="仿宋_GB2312" w:eastAsia="仿宋_GB2312" w:cs="仿宋_GB2312"/>
                <w:color w:val="000000"/>
                <w:sz w:val="24"/>
                <w:szCs w:val="24"/>
              </w:rPr>
              <w:t>条、指导原则和</w:t>
            </w:r>
            <w:r>
              <w:rPr>
                <w:rFonts w:hint="eastAsia" w:ascii="仿宋_GB2312" w:hAnsi="仿宋_GB2312" w:eastAsia="仿宋_GB2312" w:cs="仿宋_GB2312"/>
                <w:color w:val="000000"/>
                <w:sz w:val="24"/>
                <w:szCs w:val="24"/>
              </w:rPr>
              <w:t>SOP</w:t>
            </w:r>
            <w:r>
              <w:rPr>
                <w:rFonts w:hint="default" w:ascii="仿宋_GB2312" w:hAnsi="仿宋_GB2312" w:eastAsia="仿宋_GB2312" w:cs="仿宋_GB2312"/>
                <w:color w:val="000000"/>
                <w:sz w:val="24"/>
                <w:szCs w:val="24"/>
              </w:rPr>
              <w:t>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ind w:left="0" w:firstLine="120"/>
              <w:rPr>
                <w:color w:val="000000"/>
                <w:sz w:val="18"/>
                <w:szCs w:val="18"/>
              </w:rPr>
            </w:pPr>
            <w:r>
              <w:rPr>
                <w:rFonts w:hint="eastAsia" w:ascii="微软雅黑" w:hAnsi="微软雅黑" w:eastAsia="微软雅黑" w:cs="微软雅黑"/>
                <w:color w:val="000000"/>
                <w:sz w:val="18"/>
                <w:szCs w:val="18"/>
              </w:rPr>
              <w:t>2.2.2</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临床试验前受试者或者其监护人和研究者均在知情同意书上签署姓名和日期</w:t>
            </w:r>
            <w:r>
              <w:rPr>
                <w:rFonts w:hint="eastAsia" w:ascii="仿宋_GB2312" w:hAnsi="仿宋_GB2312" w:eastAsia="仿宋_GB2312" w:cs="仿宋_GB2312"/>
                <w:color w:val="000000"/>
                <w:sz w:val="24"/>
                <w:szCs w:val="24"/>
              </w:rPr>
              <w:t>,</w:t>
            </w:r>
            <w:r>
              <w:rPr>
                <w:rFonts w:hint="default" w:ascii="仿宋_GB2312" w:hAnsi="仿宋_GB2312" w:eastAsia="仿宋_GB2312" w:cs="仿宋_GB2312"/>
                <w:color w:val="000000"/>
                <w:sz w:val="24"/>
                <w:szCs w:val="24"/>
              </w:rPr>
              <w:t>符合相关规范、指导原则和</w:t>
            </w:r>
            <w:r>
              <w:rPr>
                <w:rFonts w:hint="eastAsia" w:ascii="仿宋_GB2312" w:hAnsi="仿宋_GB2312" w:eastAsia="仿宋_GB2312" w:cs="仿宋_GB2312"/>
                <w:color w:val="000000"/>
                <w:sz w:val="24"/>
                <w:szCs w:val="24"/>
              </w:rPr>
              <w:t>SOP</w:t>
            </w:r>
            <w:r>
              <w:rPr>
                <w:rFonts w:hint="default" w:ascii="仿宋_GB2312" w:hAnsi="仿宋_GB2312" w:eastAsia="仿宋_GB2312" w:cs="仿宋_GB2312"/>
                <w:color w:val="000000"/>
                <w:sz w:val="24"/>
                <w:szCs w:val="24"/>
              </w:rPr>
              <w:t>要求</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检查受试者筛选表和签名的知情同意书，人数应当一致，应当由受试者本人或者其监护人</w:t>
            </w:r>
            <w:r>
              <w:rPr>
                <w:rFonts w:hint="eastAsia" w:ascii="仿宋_GB2312" w:hAnsi="仿宋_GB2312" w:eastAsia="仿宋_GB2312" w:cs="仿宋_GB2312"/>
                <w:color w:val="000000"/>
                <w:sz w:val="24"/>
                <w:szCs w:val="24"/>
              </w:rPr>
              <w:t>/</w:t>
            </w:r>
            <w:r>
              <w:rPr>
                <w:rFonts w:hint="default" w:ascii="仿宋_GB2312" w:hAnsi="仿宋_GB2312" w:eastAsia="仿宋_GB2312" w:cs="仿宋_GB2312"/>
                <w:color w:val="000000"/>
                <w:sz w:val="24"/>
                <w:szCs w:val="24"/>
              </w:rPr>
              <w:t>见证人和研究者在参与临床试验前签署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2.2.3</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已签署的知情同意书版本与伦理审查通过的版本一致</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检查知情同意书版本和内容，签署的知情同意书应当与伦理审查通过的版本和内容应一致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2.2.4</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知情同意书内容更新，应再次获得临床试验中受影响的受试者或者其监护人知情同意</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检查知情同意书更新版本，更新后，试验中受影响的受试者或者其监护人应当重新签署新版本的知情同意书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Style w:val="7"/>
                <w:rFonts w:hint="eastAsia" w:ascii="微软雅黑" w:hAnsi="微软雅黑" w:eastAsia="微软雅黑" w:cs="微软雅黑"/>
                <w:color w:val="000000"/>
                <w:sz w:val="18"/>
                <w:szCs w:val="18"/>
              </w:rPr>
              <w:t>3</w:t>
            </w:r>
          </w:p>
        </w:tc>
        <w:tc>
          <w:tcPr>
            <w:tcW w:w="8408"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Style w:val="7"/>
                <w:rFonts w:hint="default" w:ascii="仿宋_GB2312" w:hAnsi="仿宋_GB2312" w:eastAsia="仿宋_GB2312" w:cs="仿宋_GB2312"/>
                <w:color w:val="000000"/>
                <w:sz w:val="24"/>
                <w:szCs w:val="24"/>
              </w:rPr>
              <w:t>临床试验方案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3.1</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临床试验方案有所有中心研究者和申办者确认</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检查临床试验方案中研究者的确认情况，临床试验方案应当获得所有中心研究者和申办者签字，加盖临床试验机构公章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3.2</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执行的临床试验方案内容与伦理审查的临床试验方案内容一致</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检查临床试验方案与伦理委员会保存的临床试验方案，版本和内容应当一致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3.3</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多中心临床试验各中心执行的试验方案为同一版本</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检查各临床试验中心保存并执行的临床试验方案版本，应当为同一版本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3.4</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注册申请提交的临床试验方案内容应与临床试验机构保存的临床试验方案内容一致</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检查注册申请提交的临床试验方案和临床试验机构保存的临床试验方案，版本和内容应一致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Style w:val="7"/>
                <w:rFonts w:hint="eastAsia" w:ascii="微软雅黑" w:hAnsi="微软雅黑" w:eastAsia="微软雅黑" w:cs="微软雅黑"/>
                <w:color w:val="000000"/>
                <w:sz w:val="18"/>
                <w:szCs w:val="18"/>
              </w:rPr>
              <w:t>4</w:t>
            </w:r>
          </w:p>
        </w:tc>
        <w:tc>
          <w:tcPr>
            <w:tcW w:w="8408"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Style w:val="7"/>
                <w:rFonts w:hint="default" w:ascii="仿宋_GB2312" w:hAnsi="仿宋_GB2312" w:eastAsia="仿宋_GB2312" w:cs="仿宋_GB2312"/>
                <w:color w:val="000000"/>
                <w:sz w:val="24"/>
                <w:szCs w:val="24"/>
              </w:rPr>
              <w:t>临床试验过程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4.1</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Fonts w:hint="default" w:ascii="仿宋_GB2312" w:hAnsi="仿宋_GB2312" w:eastAsia="仿宋_GB2312" w:cs="仿宋_GB2312"/>
                <w:color w:val="000000"/>
                <w:sz w:val="24"/>
                <w:szCs w:val="24"/>
              </w:rPr>
              <w:t>临床试验相关人员应获得主要研究者授权和相关培训</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Fonts w:hint="default" w:ascii="仿宋_GB2312" w:hAnsi="仿宋_GB2312" w:eastAsia="仿宋_GB2312" w:cs="仿宋_GB2312"/>
                <w:color w:val="000000"/>
                <w:sz w:val="24"/>
                <w:szCs w:val="24"/>
              </w:rPr>
              <w:t>检查分工授权表和研究者培训记录、签名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4.2</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Fonts w:hint="default" w:ascii="仿宋_GB2312" w:hAnsi="仿宋_GB2312" w:eastAsia="仿宋_GB2312" w:cs="仿宋_GB2312"/>
                <w:color w:val="000000"/>
                <w:sz w:val="24"/>
                <w:szCs w:val="24"/>
              </w:rPr>
              <w:t>临床试验相关的医疗决定应由研究者负责</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Fonts w:hint="default" w:ascii="仿宋_GB2312" w:hAnsi="仿宋_GB2312" w:eastAsia="仿宋_GB2312" w:cs="仿宋_GB2312"/>
                <w:color w:val="000000"/>
                <w:sz w:val="24"/>
                <w:szCs w:val="24"/>
              </w:rPr>
              <w:t>检查人员履历和人员分工表，分工表中人员授权应当合理，原始文件中的医疗决定由研究者签字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4.3</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Fonts w:hint="default" w:ascii="仿宋_GB2312" w:hAnsi="仿宋_GB2312" w:eastAsia="仿宋_GB2312" w:cs="仿宋_GB2312"/>
                <w:color w:val="000000"/>
                <w:sz w:val="24"/>
                <w:szCs w:val="24"/>
              </w:rPr>
              <w:t>具有病例筛选入选记录</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Fonts w:hint="default" w:ascii="仿宋_GB2312" w:hAnsi="仿宋_GB2312" w:eastAsia="仿宋_GB2312" w:cs="仿宋_GB2312"/>
                <w:color w:val="000000"/>
                <w:sz w:val="24"/>
                <w:szCs w:val="24"/>
              </w:rPr>
              <w:t>检查病例筛选入选记录，筛选入选记录中受试者筛选失败应当明确记录其原因，研究者可提供受试者鉴认文件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4.4</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Fonts w:hint="default" w:ascii="仿宋_GB2312" w:hAnsi="仿宋_GB2312" w:eastAsia="仿宋_GB2312" w:cs="仿宋_GB2312"/>
                <w:color w:val="000000"/>
                <w:sz w:val="24"/>
                <w:szCs w:val="24"/>
              </w:rPr>
              <w:t>受试者鉴认文件或筛选入选、体检等原始记录涵盖受试者身份鉴别信息</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Fonts w:hint="default" w:ascii="仿宋_GB2312" w:hAnsi="仿宋_GB2312" w:eastAsia="仿宋_GB2312" w:cs="仿宋_GB2312"/>
                <w:color w:val="000000"/>
                <w:sz w:val="24"/>
                <w:szCs w:val="24"/>
              </w:rPr>
              <w:t>检查受试者鉴认文件或筛选入选、体检等原始记录，记录包含受试者身份证号、姓名等身份鉴别信息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4.5</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Fonts w:hint="default" w:ascii="仿宋_GB2312" w:hAnsi="仿宋_GB2312" w:eastAsia="仿宋_GB2312" w:cs="仿宋_GB2312"/>
                <w:color w:val="000000"/>
                <w:sz w:val="24"/>
                <w:szCs w:val="24"/>
              </w:rPr>
              <w:t>研究者应遵守临床试验的随机化程序（如适用）</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Fonts w:hint="default" w:ascii="仿宋_GB2312" w:hAnsi="仿宋_GB2312" w:eastAsia="仿宋_GB2312" w:cs="仿宋_GB2312"/>
                <w:color w:val="000000"/>
                <w:sz w:val="24"/>
                <w:szCs w:val="24"/>
              </w:rPr>
              <w:t>检查受试者入选号、随机号的分配，应当符合临床试验方案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4.6</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Fonts w:hint="default" w:ascii="仿宋_GB2312" w:hAnsi="仿宋_GB2312" w:eastAsia="仿宋_GB2312" w:cs="仿宋_GB2312"/>
                <w:color w:val="000000"/>
                <w:sz w:val="24"/>
                <w:szCs w:val="24"/>
              </w:rPr>
              <w:t>受试者体检和实验室等辅助检查项目应与试验方案一致</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Fonts w:hint="default" w:ascii="仿宋_GB2312" w:hAnsi="仿宋_GB2312" w:eastAsia="仿宋_GB2312" w:cs="仿宋_GB2312"/>
                <w:color w:val="000000"/>
                <w:sz w:val="24"/>
                <w:szCs w:val="24"/>
              </w:rPr>
              <w:t>检查原始病历中的体检和实验室等辅助检查项目，应当与临床试验方案要求一致，偏离方案的检查应当进行记录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4.7</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Fonts w:hint="default" w:ascii="仿宋_GB2312" w:hAnsi="仿宋_GB2312" w:eastAsia="仿宋_GB2312" w:cs="仿宋_GB2312"/>
                <w:color w:val="000000"/>
                <w:sz w:val="24"/>
                <w:szCs w:val="24"/>
              </w:rPr>
              <w:t>实验室等辅助检查是否在方案规定的时间范围内</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Fonts w:hint="default" w:ascii="仿宋_GB2312" w:hAnsi="仿宋_GB2312" w:eastAsia="仿宋_GB2312" w:cs="仿宋_GB2312"/>
                <w:color w:val="000000"/>
                <w:sz w:val="24"/>
                <w:szCs w:val="24"/>
              </w:rPr>
              <w:t>检查实验室等辅助检查时间，应当在临床试验方案规定的时间范围内，偏离时间范围的应当进行记录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4.8</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Fonts w:hint="default" w:ascii="仿宋_GB2312" w:hAnsi="仿宋_GB2312" w:eastAsia="仿宋_GB2312" w:cs="仿宋_GB2312"/>
                <w:color w:val="000000"/>
                <w:sz w:val="24"/>
                <w:szCs w:val="24"/>
              </w:rPr>
              <w:t>受试者入组符合试验方案的入选与排除标准</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Fonts w:hint="default" w:ascii="仿宋_GB2312" w:hAnsi="仿宋_GB2312" w:eastAsia="仿宋_GB2312" w:cs="仿宋_GB2312"/>
                <w:color w:val="000000"/>
                <w:sz w:val="24"/>
                <w:szCs w:val="24"/>
              </w:rPr>
              <w:t>检查原始病历中的病史、用药史、实验室检查、诊断等，受试者应当符合临床试验方案中的全部入选与排除标准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4.9</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Fonts w:hint="default" w:ascii="仿宋_GB2312" w:hAnsi="仿宋_GB2312" w:eastAsia="仿宋_GB2312" w:cs="仿宋_GB2312"/>
                <w:color w:val="000000"/>
                <w:sz w:val="24"/>
                <w:szCs w:val="24"/>
              </w:rPr>
              <w:t>试验用医疗器械使用有原始记录</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Fonts w:hint="default" w:ascii="仿宋_GB2312" w:hAnsi="仿宋_GB2312" w:eastAsia="仿宋_GB2312" w:cs="仿宋_GB2312"/>
                <w:color w:val="000000"/>
                <w:sz w:val="24"/>
                <w:szCs w:val="24"/>
              </w:rPr>
              <w:t>检查原始病历、器械使用记录、受试者日记卡，应当记录试验用医疗器械使用情况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4.10</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试验用医疗器械产品名称、规格型号、使用方法（如日期、时间、状态等）与临床试验方案和研究者手册、说明书一致</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检查原始病历、器械使用记录、受试者日记卡中记录的试验用医疗器械产品名称、规格型号、使用方法</w:t>
            </w:r>
            <w:r>
              <w:rPr>
                <w:rFonts w:hint="eastAsia" w:ascii="仿宋_GB2312" w:hAnsi="仿宋_GB2312" w:eastAsia="仿宋_GB2312" w:cs="仿宋_GB2312"/>
                <w:color w:val="000000"/>
                <w:sz w:val="24"/>
                <w:szCs w:val="24"/>
              </w:rPr>
              <w:t>(</w:t>
            </w:r>
            <w:r>
              <w:rPr>
                <w:rFonts w:hint="default" w:ascii="仿宋_GB2312" w:hAnsi="仿宋_GB2312" w:eastAsia="仿宋_GB2312" w:cs="仿宋_GB2312"/>
                <w:color w:val="000000"/>
                <w:sz w:val="24"/>
                <w:szCs w:val="24"/>
              </w:rPr>
              <w:t>如日期、时间、状态等</w:t>
            </w:r>
            <w:r>
              <w:rPr>
                <w:rFonts w:hint="eastAsia" w:ascii="仿宋_GB2312" w:hAnsi="仿宋_GB2312" w:eastAsia="仿宋_GB2312" w:cs="仿宋_GB2312"/>
                <w:color w:val="000000"/>
                <w:sz w:val="24"/>
                <w:szCs w:val="24"/>
              </w:rPr>
              <w:t>)</w:t>
            </w:r>
            <w:r>
              <w:rPr>
                <w:rFonts w:hint="default" w:ascii="仿宋_GB2312" w:hAnsi="仿宋_GB2312" w:eastAsia="仿宋_GB2312" w:cs="仿宋_GB2312"/>
                <w:color w:val="000000"/>
                <w:sz w:val="24"/>
                <w:szCs w:val="24"/>
              </w:rPr>
              <w:t>，应当与临床试验方案和研究者手册、说明书一致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4.11</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观察随访点与方案一致，应如实记录未能做到的随访、未进行的试验、未做的检查</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检查原始病历中的随访记录，与病例报告表（以下简称</w:t>
            </w:r>
            <w:r>
              <w:rPr>
                <w:rFonts w:hint="eastAsia" w:ascii="仿宋_GB2312" w:hAnsi="仿宋_GB2312" w:eastAsia="仿宋_GB2312" w:cs="仿宋_GB2312"/>
                <w:color w:val="000000"/>
                <w:sz w:val="24"/>
                <w:szCs w:val="24"/>
              </w:rPr>
              <w:t>CRF</w:t>
            </w:r>
            <w:r>
              <w:rPr>
                <w:rFonts w:hint="default" w:ascii="仿宋_GB2312" w:hAnsi="仿宋_GB2312" w:eastAsia="仿宋_GB2312" w:cs="仿宋_GB2312"/>
                <w:color w:val="000000"/>
                <w:sz w:val="24"/>
                <w:szCs w:val="24"/>
              </w:rPr>
              <w:t>）中的数据一致，偏离方案的应当进行记录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4.12</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紧急情况下偏离方案，应以书面形式报告</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检查紧急情况下偏离方案的情况，应当有记录，并检查提交给申办者、伦理委员会和临床试验机构的医疗器械临床试验管理部门的报告情况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4.13</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受试者任何原因退出与失访应记录并详细说明</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检查筛选入选表、原始病历、</w:t>
            </w:r>
            <w:r>
              <w:rPr>
                <w:rFonts w:hint="eastAsia" w:ascii="仿宋_GB2312" w:hAnsi="仿宋_GB2312" w:eastAsia="仿宋_GB2312" w:cs="仿宋_GB2312"/>
                <w:color w:val="000000"/>
                <w:sz w:val="24"/>
                <w:szCs w:val="24"/>
              </w:rPr>
              <w:t>CRF</w:t>
            </w:r>
            <w:r>
              <w:rPr>
                <w:rFonts w:hint="default" w:ascii="仿宋_GB2312" w:hAnsi="仿宋_GB2312" w:eastAsia="仿宋_GB2312" w:cs="仿宋_GB2312"/>
                <w:color w:val="000000"/>
                <w:sz w:val="24"/>
                <w:szCs w:val="24"/>
              </w:rPr>
              <w:t>或分中心临床试验小结中受试者完成试验情况，退出与失访应当记录并详细说明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4.14</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安全性、有效性评价应符合试验方案要求</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检查原始病历中的安全性、有效性评价方法应当按照临床试验方案要求执行，原始数据与</w:t>
            </w:r>
            <w:r>
              <w:rPr>
                <w:rFonts w:hint="eastAsia" w:ascii="仿宋_GB2312" w:hAnsi="仿宋_GB2312" w:eastAsia="仿宋_GB2312" w:cs="仿宋_GB2312"/>
                <w:color w:val="000000"/>
                <w:sz w:val="24"/>
                <w:szCs w:val="24"/>
              </w:rPr>
              <w:t>CRF</w:t>
            </w:r>
            <w:r>
              <w:rPr>
                <w:rFonts w:hint="default" w:ascii="仿宋_GB2312" w:hAnsi="仿宋_GB2312" w:eastAsia="仿宋_GB2312" w:cs="仿宋_GB2312"/>
                <w:color w:val="000000"/>
                <w:sz w:val="24"/>
                <w:szCs w:val="24"/>
              </w:rPr>
              <w:t>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4.15</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研究者应对显著偏离临床试验方案或者在临床可接受范围以外的数据进行核实</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检查检验报告单，研究者对其中的异常值应当进行判定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4.16</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合并使用药品、医疗器械情况应按照试验方案记录，不应有违反试验方案要求的合并用药品、医疗器械（如适用）</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检查原始病历、医院</w:t>
            </w:r>
            <w:r>
              <w:rPr>
                <w:rFonts w:hint="eastAsia" w:ascii="仿宋_GB2312" w:hAnsi="仿宋_GB2312" w:eastAsia="仿宋_GB2312" w:cs="仿宋_GB2312"/>
                <w:color w:val="000000"/>
                <w:sz w:val="24"/>
                <w:szCs w:val="24"/>
              </w:rPr>
              <w:t>HIS</w:t>
            </w:r>
            <w:r>
              <w:rPr>
                <w:rFonts w:hint="default" w:ascii="仿宋_GB2312" w:hAnsi="仿宋_GB2312" w:eastAsia="仿宋_GB2312" w:cs="仿宋_GB2312"/>
                <w:color w:val="000000"/>
                <w:sz w:val="24"/>
                <w:szCs w:val="24"/>
              </w:rPr>
              <w:t>系统，研究者对合并使用药品、医疗器械情况应当进行记录，并与</w:t>
            </w:r>
            <w:r>
              <w:rPr>
                <w:rFonts w:hint="eastAsia" w:ascii="仿宋_GB2312" w:hAnsi="仿宋_GB2312" w:eastAsia="仿宋_GB2312" w:cs="仿宋_GB2312"/>
                <w:color w:val="000000"/>
                <w:sz w:val="24"/>
                <w:szCs w:val="24"/>
              </w:rPr>
              <w:t>CRF</w:t>
            </w:r>
            <w:r>
              <w:rPr>
                <w:rFonts w:hint="default" w:ascii="仿宋_GB2312" w:hAnsi="仿宋_GB2312" w:eastAsia="仿宋_GB2312" w:cs="仿宋_GB2312"/>
                <w:color w:val="000000"/>
                <w:sz w:val="24"/>
                <w:szCs w:val="24"/>
              </w:rPr>
              <w:t>、临床试验统计数据库中数据一致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4.17</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不良事件、并发症和器械缺陷应记录</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检查原始病历、医院</w:t>
            </w:r>
            <w:r>
              <w:rPr>
                <w:rFonts w:hint="eastAsia" w:ascii="仿宋_GB2312" w:hAnsi="仿宋_GB2312" w:eastAsia="仿宋_GB2312" w:cs="仿宋_GB2312"/>
                <w:color w:val="000000"/>
                <w:sz w:val="24"/>
                <w:szCs w:val="24"/>
              </w:rPr>
              <w:t>HIS</w:t>
            </w:r>
            <w:r>
              <w:rPr>
                <w:rFonts w:hint="default" w:ascii="仿宋_GB2312" w:hAnsi="仿宋_GB2312" w:eastAsia="仿宋_GB2312" w:cs="仿宋_GB2312"/>
                <w:color w:val="000000"/>
                <w:sz w:val="24"/>
                <w:szCs w:val="24"/>
              </w:rPr>
              <w:t>系统，研究者对不良事件、并发症和器械缺陷应当进行记录，并与</w:t>
            </w:r>
            <w:r>
              <w:rPr>
                <w:rFonts w:hint="eastAsia" w:ascii="仿宋_GB2312" w:hAnsi="仿宋_GB2312" w:eastAsia="仿宋_GB2312" w:cs="仿宋_GB2312"/>
                <w:color w:val="000000"/>
                <w:sz w:val="24"/>
                <w:szCs w:val="24"/>
              </w:rPr>
              <w:t>CRF</w:t>
            </w:r>
            <w:r>
              <w:rPr>
                <w:rFonts w:hint="default" w:ascii="仿宋_GB2312" w:hAnsi="仿宋_GB2312" w:eastAsia="仿宋_GB2312" w:cs="仿宋_GB2312"/>
                <w:color w:val="000000"/>
                <w:sz w:val="24"/>
                <w:szCs w:val="24"/>
              </w:rPr>
              <w:t>和临床试验统计数据库中数据一致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4.18</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及时治疗和处理严重不良事件</w:t>
            </w:r>
            <w:r>
              <w:rPr>
                <w:rFonts w:hint="eastAsia" w:ascii="仿宋_GB2312" w:hAnsi="仿宋_GB2312" w:eastAsia="仿宋_GB2312" w:cs="仿宋_GB2312"/>
                <w:color w:val="000000"/>
                <w:sz w:val="24"/>
                <w:szCs w:val="24"/>
              </w:rPr>
              <w:t>/</w:t>
            </w:r>
            <w:r>
              <w:rPr>
                <w:rFonts w:hint="default" w:ascii="仿宋_GB2312" w:hAnsi="仿宋_GB2312" w:eastAsia="仿宋_GB2312" w:cs="仿宋_GB2312"/>
                <w:color w:val="000000"/>
                <w:sz w:val="24"/>
                <w:szCs w:val="24"/>
              </w:rPr>
              <w:t>不良事件（</w:t>
            </w:r>
            <w:r>
              <w:rPr>
                <w:rFonts w:hint="eastAsia" w:ascii="仿宋_GB2312" w:hAnsi="仿宋_GB2312" w:eastAsia="仿宋_GB2312" w:cs="仿宋_GB2312"/>
                <w:color w:val="000000"/>
                <w:sz w:val="24"/>
                <w:szCs w:val="24"/>
              </w:rPr>
              <w:t>SAE/AE</w:t>
            </w:r>
            <w:r>
              <w:rPr>
                <w:rFonts w:hint="default" w:ascii="仿宋_GB2312" w:hAnsi="仿宋_GB2312" w:eastAsia="仿宋_GB2312" w:cs="仿宋_GB2312"/>
                <w:color w:val="000000"/>
                <w:sz w:val="24"/>
                <w:szCs w:val="24"/>
              </w:rPr>
              <w:t>），跟踪随访</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检查原始病历或严重不良事件</w:t>
            </w:r>
            <w:r>
              <w:rPr>
                <w:rFonts w:hint="eastAsia" w:ascii="仿宋_GB2312" w:hAnsi="仿宋_GB2312" w:eastAsia="仿宋_GB2312" w:cs="仿宋_GB2312"/>
                <w:color w:val="000000"/>
                <w:sz w:val="24"/>
                <w:szCs w:val="24"/>
              </w:rPr>
              <w:t>/</w:t>
            </w:r>
            <w:r>
              <w:rPr>
                <w:rFonts w:hint="default" w:ascii="仿宋_GB2312" w:hAnsi="仿宋_GB2312" w:eastAsia="仿宋_GB2312" w:cs="仿宋_GB2312"/>
                <w:color w:val="000000"/>
                <w:sz w:val="24"/>
                <w:szCs w:val="24"/>
              </w:rPr>
              <w:t>不良事件报告表，严重不良事件</w:t>
            </w:r>
            <w:r>
              <w:rPr>
                <w:rFonts w:hint="eastAsia" w:ascii="仿宋_GB2312" w:hAnsi="仿宋_GB2312" w:eastAsia="仿宋_GB2312" w:cs="仿宋_GB2312"/>
                <w:color w:val="000000"/>
                <w:sz w:val="24"/>
                <w:szCs w:val="24"/>
              </w:rPr>
              <w:t>/</w:t>
            </w:r>
            <w:r>
              <w:rPr>
                <w:rFonts w:hint="default" w:ascii="仿宋_GB2312" w:hAnsi="仿宋_GB2312" w:eastAsia="仿宋_GB2312" w:cs="仿宋_GB2312"/>
                <w:color w:val="000000"/>
                <w:sz w:val="24"/>
                <w:szCs w:val="24"/>
              </w:rPr>
              <w:t>不良事件处理应当及时，并进行跟踪随访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4.19</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严重不良事件（</w:t>
            </w:r>
            <w:r>
              <w:rPr>
                <w:rFonts w:hint="eastAsia" w:ascii="仿宋_GB2312" w:hAnsi="仿宋_GB2312" w:eastAsia="仿宋_GB2312" w:cs="仿宋_GB2312"/>
                <w:color w:val="000000"/>
                <w:sz w:val="24"/>
                <w:szCs w:val="24"/>
              </w:rPr>
              <w:t>SAE</w:t>
            </w:r>
            <w:r>
              <w:rPr>
                <w:rFonts w:hint="default" w:ascii="仿宋_GB2312" w:hAnsi="仿宋_GB2312" w:eastAsia="仿宋_GB2312" w:cs="仿宋_GB2312"/>
                <w:color w:val="000000"/>
                <w:sz w:val="24"/>
                <w:szCs w:val="24"/>
              </w:rPr>
              <w:t>）和可能导致严重不良事件的器械缺陷在规定时间内报告给规定部门</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检查严重不良事件报告表，记录应当完整，证明研究者在</w:t>
            </w:r>
            <w:r>
              <w:rPr>
                <w:rFonts w:hint="eastAsia" w:ascii="仿宋_GB2312" w:hAnsi="仿宋_GB2312" w:eastAsia="仿宋_GB2312" w:cs="仿宋_GB2312"/>
                <w:color w:val="000000"/>
                <w:sz w:val="24"/>
                <w:szCs w:val="24"/>
              </w:rPr>
              <w:t>24</w:t>
            </w:r>
            <w:r>
              <w:rPr>
                <w:rFonts w:hint="default" w:ascii="仿宋_GB2312" w:hAnsi="仿宋_GB2312" w:eastAsia="仿宋_GB2312" w:cs="仿宋_GB2312"/>
                <w:color w:val="000000"/>
                <w:sz w:val="24"/>
                <w:szCs w:val="24"/>
              </w:rPr>
              <w:t>小时内书面报告相应的伦理委员会以及临床试验机构所在地省、自治区、直辖市药品监督管理部门和卫生计生主管部门。检查器械缺陷报告情况，证明器械缺陷已经临床试验机构医疗器械临床试验管理部门报伦理委员会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4.20</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暂停或者终止临床试验时，受试者应得到适当治疗和随访</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检查原始病历，受试者有适当治疗和随访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4.21</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盲法试验按照试验方案的要求进行揭盲（若有）</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检查揭盲记录，核实揭盲符合方案规定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4.22</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申办方对临床试验实施监查</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检查监查员的监查记录，研究者对监查发现的问题应当及时采取改正措施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Style w:val="7"/>
                <w:rFonts w:hint="eastAsia" w:ascii="微软雅黑" w:hAnsi="微软雅黑" w:eastAsia="微软雅黑" w:cs="微软雅黑"/>
                <w:color w:val="000000"/>
                <w:sz w:val="18"/>
                <w:szCs w:val="18"/>
              </w:rPr>
              <w:t>5</w:t>
            </w:r>
          </w:p>
        </w:tc>
        <w:tc>
          <w:tcPr>
            <w:tcW w:w="8408"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Style w:val="7"/>
                <w:rFonts w:hint="default" w:ascii="仿宋_GB2312" w:hAnsi="仿宋_GB2312" w:eastAsia="仿宋_GB2312" w:cs="仿宋_GB2312"/>
                <w:color w:val="000000"/>
                <w:sz w:val="24"/>
                <w:szCs w:val="24"/>
              </w:rPr>
              <w:t>记录与报告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Style w:val="7"/>
                <w:rFonts w:hint="eastAsia" w:ascii="微软雅黑" w:hAnsi="微软雅黑" w:eastAsia="微软雅黑" w:cs="微软雅黑"/>
                <w:color w:val="000000"/>
                <w:sz w:val="18"/>
                <w:szCs w:val="18"/>
              </w:rPr>
              <w:t>5.1</w:t>
            </w:r>
          </w:p>
        </w:tc>
        <w:tc>
          <w:tcPr>
            <w:tcW w:w="8408"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Style w:val="7"/>
                <w:rFonts w:hint="default" w:ascii="仿宋_GB2312" w:hAnsi="仿宋_GB2312" w:eastAsia="仿宋_GB2312" w:cs="仿宋_GB2312"/>
                <w:color w:val="000000"/>
                <w:sz w:val="24"/>
                <w:szCs w:val="24"/>
              </w:rPr>
              <w:t>临床试验记录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5.1.1</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临床试验记录的填写准确、完整、清晰、及时</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检查原始病历、</w:t>
            </w:r>
            <w:r>
              <w:rPr>
                <w:rFonts w:hint="eastAsia" w:ascii="仿宋_GB2312" w:hAnsi="仿宋_GB2312" w:eastAsia="仿宋_GB2312" w:cs="仿宋_GB2312"/>
                <w:color w:val="000000"/>
                <w:sz w:val="24"/>
                <w:szCs w:val="24"/>
              </w:rPr>
              <w:t>CRF</w:t>
            </w:r>
            <w:r>
              <w:rPr>
                <w:rFonts w:hint="default" w:ascii="仿宋_GB2312" w:hAnsi="仿宋_GB2312" w:eastAsia="仿宋_GB2312" w:cs="仿宋_GB2312"/>
                <w:color w:val="000000"/>
                <w:sz w:val="24"/>
                <w:szCs w:val="24"/>
              </w:rPr>
              <w:t>，记录应当准确、完整、清晰、及时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5.1.2</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对错误、遗漏做出纠正</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检查原始病历中的修改记录、数据质疑表及应答记录，对错误、遗漏应当做出纠正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5.1.3</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临床试验记录的修改应说明理由，修改者签名并注明日期，保持原始记录清晰可辨</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检查原始病历修改记录，修改应当符合要求，并记录修改理由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5.1.4</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检验科、影像科、心电室、内镜室等检查检验结果可溯源</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检查医院</w:t>
            </w:r>
            <w:r>
              <w:rPr>
                <w:rFonts w:hint="eastAsia" w:ascii="仿宋_GB2312" w:hAnsi="仿宋_GB2312" w:eastAsia="仿宋_GB2312" w:cs="仿宋_GB2312"/>
                <w:color w:val="000000"/>
                <w:sz w:val="24"/>
                <w:szCs w:val="24"/>
              </w:rPr>
              <w:t>LIS</w:t>
            </w:r>
            <w:r>
              <w:rPr>
                <w:rFonts w:hint="default"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PACS</w:t>
            </w:r>
            <w:r>
              <w:rPr>
                <w:rFonts w:hint="default" w:ascii="仿宋_GB2312" w:hAnsi="仿宋_GB2312" w:eastAsia="仿宋_GB2312" w:cs="仿宋_GB2312"/>
                <w:color w:val="000000"/>
                <w:sz w:val="24"/>
                <w:szCs w:val="24"/>
              </w:rPr>
              <w:t>等系统，相关辅助检查数据应当可在系统中溯源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5.1.5</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CRF</w:t>
            </w:r>
            <w:r>
              <w:rPr>
                <w:rFonts w:hint="default" w:ascii="仿宋_GB2312" w:hAnsi="仿宋_GB2312" w:eastAsia="仿宋_GB2312" w:cs="仿宋_GB2312"/>
                <w:color w:val="000000"/>
                <w:sz w:val="24"/>
                <w:szCs w:val="24"/>
              </w:rPr>
              <w:t>中的数据与原始病历一致</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检查</w:t>
            </w:r>
            <w:r>
              <w:rPr>
                <w:rFonts w:hint="eastAsia" w:ascii="仿宋_GB2312" w:hAnsi="仿宋_GB2312" w:eastAsia="仿宋_GB2312" w:cs="仿宋_GB2312"/>
                <w:color w:val="000000"/>
                <w:sz w:val="24"/>
                <w:szCs w:val="24"/>
              </w:rPr>
              <w:t>CRF</w:t>
            </w:r>
            <w:r>
              <w:rPr>
                <w:rFonts w:hint="default" w:ascii="仿宋_GB2312" w:hAnsi="仿宋_GB2312" w:eastAsia="仿宋_GB2312" w:cs="仿宋_GB2312"/>
                <w:color w:val="000000"/>
                <w:sz w:val="24"/>
                <w:szCs w:val="24"/>
              </w:rPr>
              <w:t>和原始病历，数据应当一致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5.1.6</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电子临床数据库或者远程电子临床数据系统，应确保临床数据的受控、真实，并有完整的验证文件（如适用）</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检查电子临床数据库或者远程电子临床数据系统，应当有培训记录、独立账号、使用权限、数据审核、验证文件，有审计追踪功能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Style w:val="7"/>
                <w:rFonts w:hint="eastAsia" w:ascii="微软雅黑" w:hAnsi="微软雅黑" w:eastAsia="微软雅黑" w:cs="微软雅黑"/>
                <w:color w:val="000000"/>
                <w:sz w:val="18"/>
                <w:szCs w:val="18"/>
              </w:rPr>
              <w:t>5.2</w:t>
            </w:r>
          </w:p>
        </w:tc>
        <w:tc>
          <w:tcPr>
            <w:tcW w:w="8408"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Style w:val="7"/>
                <w:rFonts w:hint="default" w:ascii="仿宋_GB2312" w:hAnsi="仿宋_GB2312" w:eastAsia="仿宋_GB2312" w:cs="仿宋_GB2312"/>
                <w:color w:val="000000"/>
                <w:sz w:val="24"/>
                <w:szCs w:val="24"/>
              </w:rPr>
              <w:t>临床试验报告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5.2.1</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多中心临床试验结束后，各分中心有临床试验小结或临床试验报告</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检查各分中心临床试验小结或临床试验报告，应当保存完整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5.2.2</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临床试验小结或临床试验报告有研究者签名、注明日期，有临床试验机构审核意见、注明日期并加盖临床试验机构印章</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检查临床试验小结或临床试验报告，应当有研究者签名、注明日期，有临床试验机构审核意见、注明日期并加盖临床试验机构印章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5.2.3</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用于统计的数据库数据或分中心临床试验小结数据与</w:t>
            </w:r>
            <w:r>
              <w:rPr>
                <w:rFonts w:hint="eastAsia" w:ascii="仿宋_GB2312" w:hAnsi="仿宋_GB2312" w:eastAsia="仿宋_GB2312" w:cs="仿宋_GB2312"/>
                <w:color w:val="000000"/>
                <w:sz w:val="24"/>
                <w:szCs w:val="24"/>
              </w:rPr>
              <w:t>CRF</w:t>
            </w:r>
            <w:r>
              <w:rPr>
                <w:rFonts w:hint="default" w:ascii="仿宋_GB2312" w:hAnsi="仿宋_GB2312" w:eastAsia="仿宋_GB2312" w:cs="仿宋_GB2312"/>
                <w:color w:val="000000"/>
                <w:sz w:val="24"/>
                <w:szCs w:val="24"/>
              </w:rPr>
              <w:t>一致</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抽查</w:t>
            </w:r>
            <w:r>
              <w:rPr>
                <w:rFonts w:hint="eastAsia" w:ascii="仿宋_GB2312" w:hAnsi="仿宋_GB2312" w:eastAsia="仿宋_GB2312" w:cs="仿宋_GB2312"/>
                <w:color w:val="000000"/>
                <w:sz w:val="24"/>
                <w:szCs w:val="24"/>
              </w:rPr>
              <w:t>CRF</w:t>
            </w:r>
            <w:r>
              <w:rPr>
                <w:rFonts w:hint="default" w:ascii="仿宋_GB2312" w:hAnsi="仿宋_GB2312" w:eastAsia="仿宋_GB2312" w:cs="仿宋_GB2312"/>
                <w:color w:val="000000"/>
                <w:sz w:val="24"/>
                <w:szCs w:val="24"/>
              </w:rPr>
              <w:t>临床试验统计与数据库中的数据，数据应当一致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5.2.4</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临床试验报告或统计分析报告与用于统计的数据库数据或分中心临床试验小结数据一致</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检查临床试验报告或统计分析报告与临床试验统计数据库或分中心临床试验小结数据，数据应当一致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5.2.5</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注册申请提交的临床试验报告内容与临床试验机构保存的临床试验报告内容一致</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检查注册申请提交的临床试验报告和临床试验机构保存的临床试验报告，版本、内容应当一致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Style w:val="7"/>
                <w:rFonts w:hint="eastAsia" w:ascii="微软雅黑" w:hAnsi="微软雅黑" w:eastAsia="微软雅黑" w:cs="微软雅黑"/>
                <w:color w:val="000000"/>
                <w:sz w:val="18"/>
                <w:szCs w:val="18"/>
              </w:rPr>
              <w:t>6</w:t>
            </w:r>
          </w:p>
        </w:tc>
        <w:tc>
          <w:tcPr>
            <w:tcW w:w="8408"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rPr>
                <w:color w:val="000000"/>
                <w:sz w:val="24"/>
                <w:szCs w:val="24"/>
              </w:rPr>
            </w:pPr>
            <w:r>
              <w:rPr>
                <w:rStyle w:val="7"/>
                <w:rFonts w:hint="default" w:ascii="仿宋_GB2312" w:hAnsi="仿宋_GB2312" w:eastAsia="仿宋_GB2312" w:cs="仿宋_GB2312"/>
                <w:color w:val="000000"/>
                <w:sz w:val="24"/>
                <w:szCs w:val="24"/>
              </w:rPr>
              <w:t>试验用医疗器械管理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6.1</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保存信息包括名称、型号、规格、接收日期、生产日期、产品批号或者序列号等</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检查试验用医疗器械交接单或其他相关记录，应当有名称、型号、规格、接收日期、生产日期、产品批号或者序列号、数量等信息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6.2</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与检测报告、临床试验报告中的产品名称、规格型号一致</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检查临床实际使用、检测报告、临床试验报告中试验用医疗器械的规格型号，信息应当一致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6.3</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运输、接收、储存、分发、回收与处理等记录应完整</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检查运输、接收、储存、分发、回收与处理等记录，内容应当完整，数量不一致的记录原因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6.4</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运输条件、储存条件、储存时间、有效期等是否符合要求</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检查运输、接收、储存记录，运输条件、储存条件、储存时间、有效期等应当符合要求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6.5</w:t>
            </w:r>
          </w:p>
        </w:tc>
        <w:tc>
          <w:tcPr>
            <w:tcW w:w="387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所使用的、废弃的或者返还的数量与申办者提供的数量一致</w:t>
            </w:r>
          </w:p>
        </w:tc>
        <w:tc>
          <w:tcPr>
            <w:tcW w:w="45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检查接收、使用、废弃、回收记录，数量应当与申办者提供的数据一致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blCellSpacing w:w="0" w:type="dxa"/>
        </w:trPr>
        <w:tc>
          <w:tcPr>
            <w:tcW w:w="652"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center"/>
              <w:rPr>
                <w:color w:val="000000"/>
                <w:sz w:val="18"/>
                <w:szCs w:val="18"/>
              </w:rPr>
            </w:pPr>
            <w:r>
              <w:rPr>
                <w:rFonts w:hint="eastAsia" w:ascii="微软雅黑" w:hAnsi="微软雅黑" w:eastAsia="微软雅黑" w:cs="微软雅黑"/>
                <w:color w:val="000000"/>
                <w:sz w:val="18"/>
                <w:szCs w:val="18"/>
              </w:rPr>
              <w:t>6.6</w:t>
            </w:r>
          </w:p>
        </w:tc>
        <w:tc>
          <w:tcPr>
            <w:tcW w:w="387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特殊医疗器械保存和使用情况与总结报告内容一致</w:t>
            </w:r>
          </w:p>
        </w:tc>
        <w:tc>
          <w:tcPr>
            <w:tcW w:w="453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wordWrap/>
              <w:spacing w:line="300" w:lineRule="atLeast"/>
              <w:jc w:val="left"/>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检查有特殊场地保存要求的医疗器械（如需放射防护、需低温冷藏等），保存条件和使用情况应当与总结报告内容一致</w:t>
            </w:r>
          </w:p>
        </w:tc>
      </w:tr>
    </w:tbl>
    <w:p>
      <w:pPr>
        <w:pStyle w:val="4"/>
        <w:keepNext w:val="0"/>
        <w:keepLines w:val="0"/>
        <w:widowControl/>
        <w:suppressLineNumbers w:val="0"/>
        <w:wordWrap/>
        <w:spacing w:line="480" w:lineRule="atLeast"/>
        <w:ind w:left="0" w:firstLine="420"/>
        <w:jc w:val="left"/>
        <w:rPr>
          <w:color w:val="000000"/>
          <w:sz w:val="24"/>
          <w:szCs w:val="24"/>
        </w:rPr>
      </w:pPr>
      <w:r>
        <w:rPr>
          <w:rStyle w:val="7"/>
          <w:rFonts w:hint="eastAsia" w:ascii="微软雅黑" w:hAnsi="微软雅黑" w:eastAsia="微软雅黑" w:cs="微软雅黑"/>
          <w:caps w:val="0"/>
          <w:color w:val="000000"/>
          <w:spacing w:val="0"/>
          <w:sz w:val="24"/>
          <w:szCs w:val="24"/>
        </w:rPr>
        <w:t>二、判定原则</w:t>
      </w:r>
    </w:p>
    <w:p>
      <w:pPr>
        <w:pStyle w:val="4"/>
        <w:keepNext w:val="0"/>
        <w:keepLines w:val="0"/>
        <w:widowControl/>
        <w:suppressLineNumbers w:val="0"/>
        <w:wordWrap/>
        <w:spacing w:line="480" w:lineRule="atLeast"/>
        <w:ind w:left="0" w:firstLine="480" w:firstLineChars="20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根据检查发现的问题，检查结果按以下原则判定：</w:t>
      </w:r>
    </w:p>
    <w:p>
      <w:pPr>
        <w:pStyle w:val="4"/>
        <w:keepNext w:val="0"/>
        <w:keepLines w:val="0"/>
        <w:widowControl/>
        <w:suppressLineNumbers w:val="0"/>
        <w:wordWrap/>
        <w:spacing w:line="480" w:lineRule="atLeast"/>
        <w:ind w:left="0" w:firstLine="480" w:firstLineChars="20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（一）有以下情形之一的，判定为存在真实性问题：</w:t>
      </w:r>
    </w:p>
    <w:p>
      <w:pPr>
        <w:pStyle w:val="4"/>
        <w:keepNext w:val="0"/>
        <w:keepLines w:val="0"/>
        <w:widowControl/>
        <w:suppressLineNumbers w:val="0"/>
        <w:wordWrap/>
        <w:spacing w:line="480" w:lineRule="atLeast"/>
        <w:ind w:left="0" w:firstLine="480" w:firstLineChars="20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1.编造受试者信息、主要试验过程记录、研究数据、检测数据等临床试验数据，影响医疗器械安全性、有效性评价结果的；</w:t>
      </w:r>
    </w:p>
    <w:p>
      <w:pPr>
        <w:pStyle w:val="4"/>
        <w:keepNext w:val="0"/>
        <w:keepLines w:val="0"/>
        <w:widowControl/>
        <w:suppressLineNumbers w:val="0"/>
        <w:wordWrap/>
        <w:spacing w:line="480" w:lineRule="atLeast"/>
        <w:ind w:left="0" w:firstLine="480" w:firstLineChars="20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2.临床试验数据，如入选排除标准、主要疗效指标、重要的安全性指标等不能溯源的；</w:t>
      </w:r>
    </w:p>
    <w:p>
      <w:pPr>
        <w:pStyle w:val="4"/>
        <w:keepNext w:val="0"/>
        <w:keepLines w:val="0"/>
        <w:widowControl/>
        <w:suppressLineNumbers w:val="0"/>
        <w:wordWrap/>
        <w:spacing w:line="480" w:lineRule="atLeast"/>
        <w:ind w:left="0" w:firstLine="480" w:firstLineChars="20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3.试验用医疗器械不真实，如以对照用医疗器械替代试验用医疗器械、以试验用医疗器械替代对照用医疗器械，以及以其他方式使用虚假试验用医疗器械的；</w:t>
      </w:r>
    </w:p>
    <w:p>
      <w:pPr>
        <w:pStyle w:val="4"/>
        <w:keepNext w:val="0"/>
        <w:keepLines w:val="0"/>
        <w:widowControl/>
        <w:suppressLineNumbers w:val="0"/>
        <w:wordWrap/>
        <w:spacing w:line="480" w:lineRule="atLeast"/>
        <w:ind w:left="0" w:firstLine="480" w:firstLineChars="20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4.瞒报与临床试验用医疗器械相关的严重不良事件和可能导致严重不良事件的医疗器械缺陷、使用方案禁用的合并用药或医疗器械的；</w:t>
      </w:r>
    </w:p>
    <w:p>
      <w:pPr>
        <w:pStyle w:val="4"/>
        <w:keepNext w:val="0"/>
        <w:keepLines w:val="0"/>
        <w:widowControl/>
        <w:suppressLineNumbers w:val="0"/>
        <w:wordWrap/>
        <w:spacing w:line="480" w:lineRule="atLeast"/>
        <w:ind w:left="0" w:firstLine="480" w:firstLineChars="20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5.注册申请的临床试验报告中数据与临床试验机构保存的临床试验报告中的数据不一致，影响医疗器械安全性、有效性评价结果的;</w:t>
      </w:r>
    </w:p>
    <w:p>
      <w:pPr>
        <w:pStyle w:val="4"/>
        <w:keepNext w:val="0"/>
        <w:keepLines w:val="0"/>
        <w:widowControl/>
        <w:suppressLineNumbers w:val="0"/>
        <w:wordWrap/>
        <w:spacing w:line="480" w:lineRule="atLeast"/>
        <w:ind w:left="0" w:firstLine="480" w:firstLineChars="20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6.注册申请的临床试验统计分析报告中数据与临床试验统计数据库中数据或分中心临床试验小结中数据不一致，影响医疗器械安全性、有效性评价结果的；</w:t>
      </w:r>
    </w:p>
    <w:p>
      <w:pPr>
        <w:pStyle w:val="4"/>
        <w:keepNext w:val="0"/>
        <w:keepLines w:val="0"/>
        <w:widowControl/>
        <w:suppressLineNumbers w:val="0"/>
        <w:wordWrap/>
        <w:spacing w:line="480" w:lineRule="atLeast"/>
        <w:ind w:left="0" w:firstLine="480" w:firstLineChars="20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7.其他故意破坏医疗器械临床试验数据真实性的情形。</w:t>
      </w:r>
    </w:p>
    <w:p>
      <w:pPr>
        <w:pStyle w:val="4"/>
        <w:keepNext w:val="0"/>
        <w:keepLines w:val="0"/>
        <w:widowControl/>
        <w:suppressLineNumbers w:val="0"/>
        <w:wordWrap/>
        <w:spacing w:line="480" w:lineRule="atLeast"/>
        <w:ind w:left="0" w:firstLine="480" w:firstLineChars="20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（二）未发现真实性问题的，但临床试验过程不符合医疗器械临床试验相关规定要求的，判定为存在合规性问题。</w:t>
      </w:r>
      <w:bookmarkStart w:id="0" w:name="_GoBack"/>
      <w:bookmarkEnd w:id="0"/>
    </w:p>
    <w:p>
      <w:pPr>
        <w:pStyle w:val="4"/>
        <w:keepNext w:val="0"/>
        <w:keepLines w:val="0"/>
        <w:widowControl/>
        <w:suppressLineNumbers w:val="0"/>
        <w:wordWrap/>
        <w:spacing w:line="480" w:lineRule="atLeast"/>
        <w:ind w:left="0" w:firstLine="480" w:firstLineChars="20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（三）未发现上述问题的，判定为符合要求</w:t>
      </w:r>
      <w:r>
        <w:rPr>
          <w:rFonts w:hint="eastAsia" w:asciiTheme="minorEastAsia" w:hAnsiTheme="minorEastAsia" w:eastAsiaTheme="minorEastAsia" w:cstheme="minorEastAsia"/>
          <w:i w:val="0"/>
          <w:caps w:val="0"/>
          <w:color w:val="000000"/>
          <w:spacing w:val="0"/>
          <w:sz w:val="24"/>
          <w:szCs w:val="24"/>
          <w:lang w:eastAsia="zh-CN"/>
        </w:rPr>
        <w:t>。</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2758C"/>
    <w:rsid w:val="3A185B11"/>
    <w:rsid w:val="4B3D4F9C"/>
    <w:rsid w:val="6922758C"/>
    <w:rsid w:val="6C270DB2"/>
    <w:rsid w:val="71B615C9"/>
    <w:rsid w:val="7A5E2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2019-01-03T07:20:00Z</dcterms:created>
  <dc:creator> 百年</dc:creator>
  <cp:lastModifiedBy>俊伟</cp:lastModifiedBy>
  <dcterms:modified xsi:type="dcterms:W3CDTF">2021-02-24T07:11:24Z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