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69625">
      <w:pPr>
        <w:spacing w:line="360" w:lineRule="auto"/>
        <w:ind w:firstLine="420" w:firstLineChars="200"/>
      </w:pPr>
    </w:p>
    <w:p w14:paraId="131760A5">
      <w:pPr>
        <w:spacing w:line="360" w:lineRule="auto"/>
        <w:ind w:firstLine="420" w:firstLineChars="200"/>
      </w:pPr>
      <w:bookmarkStart w:id="186" w:name="_GoBack"/>
      <w:bookmarkEnd w:id="186"/>
    </w:p>
    <w:p w14:paraId="0DC028DF">
      <w:pPr>
        <w:spacing w:line="360" w:lineRule="auto"/>
        <w:ind w:firstLine="420" w:firstLineChars="200"/>
      </w:pPr>
    </w:p>
    <w:p w14:paraId="0BEEE4F5">
      <w:pPr>
        <w:spacing w:line="360" w:lineRule="auto"/>
      </w:pPr>
    </w:p>
    <w:p w14:paraId="3B68E343">
      <w:pPr>
        <w:jc w:val="center"/>
        <w:rPr>
          <w:b/>
          <w:sz w:val="44"/>
          <w:szCs w:val="44"/>
        </w:rPr>
      </w:pPr>
      <w:r>
        <w:rPr>
          <w:rFonts w:hint="eastAsia"/>
          <w:b/>
          <w:sz w:val="44"/>
          <w:szCs w:val="44"/>
          <w:lang w:val="en-US" w:eastAsia="zh-CN"/>
        </w:rPr>
        <w:t>智能物资管理系统升级服务</w:t>
      </w:r>
      <w:r>
        <w:rPr>
          <w:rFonts w:hint="eastAsia"/>
          <w:b/>
          <w:sz w:val="44"/>
          <w:szCs w:val="44"/>
        </w:rPr>
        <w:t>项目</w:t>
      </w:r>
    </w:p>
    <w:p w14:paraId="7F5761A7">
      <w:pPr>
        <w:jc w:val="center"/>
        <w:rPr>
          <w:b/>
          <w:sz w:val="44"/>
          <w:szCs w:val="44"/>
        </w:rPr>
      </w:pPr>
    </w:p>
    <w:p w14:paraId="487CCE29">
      <w:pPr>
        <w:jc w:val="center"/>
        <w:rPr>
          <w:rFonts w:hint="default" w:eastAsiaTheme="minorEastAsia"/>
          <w:lang w:val="en-US" w:eastAsia="zh-CN"/>
        </w:rPr>
      </w:pPr>
      <w:r>
        <w:rPr>
          <w:rFonts w:hint="eastAsia"/>
          <w:b/>
          <w:sz w:val="30"/>
          <w:szCs w:val="30"/>
        </w:rPr>
        <w:t>项目编号：</w:t>
      </w:r>
      <w:r>
        <w:rPr>
          <w:b/>
          <w:sz w:val="30"/>
          <w:szCs w:val="30"/>
        </w:rPr>
        <w:t>BACDCCG202</w:t>
      </w:r>
      <w:r>
        <w:rPr>
          <w:rFonts w:hint="eastAsia"/>
          <w:b/>
          <w:sz w:val="30"/>
          <w:szCs w:val="30"/>
          <w:lang w:val="en-US" w:eastAsia="zh-CN"/>
        </w:rPr>
        <w:t>6</w:t>
      </w:r>
      <w:r>
        <w:rPr>
          <w:rFonts w:hint="eastAsia"/>
          <w:b/>
          <w:color w:val="FF0000"/>
          <w:sz w:val="30"/>
          <w:szCs w:val="30"/>
          <w:lang w:val="en-US" w:eastAsia="zh-CN"/>
        </w:rPr>
        <w:t>003</w:t>
      </w:r>
    </w:p>
    <w:p w14:paraId="5052C718">
      <w:pPr>
        <w:spacing w:line="360" w:lineRule="auto"/>
        <w:ind w:firstLine="420" w:firstLineChars="200"/>
      </w:pPr>
    </w:p>
    <w:p w14:paraId="3892F746">
      <w:pPr>
        <w:spacing w:line="360" w:lineRule="auto"/>
        <w:ind w:firstLine="420" w:firstLineChars="200"/>
      </w:pPr>
    </w:p>
    <w:p w14:paraId="52A68AC8">
      <w:pPr>
        <w:spacing w:line="360" w:lineRule="auto"/>
        <w:ind w:firstLine="420" w:firstLineChars="200"/>
      </w:pPr>
    </w:p>
    <w:p w14:paraId="53F1FF5D">
      <w:pPr>
        <w:spacing w:line="360" w:lineRule="auto"/>
        <w:ind w:firstLine="420" w:firstLineChars="200"/>
      </w:pPr>
    </w:p>
    <w:p w14:paraId="194E31C9">
      <w:pPr>
        <w:spacing w:line="360" w:lineRule="auto"/>
        <w:ind w:firstLine="420" w:firstLineChars="200"/>
      </w:pPr>
    </w:p>
    <w:p w14:paraId="14C5305F">
      <w:pPr>
        <w:spacing w:line="360" w:lineRule="auto"/>
        <w:jc w:val="center"/>
        <w:rPr>
          <w:b/>
          <w:sz w:val="72"/>
          <w:szCs w:val="72"/>
        </w:rPr>
      </w:pPr>
      <w:r>
        <w:rPr>
          <w:rFonts w:hint="eastAsia"/>
          <w:b/>
          <w:sz w:val="72"/>
          <w:szCs w:val="72"/>
        </w:rPr>
        <w:t>招标文件</w:t>
      </w:r>
    </w:p>
    <w:p w14:paraId="2819DC55">
      <w:pPr>
        <w:spacing w:line="360" w:lineRule="auto"/>
        <w:ind w:firstLine="420" w:firstLineChars="200"/>
      </w:pPr>
    </w:p>
    <w:p w14:paraId="099D246E">
      <w:pPr>
        <w:spacing w:line="360" w:lineRule="auto"/>
        <w:ind w:firstLine="420" w:firstLineChars="200"/>
      </w:pPr>
    </w:p>
    <w:p w14:paraId="589C18BC">
      <w:pPr>
        <w:spacing w:line="360" w:lineRule="auto"/>
        <w:ind w:firstLine="420" w:firstLineChars="200"/>
      </w:pPr>
    </w:p>
    <w:p w14:paraId="5A9EA4CA">
      <w:pPr>
        <w:spacing w:line="360" w:lineRule="auto"/>
        <w:ind w:firstLine="420" w:firstLineChars="200"/>
      </w:pPr>
    </w:p>
    <w:p w14:paraId="0512425E">
      <w:pPr>
        <w:spacing w:line="360" w:lineRule="auto"/>
        <w:ind w:firstLine="420" w:firstLineChars="200"/>
      </w:pPr>
    </w:p>
    <w:p w14:paraId="6E903514">
      <w:pPr>
        <w:spacing w:line="360" w:lineRule="auto"/>
      </w:pPr>
    </w:p>
    <w:p w14:paraId="5ED4B8CC">
      <w:pPr>
        <w:spacing w:line="360" w:lineRule="auto"/>
      </w:pPr>
    </w:p>
    <w:p w14:paraId="15EB4026">
      <w:pPr>
        <w:spacing w:line="360" w:lineRule="auto"/>
        <w:ind w:firstLine="420" w:firstLineChars="200"/>
      </w:pPr>
    </w:p>
    <w:p w14:paraId="2975D251">
      <w:pPr>
        <w:spacing w:line="360" w:lineRule="auto"/>
        <w:jc w:val="center"/>
        <w:rPr>
          <w:rFonts w:hint="eastAsia"/>
          <w:b/>
          <w:sz w:val="30"/>
          <w:szCs w:val="30"/>
        </w:rPr>
      </w:pPr>
      <w:r>
        <w:rPr>
          <w:rFonts w:hint="eastAsia"/>
          <w:b/>
          <w:sz w:val="30"/>
          <w:szCs w:val="30"/>
        </w:rPr>
        <w:t>深圳市宝安区疾病预防控制中心</w:t>
      </w:r>
    </w:p>
    <w:p w14:paraId="780F4D7E">
      <w:pPr>
        <w:spacing w:line="360" w:lineRule="auto"/>
        <w:jc w:val="center"/>
        <w:rPr>
          <w:b/>
          <w:sz w:val="30"/>
          <w:szCs w:val="30"/>
        </w:rPr>
      </w:pPr>
      <w:r>
        <w:rPr>
          <w:rFonts w:hint="eastAsia"/>
          <w:b/>
          <w:sz w:val="30"/>
          <w:szCs w:val="30"/>
          <w:lang w:eastAsia="zh-CN"/>
        </w:rPr>
        <w:t>（</w:t>
      </w:r>
      <w:r>
        <w:rPr>
          <w:rFonts w:hint="eastAsia"/>
          <w:b/>
          <w:sz w:val="30"/>
          <w:szCs w:val="30"/>
          <w:lang w:val="en-US" w:eastAsia="zh-CN"/>
        </w:rPr>
        <w:t>深圳市宝安区卫生监督所</w:t>
      </w:r>
      <w:r>
        <w:rPr>
          <w:rFonts w:hint="eastAsia"/>
          <w:b/>
          <w:sz w:val="30"/>
          <w:szCs w:val="30"/>
          <w:lang w:eastAsia="zh-CN"/>
        </w:rPr>
        <w:t>）</w:t>
      </w:r>
    </w:p>
    <w:p w14:paraId="4E7C5FDB">
      <w:pPr>
        <w:spacing w:line="360" w:lineRule="auto"/>
        <w:jc w:val="center"/>
        <w:rPr>
          <w:b/>
          <w:sz w:val="30"/>
          <w:szCs w:val="30"/>
        </w:rPr>
      </w:pPr>
      <w:r>
        <w:rPr>
          <w:rFonts w:hint="eastAsia"/>
          <w:b/>
          <w:sz w:val="30"/>
          <w:szCs w:val="30"/>
        </w:rPr>
        <w:t>二〇二</w:t>
      </w:r>
      <w:r>
        <w:rPr>
          <w:rFonts w:hint="eastAsia"/>
          <w:b/>
          <w:sz w:val="30"/>
          <w:szCs w:val="30"/>
          <w:lang w:val="en-US" w:eastAsia="zh-CN"/>
        </w:rPr>
        <w:t>六</w:t>
      </w:r>
      <w:r>
        <w:rPr>
          <w:rFonts w:hint="eastAsia"/>
          <w:b/>
          <w:sz w:val="30"/>
          <w:szCs w:val="30"/>
        </w:rPr>
        <w:t>年</w:t>
      </w:r>
      <w:r>
        <w:rPr>
          <w:rFonts w:hint="eastAsia"/>
          <w:b/>
          <w:sz w:val="30"/>
          <w:szCs w:val="30"/>
          <w:lang w:val="en-US" w:eastAsia="zh-CN"/>
        </w:rPr>
        <w:t>九</w:t>
      </w:r>
      <w:r>
        <w:rPr>
          <w:rFonts w:hint="eastAsia"/>
          <w:b/>
          <w:sz w:val="30"/>
          <w:szCs w:val="30"/>
        </w:rPr>
        <w:t>月</w:t>
      </w:r>
    </w:p>
    <w:p w14:paraId="2C0999F4">
      <w:pPr>
        <w:spacing w:line="360" w:lineRule="auto"/>
        <w:ind w:firstLine="420" w:firstLineChars="200"/>
      </w:pPr>
    </w:p>
    <w:p w14:paraId="031C4C3E">
      <w:pPr>
        <w:spacing w:line="360" w:lineRule="auto"/>
        <w:ind w:firstLine="420" w:firstLineChars="200"/>
        <w:sectPr>
          <w:headerReference r:id="rId3" w:type="default"/>
          <w:footerReference r:id="rId4" w:type="default"/>
          <w:pgSz w:w="11906" w:h="16838"/>
          <w:pgMar w:top="1418" w:right="1474" w:bottom="1418" w:left="1474" w:header="851" w:footer="992" w:gutter="0"/>
          <w:cols w:space="425" w:num="1"/>
          <w:docGrid w:type="lines" w:linePitch="312" w:charSpace="0"/>
        </w:sectPr>
      </w:pPr>
    </w:p>
    <w:p w14:paraId="3822372A">
      <w:pPr>
        <w:pStyle w:val="2"/>
      </w:pPr>
      <w:bookmarkStart w:id="0" w:name="_Toc61539108"/>
      <w:bookmarkStart w:id="1" w:name="_Toc86939328"/>
      <w:r>
        <w:rPr>
          <w:rFonts w:hint="eastAsia"/>
        </w:rPr>
        <w:t xml:space="preserve">第一章  </w:t>
      </w:r>
      <w:bookmarkEnd w:id="0"/>
      <w:r>
        <w:rPr>
          <w:rFonts w:hint="eastAsia"/>
        </w:rPr>
        <w:t>招标公告</w:t>
      </w:r>
      <w:bookmarkEnd w:id="1"/>
    </w:p>
    <w:p w14:paraId="50498E3F">
      <w:pPr>
        <w:spacing w:line="360" w:lineRule="auto"/>
        <w:ind w:firstLine="420" w:firstLineChars="200"/>
      </w:pPr>
      <w:bookmarkStart w:id="2" w:name="_Hlk69568487"/>
      <w:r>
        <w:rPr>
          <w:rFonts w:hint="eastAsia"/>
        </w:rPr>
        <w:t>深圳市宝安区疾病预防控制中心</w:t>
      </w:r>
      <w:bookmarkEnd w:id="2"/>
      <w:r>
        <w:rPr>
          <w:rFonts w:hint="eastAsia"/>
          <w:color w:val="000000" w:themeColor="text1"/>
          <w14:textFill>
            <w14:solidFill>
              <w14:schemeClr w14:val="tx1"/>
            </w14:solidFill>
          </w14:textFill>
        </w:rPr>
        <w:t>就</w:t>
      </w:r>
      <w:r>
        <w:rPr>
          <w:rFonts w:hint="eastAsia"/>
          <w:color w:val="FF0000"/>
        </w:rPr>
        <w:t>智能物资管理系统升级服务</w:t>
      </w:r>
      <w:r>
        <w:rPr>
          <w:rFonts w:hint="eastAsia"/>
        </w:rPr>
        <w:t>项目接受以下投标人提交密封响应文件。有关事项如下：</w:t>
      </w:r>
    </w:p>
    <w:p w14:paraId="2E44EA54">
      <w:pPr>
        <w:pStyle w:val="5"/>
        <w:ind w:firstLine="482"/>
      </w:pPr>
      <w:bookmarkStart w:id="3" w:name="_Hlk69568538"/>
      <w:r>
        <w:rPr>
          <w:rFonts w:hint="eastAsia"/>
        </w:rPr>
        <w:t>一、项目基本信息</w:t>
      </w:r>
    </w:p>
    <w:p w14:paraId="1230A707">
      <w:pPr>
        <w:spacing w:line="360" w:lineRule="auto"/>
        <w:ind w:firstLine="420" w:firstLineChars="200"/>
        <w:rPr>
          <w:rFonts w:hint="eastAsia"/>
          <w:color w:val="0000FF"/>
        </w:rPr>
      </w:pPr>
      <w:r>
        <w:rPr>
          <w:rFonts w:hint="eastAsia"/>
        </w:rPr>
        <w:t>1、项</w:t>
      </w:r>
      <w:r>
        <w:rPr>
          <w:rFonts w:hint="eastAsia"/>
          <w:color w:val="000000" w:themeColor="text1"/>
          <w14:textFill>
            <w14:solidFill>
              <w14:schemeClr w14:val="tx1"/>
            </w14:solidFill>
          </w14:textFill>
        </w:rPr>
        <w:t>目名称：</w:t>
      </w:r>
      <w:r>
        <w:rPr>
          <w:rFonts w:hint="eastAsia"/>
          <w:color w:val="0000FF"/>
          <w:lang w:val="en-US" w:eastAsia="zh-CN"/>
        </w:rPr>
        <w:t>智能物资管理系统升级服务</w:t>
      </w:r>
    </w:p>
    <w:p w14:paraId="4B18ECCE">
      <w:pPr>
        <w:spacing w:line="360" w:lineRule="auto"/>
        <w:ind w:firstLine="420" w:firstLineChars="200"/>
        <w:rPr>
          <w:rFonts w:hint="default" w:eastAsiaTheme="minorEastAsia"/>
          <w:lang w:val="en-US" w:eastAsia="zh-CN"/>
        </w:rPr>
      </w:pPr>
      <w:r>
        <w:rPr>
          <w:rFonts w:hint="eastAsia"/>
        </w:rPr>
        <w:t>2、</w:t>
      </w:r>
      <w:r>
        <w:t>项目编号：</w:t>
      </w:r>
      <w:r>
        <w:rPr>
          <w:rFonts w:hint="eastAsia"/>
          <w:lang w:eastAsia="zh-CN"/>
        </w:rPr>
        <w:t>BACDCCG202</w:t>
      </w:r>
      <w:r>
        <w:rPr>
          <w:rFonts w:hint="eastAsia"/>
          <w:lang w:val="en-US" w:eastAsia="zh-CN"/>
        </w:rPr>
        <w:t>6</w:t>
      </w:r>
      <w:r>
        <w:rPr>
          <w:rFonts w:hint="eastAsia"/>
          <w:color w:val="FF0000"/>
          <w:lang w:val="en-US" w:eastAsia="zh-CN"/>
        </w:rPr>
        <w:t>003</w:t>
      </w:r>
    </w:p>
    <w:p w14:paraId="2915F678">
      <w:pPr>
        <w:spacing w:line="360" w:lineRule="auto"/>
        <w:ind w:firstLine="420" w:firstLineChars="200"/>
      </w:pPr>
      <w:r>
        <w:rPr>
          <w:rFonts w:hint="eastAsia"/>
        </w:rPr>
        <w:t>3、项目类别：</w:t>
      </w:r>
      <w:r>
        <w:rPr>
          <w:rFonts w:hint="eastAsia"/>
          <w:lang w:val="en-US" w:eastAsia="zh-CN"/>
        </w:rPr>
        <w:t>服务</w:t>
      </w:r>
      <w:r>
        <w:rPr>
          <w:rFonts w:hint="eastAsia"/>
        </w:rPr>
        <w:t>类</w:t>
      </w:r>
    </w:p>
    <w:p w14:paraId="47B4BA25">
      <w:pPr>
        <w:spacing w:line="360" w:lineRule="auto"/>
        <w:ind w:firstLine="420" w:firstLineChars="200"/>
        <w:rPr>
          <w:rFonts w:hint="eastAsia" w:eastAsiaTheme="minorEastAsia"/>
          <w:lang w:eastAsia="zh-CN"/>
        </w:rPr>
      </w:pPr>
      <w:r>
        <w:t>4</w:t>
      </w:r>
      <w:r>
        <w:rPr>
          <w:rFonts w:hint="eastAsia"/>
        </w:rPr>
        <w:t>、</w:t>
      </w:r>
      <w:r>
        <w:t>采购单位：</w:t>
      </w:r>
      <w:r>
        <w:rPr>
          <w:rFonts w:hint="eastAsia"/>
        </w:rPr>
        <w:t>深圳市宝安区疾病预防控制中心</w:t>
      </w:r>
      <w:r>
        <w:rPr>
          <w:rFonts w:hint="eastAsia"/>
          <w:lang w:eastAsia="zh-CN"/>
        </w:rPr>
        <w:t>（</w:t>
      </w:r>
      <w:r>
        <w:rPr>
          <w:rFonts w:hint="eastAsia"/>
          <w:lang w:val="en-US" w:eastAsia="zh-CN"/>
        </w:rPr>
        <w:t>深圳市宝安区卫生监督所</w:t>
      </w:r>
      <w:r>
        <w:rPr>
          <w:rFonts w:hint="eastAsia"/>
          <w:lang w:eastAsia="zh-CN"/>
        </w:rPr>
        <w:t>）</w:t>
      </w:r>
    </w:p>
    <w:p w14:paraId="77A380F1">
      <w:pPr>
        <w:spacing w:line="360" w:lineRule="auto"/>
        <w:ind w:firstLine="420" w:firstLineChars="200"/>
      </w:pPr>
      <w:r>
        <w:t>5</w:t>
      </w:r>
      <w:r>
        <w:rPr>
          <w:rFonts w:hint="eastAsia"/>
        </w:rPr>
        <w:t>、采购方式：公开招标</w:t>
      </w:r>
    </w:p>
    <w:p w14:paraId="2CAD69A2">
      <w:pPr>
        <w:spacing w:line="360" w:lineRule="auto"/>
        <w:ind w:firstLine="420" w:firstLineChars="200"/>
      </w:pPr>
      <w:r>
        <w:rPr>
          <w:rFonts w:hint="eastAsia"/>
        </w:rPr>
        <w:t>6、评标方法：</w:t>
      </w:r>
      <w:r>
        <w:rPr>
          <w:rFonts w:hint="eastAsia"/>
          <w:lang w:val="en-US" w:eastAsia="zh-CN"/>
        </w:rPr>
        <w:t>综合评分</w:t>
      </w:r>
      <w:r>
        <w:rPr>
          <w:rFonts w:hint="eastAsia"/>
        </w:rPr>
        <w:t>法</w:t>
      </w:r>
    </w:p>
    <w:bookmarkEnd w:id="3"/>
    <w:p w14:paraId="1C9D3DC6">
      <w:pPr>
        <w:pStyle w:val="5"/>
        <w:ind w:firstLine="482"/>
      </w:pPr>
      <w:r>
        <w:rPr>
          <w:rFonts w:hint="eastAsia"/>
        </w:rPr>
        <w:t>二、采购预算</w:t>
      </w:r>
    </w:p>
    <w:p w14:paraId="00304D3A">
      <w:pPr>
        <w:spacing w:line="360" w:lineRule="auto"/>
        <w:ind w:firstLine="420" w:firstLineChars="200"/>
      </w:pPr>
      <w:r>
        <w:rPr>
          <w:rFonts w:hint="eastAsia"/>
        </w:rPr>
        <w:t>本项目采购预算金额为</w:t>
      </w:r>
      <w:r>
        <w:rPr>
          <w:rFonts w:hint="eastAsia"/>
          <w:lang w:val="en-US" w:eastAsia="zh-CN"/>
        </w:rPr>
        <w:t>200000</w:t>
      </w:r>
      <w:r>
        <w:rPr>
          <w:rFonts w:hint="eastAsia"/>
        </w:rPr>
        <w:t>.00元。</w:t>
      </w:r>
    </w:p>
    <w:p w14:paraId="56D23D7A">
      <w:pPr>
        <w:pStyle w:val="5"/>
        <w:ind w:firstLine="482"/>
      </w:pPr>
      <w:bookmarkStart w:id="4" w:name="_Hlk69568757"/>
      <w:r>
        <w:rPr>
          <w:rFonts w:hint="eastAsia"/>
        </w:rPr>
        <w:t>三、需落实的采购政策</w:t>
      </w:r>
    </w:p>
    <w:p w14:paraId="12B711C7">
      <w:pPr>
        <w:spacing w:line="360" w:lineRule="auto"/>
        <w:ind w:firstLine="420" w:firstLineChars="200"/>
      </w:pPr>
      <w:r>
        <w:rPr>
          <w:rFonts w:hint="eastAsia"/>
        </w:rPr>
        <w:t>按照相关规定执行，详见采购需求标准。</w:t>
      </w:r>
    </w:p>
    <w:p w14:paraId="54E48530">
      <w:pPr>
        <w:pStyle w:val="5"/>
        <w:ind w:firstLine="482"/>
      </w:pPr>
      <w:r>
        <w:rPr>
          <w:rFonts w:hint="eastAsia"/>
        </w:rPr>
        <w:t>四、供应商资格要求</w:t>
      </w:r>
    </w:p>
    <w:p w14:paraId="17EDF4D1">
      <w:pPr>
        <w:spacing w:line="360" w:lineRule="auto"/>
        <w:ind w:firstLine="420" w:firstLineChars="200"/>
      </w:pPr>
      <w:r>
        <w:rPr>
          <w:rFonts w:hint="eastAsia"/>
        </w:rPr>
        <w:t>1、</w:t>
      </w:r>
      <w:bookmarkStart w:id="5" w:name="_Hlk145674892"/>
      <w:r>
        <w:rPr>
          <w:rFonts w:hint="eastAsia"/>
        </w:rPr>
        <w:t>投标人</w:t>
      </w:r>
      <w:bookmarkEnd w:id="5"/>
      <w:r>
        <w:rPr>
          <w:rFonts w:hint="eastAsia"/>
        </w:rPr>
        <w:t>必须是在中华人民共和国境内注册的独立法人或其他组织</w:t>
      </w:r>
      <w:bookmarkStart w:id="6" w:name="_Hlk145674976"/>
      <w:r>
        <w:rPr>
          <w:rFonts w:hint="eastAsia"/>
        </w:rPr>
        <w:t>（提供营业执照复印件）；</w:t>
      </w:r>
      <w:bookmarkEnd w:id="6"/>
    </w:p>
    <w:p w14:paraId="4D4C9845">
      <w:pPr>
        <w:spacing w:line="360" w:lineRule="auto"/>
        <w:ind w:firstLine="420" w:firstLineChars="200"/>
      </w:pPr>
      <w:r>
        <w:rPr>
          <w:rFonts w:hint="eastAsia"/>
        </w:rPr>
        <w:t>2、投标人参加本次政府采购活动前3年内在经营活动中没有重大违法记录（提供声明函）；</w:t>
      </w:r>
    </w:p>
    <w:p w14:paraId="6650B73B">
      <w:pPr>
        <w:spacing w:line="360" w:lineRule="auto"/>
        <w:ind w:firstLine="420" w:firstLineChars="200"/>
      </w:pPr>
      <w:r>
        <w:rPr>
          <w:rFonts w:hint="eastAsia"/>
        </w:rPr>
        <w:t>3、截至开标时间为止，未被深圳市各级政府采购主管部门行政处罚（指禁止参与政府采购活动且在有效期内）的投标人；</w:t>
      </w:r>
    </w:p>
    <w:p w14:paraId="695B0D8A">
      <w:pPr>
        <w:spacing w:line="360" w:lineRule="auto"/>
        <w:ind w:firstLine="420" w:firstLineChars="200"/>
      </w:pPr>
      <w:r>
        <w:rPr>
          <w:rFonts w:hint="eastAsia"/>
        </w:rPr>
        <w:t>4、通过“信用中国”网站（www.creditchina.gov.cn）和中国政府采购网（www.ccgp.gov.cn）查询信用记录（相关信息以中标通知书发出前的查询结果为准），被列入失信被执行人、重大税收违法案件当事人名单或政府采购严重违法失信行为记录名单的供应商，拒绝参与本项目的采购活动(网上查询)；</w:t>
      </w:r>
    </w:p>
    <w:p w14:paraId="7D15A032">
      <w:pPr>
        <w:spacing w:line="360" w:lineRule="auto"/>
        <w:ind w:firstLine="420" w:firstLineChars="200"/>
      </w:pPr>
      <w:r>
        <w:rPr>
          <w:rFonts w:hint="eastAsia"/>
        </w:rPr>
        <w:t>5、本项目不接受联合体投标。</w:t>
      </w:r>
    </w:p>
    <w:p w14:paraId="4680CD8F">
      <w:pPr>
        <w:pStyle w:val="5"/>
        <w:ind w:firstLine="482"/>
      </w:pPr>
      <w:r>
        <w:rPr>
          <w:rFonts w:hint="eastAsia"/>
        </w:rPr>
        <w:t>五、获取采购文件的时间、地点及方式</w:t>
      </w:r>
    </w:p>
    <w:bookmarkEnd w:id="4"/>
    <w:p w14:paraId="434AD16E">
      <w:pPr>
        <w:spacing w:line="360" w:lineRule="auto"/>
        <w:ind w:firstLine="420" w:firstLineChars="200"/>
        <w:rPr>
          <w:rFonts w:hint="eastAsia"/>
          <w:highlight w:val="yellow"/>
        </w:rPr>
      </w:pPr>
      <w:r>
        <w:rPr>
          <w:rFonts w:hint="eastAsia"/>
        </w:rPr>
        <w:t>1、获取招标文件时间：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15</w:t>
      </w:r>
      <w:r>
        <w:rPr>
          <w:rFonts w:hint="eastAsia"/>
          <w:highlight w:val="yellow"/>
        </w:rPr>
        <w:t>日起至202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24</w:t>
      </w:r>
      <w:r>
        <w:rPr>
          <w:rFonts w:hint="eastAsia"/>
          <w:highlight w:val="yellow"/>
        </w:rPr>
        <w:t>日</w:t>
      </w:r>
    </w:p>
    <w:p w14:paraId="133E1003">
      <w:pPr>
        <w:spacing w:line="360" w:lineRule="auto"/>
        <w:ind w:firstLine="420" w:firstLineChars="200"/>
        <w:rPr>
          <w:rFonts w:hint="default" w:eastAsiaTheme="minorEastAsia"/>
          <w:lang w:val="en-US" w:eastAsia="zh-CN"/>
        </w:rPr>
      </w:pPr>
      <w:r>
        <w:rPr>
          <w:rFonts w:hint="eastAsia"/>
        </w:rPr>
        <w:t>2、获取招标文件地点：</w:t>
      </w:r>
      <w:r>
        <w:rPr>
          <w:rFonts w:hint="eastAsia"/>
          <w:lang w:val="en-US" w:eastAsia="zh-CN"/>
        </w:rPr>
        <w:t>线上下载</w:t>
      </w:r>
    </w:p>
    <w:p w14:paraId="2BD0B0C9">
      <w:pPr>
        <w:spacing w:line="360" w:lineRule="auto"/>
        <w:ind w:firstLine="420" w:firstLineChars="200"/>
      </w:pPr>
      <w:r>
        <w:rPr>
          <w:rFonts w:hint="eastAsia"/>
          <w:lang w:val="en-US" w:eastAsia="zh-CN"/>
        </w:rPr>
        <w:t>3</w:t>
      </w:r>
      <w:r>
        <w:rPr>
          <w:rFonts w:hint="eastAsia"/>
        </w:rPr>
        <w:t>、联系人：</w:t>
      </w:r>
      <w:r>
        <w:rPr>
          <w:rFonts w:hint="eastAsia"/>
          <w:lang w:val="en-US" w:eastAsia="zh-CN"/>
        </w:rPr>
        <w:t>姜</w:t>
      </w:r>
      <w:r>
        <w:rPr>
          <w:rFonts w:hint="eastAsia"/>
        </w:rPr>
        <w:t>工</w:t>
      </w:r>
    </w:p>
    <w:p w14:paraId="001ACD70">
      <w:pPr>
        <w:spacing w:line="360" w:lineRule="auto"/>
        <w:ind w:firstLine="420" w:firstLineChars="200"/>
        <w:rPr>
          <w:rFonts w:hint="eastAsia" w:eastAsiaTheme="minorEastAsia"/>
          <w:lang w:eastAsia="zh-CN"/>
        </w:rPr>
      </w:pPr>
      <w:r>
        <w:rPr>
          <w:rFonts w:hint="eastAsia"/>
        </w:rPr>
        <w:t>5、联系电话：</w:t>
      </w:r>
      <w:r>
        <w:t xml:space="preserve">0755- </w:t>
      </w:r>
      <w:r>
        <w:rPr>
          <w:rFonts w:hint="eastAsia"/>
          <w:lang w:eastAsia="zh-CN"/>
        </w:rPr>
        <w:t>27751586</w:t>
      </w:r>
    </w:p>
    <w:p w14:paraId="1F4800EE">
      <w:pPr>
        <w:pStyle w:val="5"/>
        <w:ind w:firstLine="482"/>
      </w:pPr>
      <w:r>
        <w:rPr>
          <w:rFonts w:hint="eastAsia"/>
        </w:rPr>
        <w:t>六、投标截止时间</w:t>
      </w:r>
    </w:p>
    <w:p w14:paraId="285869A1">
      <w:pPr>
        <w:spacing w:line="360" w:lineRule="auto"/>
        <w:ind w:firstLine="420" w:firstLineChars="200"/>
      </w:pPr>
      <w:r>
        <w:rPr>
          <w:rFonts w:hint="eastAsia"/>
        </w:rPr>
        <w:t>1、递交投标文件时间：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24</w:t>
      </w:r>
      <w:r>
        <w:rPr>
          <w:rFonts w:hint="eastAsia"/>
          <w:highlight w:val="yellow"/>
        </w:rPr>
        <w:t>日</w:t>
      </w:r>
      <w:r>
        <w:rPr>
          <w:rFonts w:hint="eastAsia"/>
        </w:rPr>
        <w:t>下午1</w:t>
      </w:r>
      <w:r>
        <w:rPr>
          <w:rFonts w:hint="eastAsia"/>
          <w:lang w:val="en-US" w:eastAsia="zh-CN"/>
        </w:rPr>
        <w:t>8</w:t>
      </w:r>
      <w:r>
        <w:rPr>
          <w:rFonts w:hint="eastAsia"/>
        </w:rPr>
        <w:t>：</w:t>
      </w:r>
      <w:r>
        <w:t>0</w:t>
      </w:r>
      <w:r>
        <w:rPr>
          <w:rFonts w:hint="eastAsia"/>
        </w:rPr>
        <w:t>0前（可快递，以签收时间为准）。</w:t>
      </w:r>
    </w:p>
    <w:p w14:paraId="62D90C12">
      <w:pPr>
        <w:spacing w:line="360" w:lineRule="auto"/>
        <w:ind w:firstLine="420" w:firstLineChars="200"/>
      </w:pPr>
      <w:r>
        <w:t>2</w:t>
      </w:r>
      <w:r>
        <w:rPr>
          <w:rFonts w:hint="eastAsia"/>
        </w:rPr>
        <w:t>、递交投标文件地点：深圳市宝安区海秀路3号（深圳市宝安区疾病预防控制中心）</w:t>
      </w:r>
      <w:r>
        <w:rPr>
          <w:rFonts w:hint="eastAsia"/>
          <w:lang w:val="en-US" w:eastAsia="zh-CN"/>
        </w:rPr>
        <w:t>525，</w:t>
      </w:r>
      <w:r>
        <w:rPr>
          <w:rFonts w:hint="eastAsia"/>
        </w:rPr>
        <w:t>如无法进入大楼可放置保安室。</w:t>
      </w:r>
    </w:p>
    <w:p w14:paraId="3BB0EC6D">
      <w:pPr>
        <w:pStyle w:val="5"/>
        <w:ind w:firstLine="482"/>
      </w:pPr>
      <w:r>
        <w:rPr>
          <w:rFonts w:hint="eastAsia"/>
        </w:rPr>
        <w:t>七、采购公告查询：</w:t>
      </w:r>
    </w:p>
    <w:p w14:paraId="0D6ADBEE">
      <w:pPr>
        <w:spacing w:line="360" w:lineRule="auto"/>
        <w:ind w:firstLine="420" w:firstLineChars="200"/>
      </w:pPr>
      <w:r>
        <w:rPr>
          <w:rFonts w:hint="eastAsia"/>
        </w:rPr>
        <w:t>https://www.bawjxt.net/baqjbyfkzzx/(深圳市宝安区疾病预防控制中心官网)</w:t>
      </w:r>
    </w:p>
    <w:p w14:paraId="5783F421">
      <w:pPr>
        <w:spacing w:line="360" w:lineRule="auto"/>
        <w:ind w:firstLine="420" w:firstLineChars="200"/>
      </w:pPr>
    </w:p>
    <w:p w14:paraId="7C397871">
      <w:pPr>
        <w:spacing w:line="360" w:lineRule="auto"/>
        <w:ind w:firstLine="420" w:firstLineChars="200"/>
      </w:pPr>
    </w:p>
    <w:p w14:paraId="4FBE17F7">
      <w:pPr>
        <w:spacing w:line="360" w:lineRule="auto"/>
        <w:ind w:firstLine="5460" w:firstLineChars="2600"/>
        <w:rPr>
          <w:rFonts w:hint="eastAsia"/>
        </w:rPr>
      </w:pPr>
      <w:r>
        <w:rPr>
          <w:rFonts w:hint="eastAsia"/>
        </w:rPr>
        <w:t>深圳市宝安区疾病预防控制中心</w:t>
      </w:r>
    </w:p>
    <w:p w14:paraId="43CE7AD1">
      <w:pPr>
        <w:spacing w:line="360" w:lineRule="auto"/>
        <w:ind w:firstLine="5460" w:firstLineChars="2600"/>
        <w:rPr>
          <w:rFonts w:hint="eastAsia" w:eastAsiaTheme="minorEastAsia"/>
          <w:lang w:eastAsia="zh-CN"/>
        </w:rPr>
      </w:pPr>
      <w:r>
        <w:rPr>
          <w:rFonts w:hint="eastAsia"/>
          <w:lang w:eastAsia="zh-CN"/>
        </w:rPr>
        <w:t>（</w:t>
      </w:r>
      <w:r>
        <w:rPr>
          <w:rFonts w:hint="eastAsia"/>
          <w:lang w:val="en-US" w:eastAsia="zh-CN"/>
        </w:rPr>
        <w:t>深圳市宝安区卫生监督所</w:t>
      </w:r>
      <w:r>
        <w:rPr>
          <w:rFonts w:hint="eastAsia"/>
          <w:lang w:eastAsia="zh-CN"/>
        </w:rPr>
        <w:t>）</w:t>
      </w:r>
    </w:p>
    <w:p w14:paraId="1FE86B6C">
      <w:pPr>
        <w:spacing w:line="360" w:lineRule="auto"/>
        <w:ind w:firstLine="5880" w:firstLineChars="2800"/>
      </w:pPr>
      <w:r>
        <w:rPr>
          <w:rFonts w:hint="eastAsia"/>
          <w:highlight w:val="yellow"/>
        </w:rPr>
        <w:t>2</w:t>
      </w:r>
      <w:r>
        <w:rPr>
          <w:highlight w:val="yellow"/>
        </w:rPr>
        <w:t>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15</w:t>
      </w:r>
      <w:r>
        <w:rPr>
          <w:rFonts w:hint="eastAsia"/>
          <w:highlight w:val="yellow"/>
        </w:rPr>
        <w:t>日</w:t>
      </w:r>
    </w:p>
    <w:p w14:paraId="4EEFC1AD">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68E0E3FF">
      <w:pPr>
        <w:pStyle w:val="2"/>
      </w:pPr>
      <w:bookmarkStart w:id="7" w:name="_Toc86939329"/>
      <w:bookmarkStart w:id="8" w:name="_Toc61539109"/>
      <w:r>
        <w:rPr>
          <w:rFonts w:hint="eastAsia"/>
        </w:rPr>
        <w:t>第二章  用户需求书</w:t>
      </w:r>
      <w:bookmarkEnd w:id="7"/>
      <w:bookmarkEnd w:id="8"/>
    </w:p>
    <w:p w14:paraId="53BC6BE8">
      <w:pPr>
        <w:pStyle w:val="3"/>
        <w:rPr>
          <w:rFonts w:hint="eastAsia"/>
          <w:lang w:val="en-US" w:eastAsia="zh-CN"/>
        </w:rPr>
      </w:pPr>
      <w:bookmarkStart w:id="9" w:name="_Toc86741961"/>
      <w:bookmarkStart w:id="10" w:name="_Toc86939330"/>
      <w:r>
        <w:rPr>
          <w:rFonts w:hint="eastAsia"/>
        </w:rPr>
        <w:t>一、</w:t>
      </w:r>
      <w:r>
        <w:rPr>
          <w:rFonts w:hint="eastAsia"/>
          <w:lang w:val="en-US" w:eastAsia="zh-CN"/>
        </w:rPr>
        <w:t>需求内容</w:t>
      </w:r>
    </w:p>
    <w:p w14:paraId="79E0CCF6">
      <w:pPr>
        <w:rPr>
          <w:rFonts w:hint="eastAsia" w:asciiTheme="minorEastAsia" w:hAnsiTheme="minorEastAsia"/>
          <w:b/>
          <w:bCs/>
          <w:color w:val="0000FF"/>
          <w:szCs w:val="21"/>
          <w:lang w:val="en-US" w:eastAsia="zh-CN"/>
        </w:rPr>
      </w:pPr>
      <w:r>
        <w:rPr>
          <w:rFonts w:hint="eastAsia" w:asciiTheme="minorEastAsia" w:hAnsiTheme="minorEastAsia"/>
          <w:b/>
          <w:bCs/>
          <w:color w:val="0000FF"/>
          <w:szCs w:val="21"/>
          <w:lang w:val="en-US" w:eastAsia="zh-CN"/>
        </w:rPr>
        <w:t>1.项目背景</w:t>
      </w:r>
    </w:p>
    <w:p w14:paraId="525DF469">
      <w:pPr>
        <w:ind w:firstLine="420" w:firstLineChars="200"/>
        <w:rPr>
          <w:rFonts w:hint="eastAsia" w:eastAsia="宋体"/>
          <w:color w:val="0000FF"/>
          <w:lang w:val="en-US" w:eastAsia="zh-CN"/>
        </w:rPr>
      </w:pPr>
      <w:r>
        <w:rPr>
          <w:rFonts w:hint="eastAsia" w:eastAsia="宋体"/>
          <w:color w:val="0000FF"/>
          <w:lang w:val="en-US" w:eastAsia="zh-CN"/>
        </w:rPr>
        <w:t>当前</w:t>
      </w:r>
      <w:r>
        <w:rPr>
          <w:rFonts w:hint="eastAsia" w:eastAsia="宋体"/>
          <w:color w:val="0000FF"/>
        </w:rPr>
        <w:t>深圳市宝安区疾病预防控制中心（</w:t>
      </w:r>
      <w:r>
        <w:rPr>
          <w:rFonts w:hint="eastAsia" w:eastAsia="宋体"/>
          <w:color w:val="0000FF"/>
          <w:lang w:val="en-US" w:eastAsia="zh-CN"/>
        </w:rPr>
        <w:t>宝安区卫生监督所</w:t>
      </w:r>
      <w:r>
        <w:rPr>
          <w:rFonts w:hint="eastAsia" w:eastAsia="宋体"/>
          <w:color w:val="0000FF"/>
        </w:rPr>
        <w:t>）现有自建</w:t>
      </w:r>
      <w:r>
        <w:rPr>
          <w:rFonts w:hint="eastAsia" w:eastAsia="宋体"/>
          <w:color w:val="0000FF"/>
          <w:lang w:val="en-US" w:eastAsia="zh-CN"/>
        </w:rPr>
        <w:t>智能</w:t>
      </w:r>
      <w:r>
        <w:rPr>
          <w:rFonts w:hint="eastAsia" w:eastAsia="宋体"/>
          <w:color w:val="0000FF"/>
        </w:rPr>
        <w:t>物资管理系统</w:t>
      </w:r>
      <w:r>
        <w:rPr>
          <w:rFonts w:hint="eastAsia" w:eastAsia="宋体"/>
          <w:color w:val="0000FF"/>
          <w:lang w:eastAsia="zh-CN"/>
        </w:rPr>
        <w:t>，</w:t>
      </w:r>
      <w:r>
        <w:rPr>
          <w:rFonts w:hint="eastAsia" w:eastAsia="宋体"/>
          <w:color w:val="0000FF"/>
        </w:rPr>
        <w:t>仅支撑通用物资出入库管理，未覆盖合同管理及报销管理业务。</w:t>
      </w:r>
      <w:r>
        <w:rPr>
          <w:rFonts w:hint="eastAsia" w:eastAsia="宋体"/>
          <w:color w:val="0000FF"/>
          <w:lang w:val="en-US" w:eastAsia="zh-CN"/>
        </w:rPr>
        <w:t>按照</w:t>
      </w:r>
      <w:r>
        <w:rPr>
          <w:rFonts w:hint="eastAsia" w:eastAsia="宋体"/>
          <w:color w:val="0000FF"/>
        </w:rPr>
        <w:t>内控规范及项目管理流程，升级</w:t>
      </w:r>
      <w:r>
        <w:rPr>
          <w:rFonts w:hint="eastAsia" w:eastAsia="宋体"/>
          <w:color w:val="0000FF"/>
          <w:lang w:val="en-US" w:eastAsia="zh-CN"/>
        </w:rPr>
        <w:t>现有智能</w:t>
      </w:r>
      <w:r>
        <w:rPr>
          <w:rFonts w:hint="eastAsia" w:eastAsia="宋体"/>
          <w:color w:val="0000FF"/>
        </w:rPr>
        <w:t>物资管理系统，构建统一、规范、可追溯、可监管的合同及物资全流程管控体系，支撑物资、合同、报销一体化管理。</w:t>
      </w:r>
    </w:p>
    <w:p w14:paraId="3628FC8A">
      <w:pPr>
        <w:rPr>
          <w:rFonts w:asciiTheme="minorEastAsia" w:hAnsiTheme="minorEastAsia"/>
          <w:b/>
          <w:bCs/>
          <w:color w:val="0000FF"/>
          <w:szCs w:val="21"/>
        </w:rPr>
      </w:pPr>
      <w:r>
        <w:rPr>
          <w:rFonts w:hint="eastAsia" w:asciiTheme="minorEastAsia" w:hAnsiTheme="minorEastAsia"/>
          <w:b/>
          <w:bCs/>
          <w:color w:val="0000FF"/>
          <w:szCs w:val="21"/>
          <w:lang w:val="en-US" w:eastAsia="zh-CN"/>
        </w:rPr>
        <w:t>2</w:t>
      </w:r>
      <w:r>
        <w:rPr>
          <w:rFonts w:hint="eastAsia" w:asciiTheme="minorEastAsia" w:hAnsiTheme="minorEastAsia"/>
          <w:b/>
          <w:bCs/>
          <w:color w:val="0000FF"/>
          <w:szCs w:val="21"/>
          <w:lang w:eastAsia="zh-CN"/>
        </w:rPr>
        <w:t>.</w:t>
      </w:r>
      <w:r>
        <w:rPr>
          <w:rFonts w:hint="eastAsia" w:asciiTheme="minorEastAsia" w:hAnsiTheme="minorEastAsia"/>
          <w:b/>
          <w:bCs/>
          <w:color w:val="0000FF"/>
          <w:szCs w:val="21"/>
        </w:rPr>
        <w:t>技术服务要求</w:t>
      </w:r>
    </w:p>
    <w:p w14:paraId="50A639F1">
      <w:pPr>
        <w:pStyle w:val="18"/>
        <w:spacing w:after="78"/>
        <w:ind w:left="0" w:leftChars="0" w:firstLine="420"/>
        <w:rPr>
          <w:rFonts w:hint="eastAsia" w:ascii="Times New Roman" w:hAnsi="Times New Roman" w:eastAsia="宋体" w:cs="Times New Roman"/>
          <w:color w:val="FF0000"/>
        </w:rPr>
      </w:pPr>
      <w:r>
        <w:rPr>
          <w:rFonts w:hint="eastAsia" w:ascii="Times New Roman" w:hAnsi="Times New Roman" w:eastAsia="宋体" w:cs="Times New Roman"/>
          <w:color w:val="FF0000"/>
        </w:rPr>
        <w:t>围绕“物资</w:t>
      </w:r>
      <w:r>
        <w:rPr>
          <w:rFonts w:hint="eastAsia" w:ascii="Times New Roman" w:hAnsi="Times New Roman" w:eastAsia="宋体" w:cs="Times New Roman"/>
          <w:color w:val="FF0000"/>
          <w:lang w:val="en-US" w:eastAsia="zh-CN"/>
        </w:rPr>
        <w:t>-</w:t>
      </w:r>
      <w:r>
        <w:rPr>
          <w:rFonts w:hint="eastAsia" w:ascii="Times New Roman" w:hAnsi="Times New Roman" w:eastAsia="宋体" w:cs="Times New Roman"/>
          <w:color w:val="FF0000"/>
        </w:rPr>
        <w:t>合同</w:t>
      </w:r>
      <w:r>
        <w:rPr>
          <w:rFonts w:hint="eastAsia" w:ascii="Times New Roman" w:hAnsi="Times New Roman" w:eastAsia="宋体" w:cs="Times New Roman"/>
          <w:color w:val="FF0000"/>
          <w:lang w:val="en-US" w:eastAsia="zh-CN"/>
        </w:rPr>
        <w:t>-</w:t>
      </w:r>
      <w:r>
        <w:rPr>
          <w:rFonts w:hint="eastAsia" w:ascii="Times New Roman" w:hAnsi="Times New Roman" w:eastAsia="宋体" w:cs="Times New Roman"/>
          <w:color w:val="FF0000"/>
        </w:rPr>
        <w:t>报销一体化管理</w:t>
      </w:r>
      <w:r>
        <w:rPr>
          <w:rFonts w:hint="eastAsia" w:ascii="Times New Roman" w:hAnsi="Times New Roman" w:eastAsia="宋体" w:cs="Times New Roman"/>
          <w:color w:val="FF0000"/>
          <w:lang w:val="en-US" w:eastAsia="zh-CN"/>
        </w:rPr>
        <w:t>升级</w:t>
      </w:r>
      <w:r>
        <w:rPr>
          <w:rFonts w:hint="eastAsia" w:ascii="Times New Roman" w:hAnsi="Times New Roman" w:eastAsia="宋体" w:cs="Times New Roman"/>
          <w:color w:val="FF0000"/>
        </w:rPr>
        <w:t>”目标，基于现有智能物资管理系统进行升级，通过本地化服务工具部署实现</w:t>
      </w:r>
      <w:r>
        <w:rPr>
          <w:rFonts w:hint="eastAsia" w:ascii="Times New Roman" w:hAnsi="Times New Roman" w:eastAsia="宋体" w:cs="Times New Roman"/>
          <w:color w:val="FF0000"/>
          <w:lang w:val="en-US" w:eastAsia="zh-CN"/>
        </w:rPr>
        <w:t>物资基础数据、合同业务数据、报销财务数据</w:t>
      </w:r>
      <w:r>
        <w:rPr>
          <w:rFonts w:hint="eastAsia" w:ascii="Times New Roman" w:hAnsi="Times New Roman" w:eastAsia="宋体" w:cs="Times New Roman"/>
          <w:color w:val="FF0000"/>
        </w:rPr>
        <w:t>三者的数据融合，完成</w:t>
      </w:r>
      <w:r>
        <w:rPr>
          <w:rFonts w:hint="eastAsia" w:ascii="Times New Roman" w:hAnsi="Times New Roman" w:eastAsia="宋体" w:cs="Times New Roman"/>
          <w:color w:val="FF0000"/>
          <w:lang w:val="en-US" w:eastAsia="zh-CN"/>
        </w:rPr>
        <w:t>物资（含疫苗）台账、合同履约、费用报销的</w:t>
      </w:r>
      <w:r>
        <w:rPr>
          <w:rFonts w:hint="eastAsia" w:ascii="Times New Roman" w:hAnsi="Times New Roman" w:eastAsia="宋体" w:cs="Times New Roman"/>
          <w:color w:val="FF0000"/>
        </w:rPr>
        <w:t>深度联动</w:t>
      </w:r>
      <w:r>
        <w:rPr>
          <w:rFonts w:hint="eastAsia" w:ascii="Times New Roman" w:hAnsi="Times New Roman" w:eastAsia="宋体" w:cs="Times New Roman"/>
          <w:color w:val="FF0000"/>
          <w:lang w:eastAsia="zh-CN"/>
        </w:rPr>
        <w:t>；</w:t>
      </w:r>
      <w:r>
        <w:rPr>
          <w:rFonts w:hint="eastAsia" w:ascii="Times New Roman" w:hAnsi="Times New Roman" w:eastAsia="宋体" w:cs="Times New Roman"/>
          <w:color w:val="FF0000"/>
        </w:rPr>
        <w:t>满足项目资金精细化管理</w:t>
      </w:r>
      <w:r>
        <w:rPr>
          <w:rFonts w:hint="eastAsia" w:ascii="Times New Roman" w:hAnsi="Times New Roman" w:eastAsia="宋体" w:cs="Times New Roman"/>
          <w:color w:val="FF0000"/>
          <w:lang w:val="en-US" w:eastAsia="zh-CN"/>
        </w:rPr>
        <w:t>要求</w:t>
      </w:r>
      <w:r>
        <w:rPr>
          <w:rFonts w:hint="eastAsia" w:ascii="Times New Roman" w:hAnsi="Times New Roman" w:eastAsia="宋体" w:cs="Times New Roman"/>
          <w:color w:val="FF0000"/>
        </w:rPr>
        <w:t>。</w:t>
      </w:r>
    </w:p>
    <w:p w14:paraId="62324228">
      <w:pPr>
        <w:pStyle w:val="18"/>
        <w:spacing w:after="78"/>
        <w:ind w:left="0" w:leftChars="0" w:firstLine="420"/>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rPr>
        <w:t>现有智能物资管理系统新增</w:t>
      </w:r>
      <w:r>
        <w:rPr>
          <w:rFonts w:hint="eastAsia" w:cs="Times New Roman"/>
          <w:color w:val="FF0000"/>
          <w:lang w:eastAsia="zh-CN"/>
        </w:rPr>
        <w:t>的</w:t>
      </w:r>
      <w:r>
        <w:rPr>
          <w:rFonts w:hint="eastAsia" w:ascii="Times New Roman" w:hAnsi="Times New Roman" w:eastAsia="宋体" w:cs="Times New Roman"/>
          <w:color w:val="FF0000"/>
        </w:rPr>
        <w:t>功能模块</w:t>
      </w:r>
      <w:r>
        <w:rPr>
          <w:rFonts w:hint="eastAsia" w:ascii="Times New Roman" w:hAnsi="Times New Roman" w:eastAsia="宋体" w:cs="Times New Roman"/>
          <w:color w:val="FF0000"/>
          <w:lang w:val="en-US" w:eastAsia="zh-CN"/>
        </w:rPr>
        <w:t>如下</w:t>
      </w:r>
      <w:r>
        <w:rPr>
          <w:rFonts w:hint="eastAsia" w:cs="Times New Roman"/>
          <w:color w:val="FF0000"/>
          <w:lang w:val="en-US" w:eastAsia="zh-CN"/>
        </w:rPr>
        <w:t>：</w:t>
      </w:r>
    </w:p>
    <w:tbl>
      <w:tblPr>
        <w:tblStyle w:val="19"/>
        <w:tblW w:w="0" w:type="auto"/>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638"/>
        <w:gridCol w:w="757"/>
        <w:gridCol w:w="1559"/>
        <w:gridCol w:w="6140"/>
      </w:tblGrid>
      <w:tr w14:paraId="4FF4094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80" w:hRule="atLeast"/>
        </w:trPr>
        <w:tc>
          <w:tcPr>
            <w:tcW w:w="638" w:type="dxa"/>
            <w:tcBorders>
              <w:bottom w:val="single" w:color="auto" w:sz="4" w:space="0"/>
              <w:right w:val="single" w:color="auto" w:sz="4" w:space="0"/>
            </w:tcBorders>
            <w:noWrap/>
            <w:vAlign w:val="center"/>
          </w:tcPr>
          <w:p w14:paraId="79E5D0D9">
            <w:pPr>
              <w:keepNext w:val="0"/>
              <w:keepLines w:val="0"/>
              <w:widowControl/>
              <w:suppressLineNumbers w:val="0"/>
              <w:spacing w:before="0" w:beforeAutospacing="0" w:after="0" w:afterAutospacing="0"/>
              <w:ind w:left="0" w:right="0"/>
              <w:jc w:val="center"/>
              <w:rPr>
                <w:rFonts w:hint="eastAsia" w:ascii="宋体" w:hAnsi="宋体" w:eastAsia="宋体" w:cs="宋体"/>
                <w:b/>
                <w:bCs/>
                <w:color w:val="FF0000"/>
                <w:kern w:val="0"/>
                <w:sz w:val="21"/>
                <w:szCs w:val="21"/>
              </w:rPr>
            </w:pPr>
            <w:r>
              <w:rPr>
                <w:rFonts w:hint="eastAsia" w:ascii="宋体" w:hAnsi="宋体" w:eastAsia="宋体" w:cs="宋体"/>
                <w:b/>
                <w:bCs/>
                <w:color w:val="FF0000"/>
                <w:kern w:val="0"/>
                <w:sz w:val="21"/>
                <w:szCs w:val="21"/>
              </w:rPr>
              <w:t>序号</w:t>
            </w:r>
          </w:p>
        </w:tc>
        <w:tc>
          <w:tcPr>
            <w:tcW w:w="757" w:type="dxa"/>
            <w:tcBorders>
              <w:left w:val="nil"/>
              <w:bottom w:val="single" w:color="auto" w:sz="4" w:space="0"/>
              <w:right w:val="single" w:color="auto" w:sz="4" w:space="0"/>
            </w:tcBorders>
            <w:noWrap/>
            <w:vAlign w:val="bottom"/>
          </w:tcPr>
          <w:p w14:paraId="67FBAA09">
            <w:pPr>
              <w:keepNext w:val="0"/>
              <w:keepLines w:val="0"/>
              <w:widowControl/>
              <w:suppressLineNumbers w:val="0"/>
              <w:spacing w:before="0" w:beforeAutospacing="0" w:after="0" w:afterAutospacing="0"/>
              <w:ind w:left="0" w:right="0"/>
              <w:jc w:val="center"/>
              <w:rPr>
                <w:rFonts w:hint="eastAsia" w:ascii="宋体" w:hAnsi="宋体" w:eastAsia="宋体" w:cs="宋体"/>
                <w:b/>
                <w:bCs/>
                <w:color w:val="FF0000"/>
                <w:kern w:val="0"/>
                <w:sz w:val="21"/>
                <w:szCs w:val="21"/>
              </w:rPr>
            </w:pPr>
            <w:r>
              <w:rPr>
                <w:rFonts w:hint="eastAsia" w:ascii="宋体" w:hAnsi="宋体" w:eastAsia="宋体" w:cs="宋体"/>
                <w:b/>
                <w:bCs/>
                <w:color w:val="FF0000"/>
                <w:kern w:val="0"/>
                <w:sz w:val="21"/>
                <w:szCs w:val="21"/>
              </w:rPr>
              <w:t>模块</w:t>
            </w:r>
          </w:p>
        </w:tc>
        <w:tc>
          <w:tcPr>
            <w:tcW w:w="1559" w:type="dxa"/>
            <w:tcBorders>
              <w:left w:val="nil"/>
              <w:bottom w:val="single" w:color="auto" w:sz="4" w:space="0"/>
              <w:right w:val="single" w:color="auto" w:sz="4" w:space="0"/>
            </w:tcBorders>
            <w:noWrap/>
            <w:vAlign w:val="bottom"/>
          </w:tcPr>
          <w:p w14:paraId="2265E0E6">
            <w:pPr>
              <w:keepNext w:val="0"/>
              <w:keepLines w:val="0"/>
              <w:widowControl/>
              <w:suppressLineNumbers w:val="0"/>
              <w:spacing w:before="0" w:beforeAutospacing="0" w:after="0" w:afterAutospacing="0"/>
              <w:ind w:left="0" w:right="0"/>
              <w:jc w:val="center"/>
              <w:rPr>
                <w:rFonts w:hint="eastAsia" w:ascii="宋体" w:hAnsi="宋体" w:eastAsia="宋体" w:cs="宋体"/>
                <w:b/>
                <w:bCs/>
                <w:color w:val="FF0000"/>
                <w:kern w:val="0"/>
                <w:sz w:val="21"/>
                <w:szCs w:val="21"/>
              </w:rPr>
            </w:pPr>
            <w:r>
              <w:rPr>
                <w:rFonts w:hint="eastAsia" w:ascii="宋体" w:hAnsi="宋体" w:eastAsia="宋体" w:cs="宋体"/>
                <w:b/>
                <w:bCs/>
                <w:color w:val="FF0000"/>
                <w:kern w:val="0"/>
                <w:sz w:val="21"/>
                <w:szCs w:val="21"/>
              </w:rPr>
              <w:t>功能</w:t>
            </w:r>
          </w:p>
        </w:tc>
        <w:tc>
          <w:tcPr>
            <w:tcW w:w="6140" w:type="dxa"/>
            <w:tcBorders>
              <w:left w:val="nil"/>
              <w:bottom w:val="single" w:color="auto" w:sz="4" w:space="0"/>
            </w:tcBorders>
            <w:noWrap/>
            <w:vAlign w:val="bottom"/>
          </w:tcPr>
          <w:p w14:paraId="2A79A038">
            <w:pPr>
              <w:keepNext w:val="0"/>
              <w:keepLines w:val="0"/>
              <w:widowControl/>
              <w:suppressLineNumbers w:val="0"/>
              <w:spacing w:before="0" w:beforeAutospacing="0" w:after="0" w:afterAutospacing="0"/>
              <w:ind w:left="0" w:right="0"/>
              <w:jc w:val="center"/>
              <w:rPr>
                <w:rFonts w:hint="eastAsia" w:ascii="宋体" w:hAnsi="宋体" w:eastAsia="宋体" w:cs="宋体"/>
                <w:b/>
                <w:bCs/>
                <w:color w:val="FF0000"/>
                <w:kern w:val="0"/>
                <w:sz w:val="21"/>
                <w:szCs w:val="21"/>
              </w:rPr>
            </w:pPr>
            <w:r>
              <w:rPr>
                <w:rFonts w:hint="eastAsia" w:ascii="宋体" w:hAnsi="宋体" w:eastAsia="宋体" w:cs="宋体"/>
                <w:b/>
                <w:bCs/>
                <w:color w:val="FF0000"/>
                <w:kern w:val="0"/>
                <w:sz w:val="21"/>
                <w:szCs w:val="21"/>
              </w:rPr>
              <w:t>详细内容</w:t>
            </w:r>
          </w:p>
        </w:tc>
      </w:tr>
      <w:tr w14:paraId="1276EFC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696F7526">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1</w:t>
            </w:r>
          </w:p>
        </w:tc>
        <w:tc>
          <w:tcPr>
            <w:tcW w:w="757" w:type="dxa"/>
            <w:vMerge w:val="restart"/>
            <w:tcBorders>
              <w:top w:val="nil"/>
              <w:left w:val="nil"/>
              <w:right w:val="single" w:color="auto" w:sz="4" w:space="0"/>
            </w:tcBorders>
            <w:vAlign w:val="center"/>
          </w:tcPr>
          <w:p w14:paraId="7BD23638">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基础数据</w:t>
            </w:r>
          </w:p>
        </w:tc>
        <w:tc>
          <w:tcPr>
            <w:tcW w:w="1559" w:type="dxa"/>
            <w:tcBorders>
              <w:top w:val="nil"/>
              <w:left w:val="nil"/>
              <w:bottom w:val="single" w:color="auto" w:sz="4" w:space="0"/>
              <w:right w:val="single" w:color="auto" w:sz="4" w:space="0"/>
            </w:tcBorders>
            <w:vAlign w:val="center"/>
          </w:tcPr>
          <w:p w14:paraId="3E7E986A">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供应商主档管理</w:t>
            </w:r>
          </w:p>
        </w:tc>
        <w:tc>
          <w:tcPr>
            <w:tcW w:w="6140" w:type="dxa"/>
            <w:tcBorders>
              <w:top w:val="nil"/>
              <w:left w:val="nil"/>
              <w:bottom w:val="single" w:color="auto" w:sz="4" w:space="0"/>
            </w:tcBorders>
            <w:vAlign w:val="center"/>
          </w:tcPr>
          <w:p w14:paraId="505BAA53">
            <w:pPr>
              <w:keepNext w:val="0"/>
              <w:keepLines w:val="0"/>
              <w:suppressLineNumbers w:val="0"/>
              <w:spacing w:before="0" w:beforeAutospacing="0" w:after="0" w:afterAutospacing="0"/>
              <w:ind w:left="0" w:right="0"/>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维护供应商基本档案信息，作为合同签约、付款对象的基础数据。</w:t>
            </w:r>
          </w:p>
        </w:tc>
      </w:tr>
      <w:tr w14:paraId="69B8761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64965CA8">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2</w:t>
            </w:r>
          </w:p>
        </w:tc>
        <w:tc>
          <w:tcPr>
            <w:tcW w:w="757" w:type="dxa"/>
            <w:vMerge w:val="continue"/>
            <w:tcBorders>
              <w:left w:val="nil"/>
              <w:right w:val="single" w:color="auto" w:sz="4" w:space="0"/>
            </w:tcBorders>
            <w:vAlign w:val="center"/>
          </w:tcPr>
          <w:p w14:paraId="6B23EF99">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78E245BB">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供应商账户管理</w:t>
            </w:r>
          </w:p>
        </w:tc>
        <w:tc>
          <w:tcPr>
            <w:tcW w:w="6140" w:type="dxa"/>
            <w:tcBorders>
              <w:top w:val="nil"/>
              <w:left w:val="nil"/>
              <w:bottom w:val="single" w:color="auto" w:sz="4" w:space="0"/>
            </w:tcBorders>
            <w:vAlign w:val="center"/>
          </w:tcPr>
          <w:p w14:paraId="66D5F3A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管理供应商的付款账户信息，支持一个供应商多个账户。</w:t>
            </w:r>
          </w:p>
        </w:tc>
      </w:tr>
      <w:tr w14:paraId="77C6D5F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00A57184">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3</w:t>
            </w:r>
          </w:p>
        </w:tc>
        <w:tc>
          <w:tcPr>
            <w:tcW w:w="757" w:type="dxa"/>
            <w:vMerge w:val="continue"/>
            <w:tcBorders>
              <w:left w:val="nil"/>
              <w:right w:val="single" w:color="auto" w:sz="4" w:space="0"/>
            </w:tcBorders>
            <w:vAlign w:val="center"/>
          </w:tcPr>
          <w:p w14:paraId="62C6B454">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56D360F8">
            <w:pPr>
              <w:pStyle w:val="4"/>
              <w:suppressLineNumbers w:val="0"/>
              <w:bidi w:val="0"/>
              <w:spacing w:beforeAutospacing="0" w:afterAutospacing="0"/>
              <w:ind w:left="0" w:leftChars="0" w:right="0" w:firstLine="0" w:firstLineChars="0"/>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合同类型字典</w:t>
            </w:r>
          </w:p>
        </w:tc>
        <w:tc>
          <w:tcPr>
            <w:tcW w:w="6140" w:type="dxa"/>
            <w:tcBorders>
              <w:top w:val="nil"/>
              <w:left w:val="nil"/>
              <w:bottom w:val="single" w:color="auto" w:sz="4" w:space="0"/>
            </w:tcBorders>
            <w:vAlign w:val="center"/>
          </w:tcPr>
          <w:p w14:paraId="7ABD26A6">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highlight w:val="none"/>
                <w:lang w:val="en-US" w:eastAsia="zh-CN" w:bidi="ar-SA"/>
              </w:rPr>
            </w:pPr>
            <w:r>
              <w:rPr>
                <w:rFonts w:hint="eastAsia" w:ascii="宋体" w:hAnsi="宋体" w:eastAsia="宋体" w:cs="宋体"/>
                <w:b w:val="0"/>
                <w:bCs w:val="0"/>
                <w:color w:val="FF0000"/>
                <w:kern w:val="0"/>
                <w:sz w:val="21"/>
                <w:szCs w:val="21"/>
                <w:highlight w:val="none"/>
                <w:lang w:val="en-US" w:eastAsia="zh-CN" w:bidi="ar-SA"/>
              </w:rPr>
              <w:t>维护合同类型，支撑合同起草时按类型自动匹配流程与履约链路</w:t>
            </w:r>
          </w:p>
        </w:tc>
      </w:tr>
      <w:tr w14:paraId="518184B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0A955EAC">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4</w:t>
            </w:r>
          </w:p>
        </w:tc>
        <w:tc>
          <w:tcPr>
            <w:tcW w:w="757" w:type="dxa"/>
            <w:vMerge w:val="continue"/>
            <w:tcBorders>
              <w:left w:val="nil"/>
              <w:right w:val="single" w:color="auto" w:sz="4" w:space="0"/>
            </w:tcBorders>
            <w:vAlign w:val="center"/>
          </w:tcPr>
          <w:p w14:paraId="4C8953C5">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48835AE4">
            <w:pPr>
              <w:pStyle w:val="4"/>
              <w:suppressLineNumbers w:val="0"/>
              <w:bidi w:val="0"/>
              <w:spacing w:beforeAutospacing="0" w:afterAutospacing="0"/>
              <w:ind w:left="0" w:leftChars="0" w:right="0" w:firstLine="0" w:firstLineChars="0"/>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物资/服务分类字典</w:t>
            </w:r>
          </w:p>
        </w:tc>
        <w:tc>
          <w:tcPr>
            <w:tcW w:w="6140" w:type="dxa"/>
            <w:tcBorders>
              <w:top w:val="nil"/>
              <w:left w:val="nil"/>
              <w:bottom w:val="single" w:color="auto" w:sz="4" w:space="0"/>
            </w:tcBorders>
            <w:vAlign w:val="center"/>
          </w:tcPr>
          <w:p w14:paraId="0E6FCB26">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highlight w:val="none"/>
                <w:lang w:val="en-US" w:eastAsia="zh-CN" w:bidi="ar-SA"/>
              </w:rPr>
            </w:pPr>
            <w:r>
              <w:rPr>
                <w:rFonts w:hint="eastAsia" w:ascii="宋体" w:hAnsi="宋体" w:eastAsia="宋体" w:cs="宋体"/>
                <w:b w:val="0"/>
                <w:bCs w:val="0"/>
                <w:color w:val="FF0000"/>
                <w:kern w:val="0"/>
                <w:sz w:val="21"/>
                <w:szCs w:val="21"/>
                <w:highlight w:val="none"/>
                <w:lang w:val="en-US" w:eastAsia="zh-CN" w:bidi="ar-SA"/>
              </w:rPr>
              <w:t>维护采购品类多级分类，支撑采购需求填报时品类选择与合规校验</w:t>
            </w:r>
          </w:p>
        </w:tc>
      </w:tr>
      <w:tr w14:paraId="482CE72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69242193">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5</w:t>
            </w:r>
          </w:p>
        </w:tc>
        <w:tc>
          <w:tcPr>
            <w:tcW w:w="757" w:type="dxa"/>
            <w:vMerge w:val="continue"/>
            <w:tcBorders>
              <w:left w:val="nil"/>
              <w:right w:val="single" w:color="auto" w:sz="4" w:space="0"/>
            </w:tcBorders>
            <w:vAlign w:val="center"/>
          </w:tcPr>
          <w:p w14:paraId="37B16231">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5B767E2F">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计量单位字典</w:t>
            </w:r>
          </w:p>
        </w:tc>
        <w:tc>
          <w:tcPr>
            <w:tcW w:w="6140" w:type="dxa"/>
            <w:tcBorders>
              <w:top w:val="nil"/>
              <w:left w:val="nil"/>
              <w:bottom w:val="single" w:color="auto" w:sz="4" w:space="0"/>
            </w:tcBorders>
            <w:vAlign w:val="center"/>
          </w:tcPr>
          <w:p w14:paraId="38848DF5">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维护计量单位编码与名称，用于单据的统一计量</w:t>
            </w:r>
          </w:p>
        </w:tc>
      </w:tr>
      <w:tr w14:paraId="78AFF8F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13CFB9F5">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6</w:t>
            </w:r>
          </w:p>
        </w:tc>
        <w:tc>
          <w:tcPr>
            <w:tcW w:w="757" w:type="dxa"/>
            <w:vMerge w:val="continue"/>
            <w:tcBorders>
              <w:left w:val="nil"/>
              <w:right w:val="single" w:color="auto" w:sz="4" w:space="0"/>
            </w:tcBorders>
            <w:vAlign w:val="center"/>
          </w:tcPr>
          <w:p w14:paraId="0923A390">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6DC32C54">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付款方式字典</w:t>
            </w:r>
          </w:p>
        </w:tc>
        <w:tc>
          <w:tcPr>
            <w:tcW w:w="6140" w:type="dxa"/>
            <w:tcBorders>
              <w:top w:val="nil"/>
              <w:left w:val="nil"/>
              <w:bottom w:val="single" w:color="auto" w:sz="4" w:space="0"/>
            </w:tcBorders>
            <w:vAlign w:val="center"/>
          </w:tcPr>
          <w:p w14:paraId="41FC1EDE">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维护付款方式，付款申请时引用</w:t>
            </w:r>
          </w:p>
        </w:tc>
      </w:tr>
      <w:tr w14:paraId="1D072BF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0B220B26">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7</w:t>
            </w:r>
          </w:p>
        </w:tc>
        <w:tc>
          <w:tcPr>
            <w:tcW w:w="757" w:type="dxa"/>
            <w:vMerge w:val="continue"/>
            <w:tcBorders>
              <w:left w:val="nil"/>
              <w:bottom w:val="single" w:color="auto" w:sz="4" w:space="0"/>
              <w:right w:val="single" w:color="auto" w:sz="4" w:space="0"/>
            </w:tcBorders>
            <w:vAlign w:val="center"/>
          </w:tcPr>
          <w:p w14:paraId="2F73C249">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5DB34797">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报销类型字典</w:t>
            </w:r>
          </w:p>
        </w:tc>
        <w:tc>
          <w:tcPr>
            <w:tcW w:w="6140" w:type="dxa"/>
            <w:tcBorders>
              <w:top w:val="nil"/>
              <w:left w:val="nil"/>
              <w:bottom w:val="single" w:color="auto" w:sz="4" w:space="0"/>
            </w:tcBorders>
            <w:vAlign w:val="center"/>
          </w:tcPr>
          <w:p w14:paraId="058BE738">
            <w:pPr>
              <w:keepNext w:val="0"/>
              <w:keepLines w:val="0"/>
              <w:widowControl/>
              <w:suppressLineNumbers w:val="0"/>
              <w:spacing w:before="0" w:beforeAutospacing="0" w:after="0" w:afterAutospacing="0"/>
              <w:ind w:left="0" w:right="0"/>
              <w:jc w:val="left"/>
              <w:rPr>
                <w:rFonts w:hint="eastAsia" w:ascii="宋体" w:hAnsi="宋体" w:eastAsia="宋体" w:cs="宋体"/>
                <w:b w:val="0"/>
                <w:bCs w:val="0"/>
                <w:color w:val="FF0000"/>
                <w:kern w:val="0"/>
                <w:sz w:val="21"/>
                <w:szCs w:val="21"/>
                <w:lang w:val="en-US" w:eastAsia="zh-CN" w:bidi="ar-SA"/>
              </w:rPr>
            </w:pPr>
            <w:r>
              <w:rPr>
                <w:rFonts w:hint="eastAsia" w:ascii="宋体" w:hAnsi="宋体" w:eastAsia="宋体" w:cs="宋体"/>
                <w:b w:val="0"/>
                <w:bCs w:val="0"/>
                <w:color w:val="FF0000"/>
                <w:kern w:val="0"/>
                <w:sz w:val="21"/>
                <w:szCs w:val="21"/>
                <w:lang w:val="en-US" w:eastAsia="zh-CN" w:bidi="ar-SA"/>
              </w:rPr>
              <w:t>维护报销类型及对应单据模板、报销标准，支持自动校验报销标准</w:t>
            </w:r>
          </w:p>
        </w:tc>
      </w:tr>
      <w:tr w14:paraId="7A5FF29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40" w:hRule="atLeast"/>
        </w:trPr>
        <w:tc>
          <w:tcPr>
            <w:tcW w:w="638" w:type="dxa"/>
            <w:tcBorders>
              <w:top w:val="nil"/>
              <w:bottom w:val="single" w:color="auto" w:sz="4" w:space="0"/>
              <w:right w:val="single" w:color="auto" w:sz="4" w:space="0"/>
            </w:tcBorders>
            <w:noWrap/>
            <w:vAlign w:val="center"/>
          </w:tcPr>
          <w:p w14:paraId="4D48F846">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eastAsia="zh-CN"/>
              </w:rPr>
            </w:pPr>
            <w:r>
              <w:rPr>
                <w:rFonts w:hint="eastAsia" w:ascii="宋体" w:hAnsi="宋体" w:eastAsia="宋体" w:cs="宋体"/>
                <w:color w:val="FF0000"/>
                <w:kern w:val="0"/>
                <w:sz w:val="21"/>
                <w:szCs w:val="21"/>
                <w:lang w:val="en-US" w:eastAsia="zh-CN"/>
              </w:rPr>
              <w:t>8</w:t>
            </w:r>
          </w:p>
        </w:tc>
        <w:tc>
          <w:tcPr>
            <w:tcW w:w="757" w:type="dxa"/>
            <w:vMerge w:val="restart"/>
            <w:tcBorders>
              <w:top w:val="nil"/>
              <w:left w:val="single" w:color="auto" w:sz="4" w:space="0"/>
              <w:right w:val="single" w:color="auto" w:sz="4" w:space="0"/>
            </w:tcBorders>
            <w:noWrap/>
            <w:vAlign w:val="center"/>
          </w:tcPr>
          <w:p w14:paraId="6EB953FA">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合同管理</w:t>
            </w:r>
          </w:p>
        </w:tc>
        <w:tc>
          <w:tcPr>
            <w:tcW w:w="1559" w:type="dxa"/>
            <w:tcBorders>
              <w:top w:val="nil"/>
              <w:left w:val="nil"/>
              <w:bottom w:val="single" w:color="auto" w:sz="4" w:space="0"/>
              <w:right w:val="single" w:color="auto" w:sz="4" w:space="0"/>
            </w:tcBorders>
            <w:noWrap/>
            <w:vAlign w:val="center"/>
          </w:tcPr>
          <w:p w14:paraId="053BC818">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合同录入</w:t>
            </w:r>
          </w:p>
        </w:tc>
        <w:tc>
          <w:tcPr>
            <w:tcW w:w="6140" w:type="dxa"/>
            <w:tcBorders>
              <w:top w:val="nil"/>
              <w:left w:val="nil"/>
              <w:bottom w:val="single" w:color="auto" w:sz="4" w:space="0"/>
            </w:tcBorders>
            <w:vAlign w:val="center"/>
          </w:tcPr>
          <w:p w14:paraId="17EDB41D">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sz w:val="21"/>
                <w:szCs w:val="21"/>
              </w:rPr>
              <w:t>提供合同基础信息线上录入能力，支持单份合同手工录入，同时适配省平台采购二类疫苗等业务场景，支持合同批量录入。</w:t>
            </w:r>
          </w:p>
        </w:tc>
      </w:tr>
      <w:tr w14:paraId="64BC340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8" w:hRule="atLeast"/>
        </w:trPr>
        <w:tc>
          <w:tcPr>
            <w:tcW w:w="638" w:type="dxa"/>
            <w:tcBorders>
              <w:top w:val="nil"/>
              <w:bottom w:val="single" w:color="auto" w:sz="4" w:space="0"/>
              <w:right w:val="single" w:color="auto" w:sz="4" w:space="0"/>
            </w:tcBorders>
            <w:noWrap/>
            <w:vAlign w:val="center"/>
          </w:tcPr>
          <w:p w14:paraId="757205C7">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lang w:eastAsia="zh-CN"/>
              </w:rPr>
            </w:pPr>
            <w:r>
              <w:rPr>
                <w:rFonts w:hint="eastAsia" w:ascii="宋体" w:hAnsi="宋体" w:eastAsia="宋体" w:cs="宋体"/>
                <w:color w:val="FF0000"/>
                <w:kern w:val="0"/>
                <w:sz w:val="21"/>
                <w:szCs w:val="21"/>
                <w:lang w:val="en-US" w:eastAsia="zh-CN"/>
              </w:rPr>
              <w:t>9</w:t>
            </w:r>
          </w:p>
        </w:tc>
        <w:tc>
          <w:tcPr>
            <w:tcW w:w="757" w:type="dxa"/>
            <w:vMerge w:val="continue"/>
            <w:tcBorders>
              <w:left w:val="single" w:color="auto" w:sz="4" w:space="0"/>
              <w:right w:val="single" w:color="auto" w:sz="4" w:space="0"/>
            </w:tcBorders>
            <w:vAlign w:val="center"/>
          </w:tcPr>
          <w:p w14:paraId="759D44EA">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4AF72AB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合同台账</w:t>
            </w:r>
          </w:p>
        </w:tc>
        <w:tc>
          <w:tcPr>
            <w:tcW w:w="6140" w:type="dxa"/>
            <w:tcBorders>
              <w:top w:val="nil"/>
              <w:left w:val="nil"/>
              <w:bottom w:val="single" w:color="auto" w:sz="4" w:space="0"/>
            </w:tcBorders>
            <w:vAlign w:val="center"/>
          </w:tcPr>
          <w:p w14:paraId="2BA09BB3">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lang w:val="en-US" w:eastAsia="zh-CN" w:bidi="ar"/>
              </w:rPr>
              <w:t>系统自动归集全量合同数据，动态生成标准化合同台账。</w:t>
            </w:r>
          </w:p>
        </w:tc>
      </w:tr>
      <w:tr w14:paraId="56645FA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0494C90B">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10</w:t>
            </w:r>
          </w:p>
        </w:tc>
        <w:tc>
          <w:tcPr>
            <w:tcW w:w="757" w:type="dxa"/>
            <w:vMerge w:val="continue"/>
            <w:tcBorders>
              <w:left w:val="single" w:color="auto" w:sz="4" w:space="0"/>
              <w:right w:val="single" w:color="auto" w:sz="4" w:space="0"/>
            </w:tcBorders>
            <w:noWrap/>
            <w:vAlign w:val="center"/>
          </w:tcPr>
          <w:p w14:paraId="0C5DB4AA">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15ECC771">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微软雅黑" w:hAnsi="微软雅黑" w:eastAsia="微软雅黑" w:cs="微软雅黑"/>
                <w:color w:val="FF0000"/>
                <w:kern w:val="0"/>
                <w:sz w:val="21"/>
                <w:szCs w:val="21"/>
                <w:lang w:val="en-US" w:eastAsia="zh-CN"/>
              </w:rPr>
              <w:t>▲</w:t>
            </w:r>
            <w:r>
              <w:rPr>
                <w:rFonts w:hint="eastAsia" w:ascii="宋体" w:hAnsi="宋体" w:eastAsia="宋体" w:cs="宋体"/>
                <w:color w:val="FF0000"/>
                <w:kern w:val="0"/>
                <w:sz w:val="21"/>
                <w:szCs w:val="21"/>
              </w:rPr>
              <w:t>执行中的合同</w:t>
            </w:r>
          </w:p>
        </w:tc>
        <w:tc>
          <w:tcPr>
            <w:tcW w:w="6140" w:type="dxa"/>
            <w:tcBorders>
              <w:top w:val="nil"/>
              <w:left w:val="nil"/>
              <w:bottom w:val="single" w:color="auto" w:sz="4" w:space="0"/>
            </w:tcBorders>
            <w:vAlign w:val="center"/>
          </w:tcPr>
          <w:p w14:paraId="0BD5E6A5">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rPr>
            </w:pPr>
            <w:r>
              <w:rPr>
                <w:rFonts w:hint="eastAsia" w:ascii="宋体" w:hAnsi="宋体" w:eastAsia="宋体" w:cs="宋体"/>
                <w:color w:val="FF0000"/>
                <w:sz w:val="21"/>
                <w:szCs w:val="21"/>
              </w:rPr>
              <w:t>归集已签署生效、尚未完成全部履约的合同集合，承接合同台账生效流转数据。</w:t>
            </w:r>
          </w:p>
        </w:tc>
      </w:tr>
      <w:tr w14:paraId="7F95CD3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16F8A7B5">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11</w:t>
            </w:r>
          </w:p>
        </w:tc>
        <w:tc>
          <w:tcPr>
            <w:tcW w:w="757" w:type="dxa"/>
            <w:vMerge w:val="continue"/>
            <w:tcBorders>
              <w:left w:val="single" w:color="auto" w:sz="4" w:space="0"/>
              <w:right w:val="single" w:color="auto" w:sz="4" w:space="0"/>
            </w:tcBorders>
            <w:vAlign w:val="center"/>
          </w:tcPr>
          <w:p w14:paraId="3ACCF772">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5E1A679D">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合同验收</w:t>
            </w:r>
          </w:p>
        </w:tc>
        <w:tc>
          <w:tcPr>
            <w:tcW w:w="6140" w:type="dxa"/>
            <w:tcBorders>
              <w:top w:val="nil"/>
              <w:left w:val="nil"/>
              <w:bottom w:val="single" w:color="auto" w:sz="4" w:space="0"/>
            </w:tcBorders>
            <w:vAlign w:val="center"/>
          </w:tcPr>
          <w:p w14:paraId="10F370C2">
            <w:pPr>
              <w:keepNext w:val="0"/>
              <w:keepLines w:val="0"/>
              <w:suppressLineNumbers w:val="0"/>
              <w:bidi w:val="0"/>
              <w:spacing w:before="0" w:beforeAutospacing="0" w:after="0" w:afterAutospacing="0"/>
              <w:ind w:left="0" w:right="0"/>
              <w:rPr>
                <w:rFonts w:hint="eastAsia" w:ascii="宋体" w:hAnsi="宋体" w:eastAsia="宋体" w:cs="宋体"/>
                <w:color w:val="FF0000"/>
                <w:sz w:val="21"/>
                <w:szCs w:val="21"/>
              </w:rPr>
            </w:pPr>
            <w:r>
              <w:rPr>
                <w:rFonts w:hint="eastAsia" w:ascii="宋体" w:hAnsi="宋体" w:eastAsia="宋体" w:cs="宋体"/>
                <w:color w:val="FF0000"/>
                <w:sz w:val="21"/>
                <w:szCs w:val="21"/>
              </w:rPr>
              <w:t>无实物服务类合同可直接执行合同整体履约验收；物资采购类合同需合同项下全部供货批次的供货验收全部办结。</w:t>
            </w:r>
          </w:p>
        </w:tc>
      </w:tr>
      <w:tr w14:paraId="1B2D648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454B1453">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12</w:t>
            </w:r>
          </w:p>
        </w:tc>
        <w:tc>
          <w:tcPr>
            <w:tcW w:w="757" w:type="dxa"/>
            <w:vMerge w:val="continue"/>
            <w:tcBorders>
              <w:left w:val="single" w:color="auto" w:sz="4" w:space="0"/>
              <w:right w:val="single" w:color="auto" w:sz="4" w:space="0"/>
            </w:tcBorders>
            <w:vAlign w:val="center"/>
          </w:tcPr>
          <w:p w14:paraId="7E1C1680">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01224073">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质保期合同</w:t>
            </w:r>
          </w:p>
        </w:tc>
        <w:tc>
          <w:tcPr>
            <w:tcW w:w="6140" w:type="dxa"/>
            <w:tcBorders>
              <w:top w:val="nil"/>
              <w:left w:val="nil"/>
              <w:bottom w:val="single" w:color="auto" w:sz="4" w:space="0"/>
            </w:tcBorders>
            <w:vAlign w:val="center"/>
          </w:tcPr>
          <w:p w14:paraId="43F5CFBA">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rPr>
            </w:pPr>
            <w:r>
              <w:rPr>
                <w:rFonts w:hint="eastAsia" w:ascii="宋体" w:hAnsi="宋体" w:eastAsia="宋体" w:cs="宋体"/>
                <w:color w:val="FF0000"/>
                <w:sz w:val="21"/>
                <w:szCs w:val="21"/>
              </w:rPr>
              <w:t>承接合同验收完成后的业务流转，统一管理处于质保周期内的合同。</w:t>
            </w:r>
          </w:p>
        </w:tc>
      </w:tr>
      <w:tr w14:paraId="7CCC708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670ABC00">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13</w:t>
            </w:r>
          </w:p>
        </w:tc>
        <w:tc>
          <w:tcPr>
            <w:tcW w:w="757" w:type="dxa"/>
            <w:vMerge w:val="continue"/>
            <w:tcBorders>
              <w:left w:val="single" w:color="auto" w:sz="4" w:space="0"/>
              <w:right w:val="single" w:color="auto" w:sz="4" w:space="0"/>
            </w:tcBorders>
            <w:vAlign w:val="center"/>
          </w:tcPr>
          <w:p w14:paraId="599B9A1D">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3C82B59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合同归档</w:t>
            </w:r>
          </w:p>
        </w:tc>
        <w:tc>
          <w:tcPr>
            <w:tcW w:w="6140" w:type="dxa"/>
            <w:tcBorders>
              <w:top w:val="nil"/>
              <w:left w:val="nil"/>
              <w:bottom w:val="single" w:color="auto" w:sz="4" w:space="0"/>
            </w:tcBorders>
            <w:vAlign w:val="center"/>
          </w:tcPr>
          <w:p w14:paraId="64417548">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rPr>
            </w:pPr>
            <w:r>
              <w:rPr>
                <w:rFonts w:hint="eastAsia" w:ascii="宋体" w:hAnsi="宋体" w:eastAsia="宋体" w:cs="宋体"/>
                <w:color w:val="FF0000"/>
                <w:sz w:val="21"/>
                <w:szCs w:val="21"/>
              </w:rPr>
              <w:t>经过归档判断流程完成合同归档，进入已归档合同库。</w:t>
            </w:r>
          </w:p>
        </w:tc>
      </w:tr>
      <w:tr w14:paraId="0A02813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80" w:hRule="atLeast"/>
        </w:trPr>
        <w:tc>
          <w:tcPr>
            <w:tcW w:w="638" w:type="dxa"/>
            <w:tcBorders>
              <w:top w:val="nil"/>
              <w:bottom w:val="single" w:color="auto" w:sz="4" w:space="0"/>
              <w:right w:val="single" w:color="auto" w:sz="4" w:space="0"/>
            </w:tcBorders>
            <w:noWrap/>
            <w:vAlign w:val="center"/>
          </w:tcPr>
          <w:p w14:paraId="2AE59FA9">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14</w:t>
            </w:r>
          </w:p>
        </w:tc>
        <w:tc>
          <w:tcPr>
            <w:tcW w:w="757" w:type="dxa"/>
            <w:vMerge w:val="continue"/>
            <w:tcBorders>
              <w:left w:val="single" w:color="auto" w:sz="4" w:space="0"/>
              <w:right w:val="single" w:color="auto" w:sz="4" w:space="0"/>
            </w:tcBorders>
            <w:vAlign w:val="center"/>
          </w:tcPr>
          <w:p w14:paraId="22C55724">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00F9CB0E">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合同详情中付款管理</w:t>
            </w:r>
          </w:p>
        </w:tc>
        <w:tc>
          <w:tcPr>
            <w:tcW w:w="6140" w:type="dxa"/>
            <w:tcBorders>
              <w:top w:val="nil"/>
              <w:left w:val="nil"/>
              <w:bottom w:val="single" w:color="auto" w:sz="4" w:space="0"/>
            </w:tcBorders>
            <w:vAlign w:val="center"/>
          </w:tcPr>
          <w:p w14:paraId="62A9976E">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lang w:eastAsia="zh-CN"/>
              </w:rPr>
            </w:pPr>
            <w:r>
              <w:rPr>
                <w:rFonts w:hint="eastAsia" w:ascii="宋体" w:hAnsi="宋体" w:eastAsia="宋体" w:cs="宋体"/>
                <w:color w:val="FF0000"/>
                <w:sz w:val="21"/>
                <w:szCs w:val="21"/>
              </w:rPr>
              <w:t>接收推送的可付款合同批次清单，仅清单内合同可发起阶段付款</w:t>
            </w:r>
            <w:r>
              <w:rPr>
                <w:rFonts w:hint="eastAsia" w:ascii="宋体" w:hAnsi="宋体" w:eastAsia="宋体" w:cs="宋体"/>
                <w:color w:val="FF0000"/>
                <w:sz w:val="21"/>
                <w:szCs w:val="21"/>
                <w:lang w:eastAsia="zh-CN"/>
              </w:rPr>
              <w:t>。</w:t>
            </w:r>
          </w:p>
        </w:tc>
      </w:tr>
      <w:tr w14:paraId="73B53BD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80" w:hRule="atLeast"/>
        </w:trPr>
        <w:tc>
          <w:tcPr>
            <w:tcW w:w="638" w:type="dxa"/>
            <w:tcBorders>
              <w:top w:val="nil"/>
              <w:bottom w:val="single" w:color="auto" w:sz="4" w:space="0"/>
              <w:right w:val="single" w:color="auto" w:sz="4" w:space="0"/>
            </w:tcBorders>
            <w:noWrap/>
            <w:vAlign w:val="center"/>
          </w:tcPr>
          <w:p w14:paraId="10F5DB3F">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15</w:t>
            </w:r>
          </w:p>
        </w:tc>
        <w:tc>
          <w:tcPr>
            <w:tcW w:w="757" w:type="dxa"/>
            <w:vMerge w:val="continue"/>
            <w:tcBorders>
              <w:left w:val="single" w:color="auto" w:sz="4" w:space="0"/>
              <w:bottom w:val="single" w:color="000000" w:sz="4" w:space="0"/>
              <w:right w:val="single" w:color="auto" w:sz="4" w:space="0"/>
            </w:tcBorders>
            <w:vAlign w:val="center"/>
          </w:tcPr>
          <w:p w14:paraId="40BAD199">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noWrap/>
            <w:vAlign w:val="center"/>
          </w:tcPr>
          <w:p w14:paraId="6549EACC">
            <w:pPr>
              <w:keepNext w:val="0"/>
              <w:keepLines w:val="0"/>
              <w:suppressLineNumbers w:val="0"/>
              <w:bidi w:val="0"/>
              <w:spacing w:before="0" w:beforeAutospacing="0" w:after="0" w:afterAutospacing="0"/>
              <w:ind w:left="0" w:right="0"/>
              <w:rPr>
                <w:rFonts w:hint="default" w:ascii="宋体" w:hAnsi="宋体" w:eastAsia="宋体" w:cs="宋体"/>
                <w:color w:val="2E75B6" w:themeColor="accent1" w:themeShade="BF"/>
                <w:kern w:val="0"/>
                <w:sz w:val="21"/>
                <w:szCs w:val="21"/>
                <w:lang w:val="en-US" w:eastAsia="zh-CN" w:bidi="ar"/>
              </w:rPr>
            </w:pPr>
            <w:r>
              <w:rPr>
                <w:rFonts w:hint="eastAsia" w:ascii="宋体" w:hAnsi="宋体" w:eastAsia="宋体" w:cs="宋体"/>
                <w:color w:val="2E75B6" w:themeColor="accent1" w:themeShade="BF"/>
                <w:kern w:val="0"/>
                <w:sz w:val="21"/>
                <w:szCs w:val="21"/>
                <w:lang w:val="en-US" w:eastAsia="zh-CN" w:bidi="ar"/>
              </w:rPr>
              <w:t>▲与物资系统协同</w:t>
            </w:r>
          </w:p>
        </w:tc>
        <w:tc>
          <w:tcPr>
            <w:tcW w:w="6140" w:type="dxa"/>
            <w:tcBorders>
              <w:top w:val="nil"/>
              <w:left w:val="nil"/>
              <w:bottom w:val="single" w:color="auto" w:sz="4" w:space="0"/>
            </w:tcBorders>
            <w:vAlign w:val="center"/>
          </w:tcPr>
          <w:p w14:paraId="6C7D5E18">
            <w:pPr>
              <w:keepNext w:val="0"/>
              <w:keepLines w:val="0"/>
              <w:suppressLineNumbers w:val="0"/>
              <w:bidi w:val="0"/>
              <w:spacing w:before="0" w:beforeAutospacing="0" w:after="0" w:afterAutospacing="0"/>
              <w:ind w:left="0" w:right="0"/>
              <w:rPr>
                <w:rFonts w:hint="default" w:ascii="宋体" w:hAnsi="宋体" w:eastAsia="宋体" w:cs="宋体"/>
                <w:color w:val="2E75B6" w:themeColor="accent1" w:themeShade="BF"/>
                <w:kern w:val="0"/>
                <w:sz w:val="21"/>
                <w:szCs w:val="21"/>
                <w:lang w:val="en-US" w:eastAsia="zh-CN" w:bidi="ar"/>
              </w:rPr>
            </w:pPr>
            <w:r>
              <w:rPr>
                <w:rFonts w:hint="eastAsia" w:ascii="宋体" w:hAnsi="宋体" w:eastAsia="宋体" w:cs="宋体"/>
                <w:color w:val="2E75B6" w:themeColor="accent1" w:themeShade="BF"/>
                <w:kern w:val="0"/>
                <w:sz w:val="21"/>
                <w:szCs w:val="21"/>
                <w:lang w:val="en-US" w:eastAsia="zh-CN" w:bidi="ar"/>
              </w:rPr>
              <w:t>需能够与现在有物资管理系统协同与数据对接，实现合同到物资管理、使用的全链路协同；自动匹配物资系统基础物资档案；支持合同执行过程中的物资入库信息自动在物资系统上入库与管理。</w:t>
            </w:r>
          </w:p>
        </w:tc>
      </w:tr>
      <w:tr w14:paraId="7F464BA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40" w:hRule="atLeast"/>
        </w:trPr>
        <w:tc>
          <w:tcPr>
            <w:tcW w:w="638" w:type="dxa"/>
            <w:tcBorders>
              <w:top w:val="nil"/>
              <w:bottom w:val="single" w:color="auto" w:sz="4" w:space="0"/>
              <w:right w:val="single" w:color="auto" w:sz="4" w:space="0"/>
            </w:tcBorders>
            <w:noWrap/>
            <w:vAlign w:val="center"/>
          </w:tcPr>
          <w:p w14:paraId="697FEBD2">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16</w:t>
            </w:r>
          </w:p>
        </w:tc>
        <w:tc>
          <w:tcPr>
            <w:tcW w:w="757" w:type="dxa"/>
            <w:vMerge w:val="restart"/>
            <w:tcBorders>
              <w:top w:val="nil"/>
              <w:left w:val="single" w:color="auto" w:sz="4" w:space="0"/>
              <w:bottom w:val="single" w:color="000000" w:sz="4" w:space="0"/>
              <w:right w:val="single" w:color="auto" w:sz="4" w:space="0"/>
            </w:tcBorders>
            <w:vAlign w:val="center"/>
          </w:tcPr>
          <w:p w14:paraId="3C63CF80">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疫苗合同执行专项管控</w:t>
            </w:r>
          </w:p>
        </w:tc>
        <w:tc>
          <w:tcPr>
            <w:tcW w:w="1559" w:type="dxa"/>
            <w:tcBorders>
              <w:top w:val="nil"/>
              <w:left w:val="nil"/>
              <w:bottom w:val="single" w:color="auto" w:sz="4" w:space="0"/>
              <w:right w:val="single" w:color="auto" w:sz="4" w:space="0"/>
            </w:tcBorders>
            <w:vAlign w:val="center"/>
          </w:tcPr>
          <w:p w14:paraId="59096FE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微软雅黑" w:hAnsi="微软雅黑" w:eastAsia="微软雅黑" w:cs="微软雅黑"/>
                <w:color w:val="FF0000"/>
                <w:kern w:val="0"/>
                <w:sz w:val="21"/>
                <w:szCs w:val="21"/>
                <w:lang w:val="en-US" w:eastAsia="zh-CN"/>
              </w:rPr>
              <w:t>▲</w:t>
            </w:r>
            <w:r>
              <w:rPr>
                <w:rFonts w:hint="eastAsia" w:ascii="宋体" w:hAnsi="宋体" w:eastAsia="宋体" w:cs="宋体"/>
                <w:color w:val="FF0000"/>
                <w:kern w:val="0"/>
                <w:sz w:val="21"/>
                <w:szCs w:val="21"/>
                <w:lang w:val="en-US" w:eastAsia="zh-CN"/>
              </w:rPr>
              <w:t>月度疫苗进货退货登记</w:t>
            </w:r>
          </w:p>
        </w:tc>
        <w:tc>
          <w:tcPr>
            <w:tcW w:w="6140" w:type="dxa"/>
            <w:tcBorders>
              <w:top w:val="nil"/>
              <w:left w:val="nil"/>
              <w:bottom w:val="single" w:color="auto" w:sz="4" w:space="0"/>
            </w:tcBorders>
            <w:vAlign w:val="center"/>
          </w:tcPr>
          <w:p w14:paraId="0A38A89F">
            <w:pPr>
              <w:keepNext w:val="0"/>
              <w:keepLines w:val="0"/>
              <w:suppressLineNumbers w:val="0"/>
              <w:bidi w:val="0"/>
              <w:spacing w:before="0" w:beforeAutospacing="0" w:after="0" w:afterAutospacing="0"/>
              <w:ind w:left="0" w:right="0"/>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支持业务部门按自然月维度，对生效中的疫苗采购合同开展全月疫苗进货、退货信息专项登记工作。</w:t>
            </w:r>
          </w:p>
          <w:p w14:paraId="78413D8B">
            <w:pPr>
              <w:keepNext w:val="0"/>
              <w:keepLines w:val="0"/>
              <w:suppressLineNumbers w:val="0"/>
              <w:bidi w:val="0"/>
              <w:spacing w:before="0" w:beforeAutospacing="0" w:after="0" w:afterAutospacing="0"/>
              <w:ind w:left="0" w:right="0"/>
              <w:rPr>
                <w:rFonts w:hint="eastAsia" w:ascii="宋体" w:hAnsi="宋体" w:eastAsia="宋体" w:cs="宋体"/>
                <w:color w:val="FF0000"/>
                <w:sz w:val="21"/>
                <w:szCs w:val="21"/>
                <w:lang w:val="en-US" w:eastAsia="zh-CN"/>
              </w:rPr>
            </w:pPr>
            <w:r>
              <w:rPr>
                <w:rFonts w:hint="eastAsia" w:ascii="宋体" w:hAnsi="宋体" w:eastAsia="宋体" w:cs="宋体"/>
                <w:color w:val="2E75B6" w:themeColor="accent1" w:themeShade="BF"/>
                <w:kern w:val="0"/>
                <w:sz w:val="21"/>
                <w:szCs w:val="21"/>
                <w:lang w:val="en-US" w:eastAsia="zh-CN" w:bidi="ar"/>
              </w:rPr>
              <w:t>支持对接现有RPA平台的数据对疫苗库存数据自动分析与智能导入。</w:t>
            </w:r>
          </w:p>
        </w:tc>
      </w:tr>
      <w:tr w14:paraId="7C6C714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1DCE28E5">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17</w:t>
            </w:r>
          </w:p>
        </w:tc>
        <w:tc>
          <w:tcPr>
            <w:tcW w:w="757" w:type="dxa"/>
            <w:vMerge w:val="continue"/>
            <w:tcBorders>
              <w:top w:val="nil"/>
              <w:left w:val="single" w:color="auto" w:sz="4" w:space="0"/>
              <w:bottom w:val="single" w:color="000000" w:sz="4" w:space="0"/>
              <w:right w:val="single" w:color="auto" w:sz="4" w:space="0"/>
            </w:tcBorders>
            <w:vAlign w:val="center"/>
          </w:tcPr>
          <w:p w14:paraId="13757FA7">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2999D9FE">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微软雅黑" w:hAnsi="微软雅黑" w:eastAsia="微软雅黑" w:cs="微软雅黑"/>
                <w:color w:val="FF0000"/>
                <w:kern w:val="0"/>
                <w:sz w:val="21"/>
                <w:szCs w:val="21"/>
                <w:lang w:val="en-US" w:eastAsia="zh-CN"/>
              </w:rPr>
              <w:t>▲</w:t>
            </w:r>
            <w:r>
              <w:rPr>
                <w:rFonts w:hint="eastAsia" w:ascii="宋体" w:hAnsi="宋体" w:eastAsia="宋体" w:cs="宋体"/>
                <w:color w:val="FF0000"/>
                <w:kern w:val="0"/>
                <w:sz w:val="21"/>
                <w:szCs w:val="21"/>
                <w:lang w:val="en-US" w:eastAsia="zh-CN"/>
              </w:rPr>
              <w:t>疫苗月度结算与报账</w:t>
            </w:r>
          </w:p>
        </w:tc>
        <w:tc>
          <w:tcPr>
            <w:tcW w:w="6140" w:type="dxa"/>
            <w:tcBorders>
              <w:top w:val="nil"/>
              <w:left w:val="nil"/>
              <w:bottom w:val="single" w:color="auto" w:sz="4" w:space="0"/>
            </w:tcBorders>
            <w:vAlign w:val="center"/>
          </w:tcPr>
          <w:p w14:paraId="73A5F19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基于月度疫苗进货退货登记审核完成的月度进销数据，自动开展疫苗合同月度结算核算工作。</w:t>
            </w:r>
          </w:p>
          <w:p w14:paraId="3D58C2EF">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2E75B6" w:themeColor="accent1" w:themeShade="BF"/>
                <w:kern w:val="0"/>
                <w:sz w:val="21"/>
                <w:szCs w:val="21"/>
                <w:lang w:val="en-US" w:eastAsia="zh-CN" w:bidi="ar"/>
              </w:rPr>
              <w:t>支持对接现有RPA平台的数据对疫苗月度结算自动分析与智能导入。</w:t>
            </w:r>
          </w:p>
        </w:tc>
      </w:tr>
      <w:tr w14:paraId="18828F1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7AA8F968">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rPr>
              <w:t>1</w:t>
            </w:r>
            <w:r>
              <w:rPr>
                <w:rFonts w:hint="eastAsia" w:ascii="宋体" w:hAnsi="宋体" w:eastAsia="宋体" w:cs="宋体"/>
                <w:color w:val="FF0000"/>
                <w:kern w:val="0"/>
                <w:sz w:val="21"/>
                <w:szCs w:val="21"/>
                <w:lang w:val="en-US" w:eastAsia="zh-CN"/>
              </w:rPr>
              <w:t>8</w:t>
            </w:r>
          </w:p>
        </w:tc>
        <w:tc>
          <w:tcPr>
            <w:tcW w:w="757" w:type="dxa"/>
            <w:vMerge w:val="continue"/>
            <w:tcBorders>
              <w:top w:val="nil"/>
              <w:left w:val="single" w:color="auto" w:sz="4" w:space="0"/>
              <w:bottom w:val="single" w:color="000000" w:sz="4" w:space="0"/>
              <w:right w:val="single" w:color="auto" w:sz="4" w:space="0"/>
            </w:tcBorders>
            <w:vAlign w:val="center"/>
          </w:tcPr>
          <w:p w14:paraId="4198485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57562C06">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lang w:val="en-US" w:eastAsia="zh-CN"/>
              </w:rPr>
              <w:t>缴费单位信息管理</w:t>
            </w:r>
          </w:p>
        </w:tc>
        <w:tc>
          <w:tcPr>
            <w:tcW w:w="6140" w:type="dxa"/>
            <w:tcBorders>
              <w:top w:val="nil"/>
              <w:left w:val="nil"/>
              <w:bottom w:val="single" w:color="auto" w:sz="4" w:space="0"/>
            </w:tcBorders>
            <w:vAlign w:val="center"/>
          </w:tcPr>
          <w:p w14:paraId="0EA4DBFC">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lang w:val="en-US" w:eastAsia="zh-CN" w:bidi="ar"/>
              </w:rPr>
              <w:t>统一维护疫苗业务缴费主体基础信息，实现缴费单位台账标准化、集中化管理。</w:t>
            </w:r>
          </w:p>
        </w:tc>
      </w:tr>
      <w:tr w14:paraId="0F311EB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754590C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rPr>
              <w:t>1</w:t>
            </w:r>
            <w:r>
              <w:rPr>
                <w:rFonts w:hint="eastAsia" w:ascii="宋体" w:hAnsi="宋体" w:eastAsia="宋体" w:cs="宋体"/>
                <w:color w:val="FF0000"/>
                <w:kern w:val="0"/>
                <w:sz w:val="21"/>
                <w:szCs w:val="21"/>
                <w:lang w:val="en-US" w:eastAsia="zh-CN"/>
              </w:rPr>
              <w:t>9</w:t>
            </w:r>
          </w:p>
        </w:tc>
        <w:tc>
          <w:tcPr>
            <w:tcW w:w="757" w:type="dxa"/>
            <w:vMerge w:val="continue"/>
            <w:tcBorders>
              <w:top w:val="nil"/>
              <w:left w:val="single" w:color="auto" w:sz="4" w:space="0"/>
              <w:bottom w:val="single" w:color="000000" w:sz="4" w:space="0"/>
              <w:right w:val="single" w:color="auto" w:sz="4" w:space="0"/>
            </w:tcBorders>
            <w:vAlign w:val="center"/>
          </w:tcPr>
          <w:p w14:paraId="6124BA26">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7214EBDF">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微软雅黑" w:hAnsi="微软雅黑" w:eastAsia="微软雅黑" w:cs="微软雅黑"/>
                <w:color w:val="FF0000"/>
                <w:kern w:val="0"/>
                <w:sz w:val="21"/>
                <w:szCs w:val="21"/>
                <w:lang w:val="en-US" w:eastAsia="zh-CN"/>
              </w:rPr>
              <w:t>▲</w:t>
            </w:r>
            <w:r>
              <w:rPr>
                <w:rFonts w:hint="eastAsia" w:ascii="宋体" w:hAnsi="宋体" w:eastAsia="宋体" w:cs="宋体"/>
                <w:color w:val="FF0000"/>
                <w:kern w:val="0"/>
                <w:sz w:val="21"/>
                <w:szCs w:val="21"/>
                <w:lang w:val="en-US" w:eastAsia="zh-CN"/>
              </w:rPr>
              <w:t>缴费单位应收款登记与到账登记</w:t>
            </w:r>
          </w:p>
        </w:tc>
        <w:tc>
          <w:tcPr>
            <w:tcW w:w="6140" w:type="dxa"/>
            <w:tcBorders>
              <w:top w:val="nil"/>
              <w:left w:val="nil"/>
              <w:bottom w:val="single" w:color="auto" w:sz="4" w:space="0"/>
            </w:tcBorders>
            <w:vAlign w:val="center"/>
          </w:tcPr>
          <w:p w14:paraId="42039ECA">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统一实现缴费单位疫苗业务的应收归集、台账管理、到账登记全流程一体化管控，专项处理缴费单位正向结算应收业务。</w:t>
            </w:r>
          </w:p>
          <w:p w14:paraId="1A770711">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2E75B6" w:themeColor="accent1" w:themeShade="BF"/>
                <w:kern w:val="0"/>
                <w:sz w:val="21"/>
                <w:szCs w:val="21"/>
                <w:lang w:val="en-US" w:eastAsia="zh-CN" w:bidi="ar"/>
              </w:rPr>
              <w:t>支持对接现有RPA平台的数据对缴款单据应收自动分析与智能导入。</w:t>
            </w:r>
          </w:p>
        </w:tc>
      </w:tr>
      <w:tr w14:paraId="3949B48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1DF3343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20</w:t>
            </w:r>
          </w:p>
        </w:tc>
        <w:tc>
          <w:tcPr>
            <w:tcW w:w="757" w:type="dxa"/>
            <w:vMerge w:val="continue"/>
            <w:tcBorders>
              <w:top w:val="nil"/>
              <w:left w:val="single" w:color="auto" w:sz="4" w:space="0"/>
              <w:bottom w:val="single" w:color="auto" w:sz="4" w:space="0"/>
              <w:right w:val="single" w:color="auto" w:sz="4" w:space="0"/>
            </w:tcBorders>
            <w:vAlign w:val="center"/>
          </w:tcPr>
          <w:p w14:paraId="79B2EAFE">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203EE84C">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r>
              <w:rPr>
                <w:rFonts w:hint="eastAsia" w:ascii="微软雅黑" w:hAnsi="微软雅黑" w:eastAsia="微软雅黑" w:cs="微软雅黑"/>
                <w:color w:val="FF0000"/>
                <w:kern w:val="0"/>
                <w:sz w:val="21"/>
                <w:szCs w:val="21"/>
                <w:lang w:val="en-US" w:eastAsia="zh-CN"/>
              </w:rPr>
              <w:t>▲</w:t>
            </w:r>
            <w:r>
              <w:rPr>
                <w:rFonts w:hint="eastAsia" w:ascii="宋体" w:hAnsi="宋体" w:eastAsia="宋体" w:cs="宋体"/>
                <w:color w:val="FF0000"/>
                <w:kern w:val="0"/>
                <w:sz w:val="21"/>
                <w:szCs w:val="21"/>
                <w:lang w:val="en-US" w:eastAsia="zh-CN"/>
              </w:rPr>
              <w:t>供应商应退款登记与到账登记</w:t>
            </w:r>
          </w:p>
        </w:tc>
        <w:tc>
          <w:tcPr>
            <w:tcW w:w="6140" w:type="dxa"/>
            <w:tcBorders>
              <w:top w:val="nil"/>
              <w:left w:val="nil"/>
              <w:bottom w:val="single" w:color="auto" w:sz="4" w:space="0"/>
            </w:tcBorders>
            <w:vAlign w:val="center"/>
          </w:tcPr>
          <w:p w14:paraId="41E1452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统一实现供应商应退款登记与到账确认全流程管理。</w:t>
            </w:r>
          </w:p>
          <w:p w14:paraId="39BD1CE4">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bidi="ar"/>
              </w:rPr>
            </w:pPr>
            <w:r>
              <w:rPr>
                <w:rFonts w:hint="eastAsia" w:ascii="宋体" w:hAnsi="宋体" w:eastAsia="宋体" w:cs="宋体"/>
                <w:color w:val="2E75B6" w:themeColor="accent1" w:themeShade="BF"/>
                <w:kern w:val="0"/>
                <w:sz w:val="21"/>
                <w:szCs w:val="21"/>
                <w:lang w:val="en-US" w:eastAsia="zh-CN" w:bidi="ar"/>
              </w:rPr>
              <w:t>支持对接现有RPA平台的数据对供应商应退款自动分析与智能导入。</w:t>
            </w:r>
          </w:p>
        </w:tc>
      </w:tr>
      <w:tr w14:paraId="5987B01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060CDDF9">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21</w:t>
            </w:r>
          </w:p>
        </w:tc>
        <w:tc>
          <w:tcPr>
            <w:tcW w:w="757" w:type="dxa"/>
            <w:vMerge w:val="restart"/>
            <w:tcBorders>
              <w:top w:val="single" w:color="auto" w:sz="4" w:space="0"/>
              <w:left w:val="single" w:color="auto" w:sz="4" w:space="0"/>
              <w:bottom w:val="nil"/>
              <w:right w:val="single" w:color="auto" w:sz="4" w:space="0"/>
            </w:tcBorders>
            <w:noWrap/>
            <w:vAlign w:val="center"/>
          </w:tcPr>
          <w:p w14:paraId="36D6F0A0">
            <w:pPr>
              <w:keepNext w:val="0"/>
              <w:keepLines w:val="0"/>
              <w:widowControl/>
              <w:suppressLineNumbers w:val="0"/>
              <w:spacing w:before="0" w:beforeAutospacing="0" w:after="0" w:afterAutospacing="0"/>
              <w:ind w:left="0" w:right="0"/>
              <w:jc w:val="center"/>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rPr>
              <w:t>财务报销管理</w:t>
            </w:r>
          </w:p>
        </w:tc>
        <w:tc>
          <w:tcPr>
            <w:tcW w:w="1559" w:type="dxa"/>
            <w:tcBorders>
              <w:top w:val="single" w:color="auto" w:sz="4" w:space="0"/>
              <w:left w:val="nil"/>
              <w:bottom w:val="single" w:color="auto" w:sz="4" w:space="0"/>
              <w:right w:val="single" w:color="auto" w:sz="4" w:space="0"/>
            </w:tcBorders>
            <w:noWrap/>
            <w:vAlign w:val="center"/>
          </w:tcPr>
          <w:p w14:paraId="73541995">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合同付款审批流程</w:t>
            </w:r>
          </w:p>
        </w:tc>
        <w:tc>
          <w:tcPr>
            <w:tcW w:w="6140" w:type="dxa"/>
            <w:tcBorders>
              <w:top w:val="single" w:color="auto" w:sz="4" w:space="0"/>
              <w:left w:val="nil"/>
              <w:bottom w:val="single" w:color="auto" w:sz="4" w:space="0"/>
            </w:tcBorders>
            <w:vAlign w:val="center"/>
          </w:tcPr>
          <w:p w14:paraId="3EA8EABB">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rPr>
            </w:pPr>
            <w:r>
              <w:rPr>
                <w:rFonts w:hint="eastAsia" w:ascii="宋体" w:hAnsi="宋体" w:eastAsia="宋体" w:cs="宋体"/>
                <w:color w:val="FF0000"/>
                <w:sz w:val="21"/>
                <w:szCs w:val="21"/>
              </w:rPr>
              <w:t>仅已完成验收归档的合同才可发起付款，调取合同预设付款阶段、付款比例做合规校验；</w:t>
            </w:r>
          </w:p>
        </w:tc>
      </w:tr>
      <w:tr w14:paraId="1E6E507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60" w:hRule="atLeast"/>
        </w:trPr>
        <w:tc>
          <w:tcPr>
            <w:tcW w:w="638" w:type="dxa"/>
            <w:tcBorders>
              <w:top w:val="nil"/>
              <w:bottom w:val="single" w:color="auto" w:sz="4" w:space="0"/>
              <w:right w:val="single" w:color="auto" w:sz="4" w:space="0"/>
            </w:tcBorders>
            <w:noWrap/>
            <w:vAlign w:val="center"/>
          </w:tcPr>
          <w:p w14:paraId="2DA62F7F">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22</w:t>
            </w:r>
          </w:p>
        </w:tc>
        <w:tc>
          <w:tcPr>
            <w:tcW w:w="757" w:type="dxa"/>
            <w:vMerge w:val="continue"/>
            <w:tcBorders>
              <w:top w:val="nil"/>
              <w:left w:val="single" w:color="auto" w:sz="4" w:space="0"/>
              <w:bottom w:val="nil"/>
              <w:right w:val="single" w:color="auto" w:sz="4" w:space="0"/>
            </w:tcBorders>
            <w:vAlign w:val="center"/>
          </w:tcPr>
          <w:p w14:paraId="05BFE8EC">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bottom w:val="single" w:color="auto" w:sz="4" w:space="0"/>
              <w:right w:val="single" w:color="auto" w:sz="4" w:space="0"/>
            </w:tcBorders>
            <w:vAlign w:val="center"/>
          </w:tcPr>
          <w:p w14:paraId="7261F911">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报销付款审批流程</w:t>
            </w:r>
          </w:p>
        </w:tc>
        <w:tc>
          <w:tcPr>
            <w:tcW w:w="6140" w:type="dxa"/>
            <w:tcBorders>
              <w:top w:val="nil"/>
              <w:left w:val="nil"/>
              <w:bottom w:val="single" w:color="auto" w:sz="4" w:space="0"/>
            </w:tcBorders>
            <w:vAlign w:val="center"/>
          </w:tcPr>
          <w:p w14:paraId="102E136A">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rPr>
            </w:pPr>
            <w:r>
              <w:rPr>
                <w:rFonts w:hint="eastAsia" w:ascii="宋体" w:hAnsi="宋体" w:eastAsia="宋体" w:cs="宋体"/>
                <w:color w:val="FF0000"/>
                <w:sz w:val="21"/>
                <w:szCs w:val="21"/>
              </w:rPr>
              <w:t>面向无合同关联的报销类业务，独立发起付款申请流程，走统一付款申请、审批、财务核销链路。</w:t>
            </w:r>
          </w:p>
        </w:tc>
      </w:tr>
      <w:tr w14:paraId="237FE8C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40" w:hRule="atLeast"/>
        </w:trPr>
        <w:tc>
          <w:tcPr>
            <w:tcW w:w="638" w:type="dxa"/>
            <w:tcBorders>
              <w:top w:val="nil"/>
              <w:right w:val="single" w:color="auto" w:sz="4" w:space="0"/>
            </w:tcBorders>
            <w:noWrap/>
            <w:vAlign w:val="center"/>
          </w:tcPr>
          <w:p w14:paraId="0F4F6091">
            <w:pPr>
              <w:keepNext w:val="0"/>
              <w:keepLines w:val="0"/>
              <w:widowControl/>
              <w:suppressLineNumbers w:val="0"/>
              <w:spacing w:before="0" w:beforeAutospacing="0" w:after="0" w:afterAutospacing="0"/>
              <w:ind w:left="0" w:right="0"/>
              <w:jc w:val="center"/>
              <w:rPr>
                <w:rFonts w:hint="default"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23</w:t>
            </w:r>
          </w:p>
        </w:tc>
        <w:tc>
          <w:tcPr>
            <w:tcW w:w="757" w:type="dxa"/>
            <w:vMerge w:val="continue"/>
            <w:tcBorders>
              <w:top w:val="nil"/>
              <w:left w:val="single" w:color="auto" w:sz="4" w:space="0"/>
              <w:right w:val="single" w:color="auto" w:sz="4" w:space="0"/>
            </w:tcBorders>
            <w:vAlign w:val="center"/>
          </w:tcPr>
          <w:p w14:paraId="7C337BDE">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rPr>
            </w:pPr>
          </w:p>
        </w:tc>
        <w:tc>
          <w:tcPr>
            <w:tcW w:w="1559" w:type="dxa"/>
            <w:tcBorders>
              <w:top w:val="nil"/>
              <w:left w:val="nil"/>
              <w:right w:val="single" w:color="auto" w:sz="4" w:space="0"/>
            </w:tcBorders>
            <w:vAlign w:val="center"/>
          </w:tcPr>
          <w:p w14:paraId="7E524E36">
            <w:pPr>
              <w:keepNext w:val="0"/>
              <w:keepLines w:val="0"/>
              <w:widowControl/>
              <w:suppressLineNumbers w:val="0"/>
              <w:spacing w:before="0" w:beforeAutospacing="0" w:after="0" w:afterAutospacing="0"/>
              <w:ind w:left="0" w:right="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财务付款核销</w:t>
            </w:r>
          </w:p>
        </w:tc>
        <w:tc>
          <w:tcPr>
            <w:tcW w:w="6140" w:type="dxa"/>
            <w:tcBorders>
              <w:top w:val="nil"/>
              <w:left w:val="nil"/>
            </w:tcBorders>
            <w:vAlign w:val="center"/>
          </w:tcPr>
          <w:p w14:paraId="57CEDED3">
            <w:pPr>
              <w:keepNext w:val="0"/>
              <w:keepLines w:val="0"/>
              <w:suppressLineNumbers w:val="0"/>
              <w:bidi w:val="0"/>
              <w:spacing w:before="0" w:beforeAutospacing="0" w:after="0" w:afterAutospacing="0"/>
              <w:ind w:left="0" w:right="0"/>
              <w:rPr>
                <w:rFonts w:hint="eastAsia" w:ascii="宋体" w:hAnsi="宋体" w:eastAsia="宋体" w:cs="宋体"/>
                <w:color w:val="FF0000"/>
                <w:kern w:val="0"/>
                <w:sz w:val="21"/>
                <w:szCs w:val="21"/>
              </w:rPr>
            </w:pPr>
            <w:r>
              <w:rPr>
                <w:rFonts w:hint="eastAsia" w:ascii="宋体" w:hAnsi="宋体" w:eastAsia="宋体" w:cs="宋体"/>
                <w:color w:val="FF0000"/>
                <w:sz w:val="21"/>
                <w:szCs w:val="21"/>
              </w:rPr>
              <w:t>承接审批完成的付款单据，完成财务层面付款核销业务。</w:t>
            </w:r>
          </w:p>
        </w:tc>
      </w:tr>
    </w:tbl>
    <w:p w14:paraId="6B939CDF">
      <w:pPr>
        <w:pStyle w:val="3"/>
      </w:pPr>
      <w:r>
        <w:rPr>
          <w:rFonts w:hint="eastAsia"/>
        </w:rPr>
        <w:t>二、商务要求</w:t>
      </w:r>
    </w:p>
    <w:p w14:paraId="2897D985">
      <w:pPr>
        <w:numPr>
          <w:ilvl w:val="0"/>
          <w:numId w:val="1"/>
        </w:numPr>
        <w:spacing w:line="360" w:lineRule="auto"/>
        <w:ind w:firstLine="480" w:firstLineChars="200"/>
        <w:jc w:val="left"/>
        <w:rPr>
          <w:rFonts w:ascii="宋体" w:hAnsi="宋体"/>
          <w:sz w:val="24"/>
        </w:rPr>
      </w:pPr>
      <w:r>
        <w:rPr>
          <w:rFonts w:hint="eastAsia" w:ascii="宋体" w:hAnsi="宋体"/>
          <w:sz w:val="24"/>
        </w:rPr>
        <w:t>项目预算金额：</w:t>
      </w:r>
      <w:r>
        <w:rPr>
          <w:rFonts w:hint="eastAsia" w:ascii="宋体" w:hAnsi="宋体"/>
          <w:sz w:val="24"/>
          <w:lang w:val="en-US" w:eastAsia="zh-CN"/>
        </w:rPr>
        <w:t>贰拾万</w:t>
      </w:r>
      <w:r>
        <w:rPr>
          <w:rFonts w:hint="eastAsia" w:ascii="宋体" w:hAnsi="宋体"/>
          <w:sz w:val="24"/>
        </w:rPr>
        <w:t>元</w:t>
      </w:r>
      <w:r>
        <w:rPr>
          <w:rFonts w:hint="eastAsia" w:ascii="宋体" w:hAnsi="宋体"/>
          <w:sz w:val="24"/>
          <w:lang w:val="en-US" w:eastAsia="zh-CN"/>
        </w:rPr>
        <w:t>整</w:t>
      </w:r>
      <w:r>
        <w:rPr>
          <w:rFonts w:hint="eastAsia" w:ascii="宋体" w:hAnsi="宋体"/>
          <w:sz w:val="24"/>
        </w:rPr>
        <w:t>（¥</w:t>
      </w:r>
      <w:r>
        <w:rPr>
          <w:rFonts w:hint="eastAsia" w:ascii="宋体" w:hAnsi="宋体"/>
          <w:sz w:val="24"/>
          <w:lang w:val="en-US" w:eastAsia="zh-CN"/>
        </w:rPr>
        <w:t>200000</w:t>
      </w:r>
      <w:r>
        <w:rPr>
          <w:rFonts w:hint="eastAsia" w:ascii="宋体" w:hAnsi="宋体"/>
          <w:sz w:val="24"/>
        </w:rPr>
        <w:t>.00）。</w:t>
      </w:r>
    </w:p>
    <w:p w14:paraId="162269FC">
      <w:pPr>
        <w:numPr>
          <w:ilvl w:val="0"/>
          <w:numId w:val="1"/>
        </w:numPr>
        <w:spacing w:line="360" w:lineRule="auto"/>
        <w:ind w:firstLine="480"/>
        <w:jc w:val="left"/>
        <w:rPr>
          <w:rFonts w:ascii="宋体" w:hAnsi="宋体"/>
          <w:sz w:val="24"/>
        </w:rPr>
      </w:pPr>
      <w:r>
        <w:rPr>
          <w:rFonts w:hint="eastAsia" w:ascii="宋体" w:hAnsi="宋体"/>
          <w:sz w:val="24"/>
        </w:rPr>
        <w:t>报价要求：</w:t>
      </w:r>
    </w:p>
    <w:p w14:paraId="7D92B923">
      <w:pPr>
        <w:spacing w:line="360" w:lineRule="auto"/>
        <w:ind w:firstLine="480" w:firstLineChars="200"/>
        <w:jc w:val="left"/>
        <w:rPr>
          <w:rFonts w:ascii="宋体" w:hAnsi="宋体"/>
          <w:sz w:val="24"/>
        </w:rPr>
      </w:pPr>
      <w:r>
        <w:rPr>
          <w:rFonts w:hint="eastAsia" w:ascii="宋体" w:hAnsi="宋体"/>
          <w:sz w:val="24"/>
        </w:rPr>
        <w:t>（1）本项目预算控制金额及最高投标限价为人民币</w:t>
      </w:r>
      <w:r>
        <w:rPr>
          <w:rFonts w:hint="eastAsia" w:ascii="宋体" w:hAnsi="宋体"/>
          <w:sz w:val="24"/>
          <w:lang w:val="en-US" w:eastAsia="zh-CN"/>
        </w:rPr>
        <w:t>200000</w:t>
      </w:r>
      <w:r>
        <w:rPr>
          <w:rFonts w:ascii="宋体" w:hAnsi="宋体"/>
          <w:sz w:val="24"/>
        </w:rPr>
        <w:t>.00</w:t>
      </w:r>
      <w:r>
        <w:rPr>
          <w:rFonts w:hint="eastAsia" w:ascii="宋体" w:hAnsi="宋体"/>
          <w:sz w:val="24"/>
        </w:rPr>
        <w:t>元。超出此预算控制金额或最高投标限价的作无效投标处理；</w:t>
      </w:r>
    </w:p>
    <w:p w14:paraId="10B8B3A1">
      <w:pPr>
        <w:spacing w:line="360" w:lineRule="auto"/>
        <w:ind w:firstLine="480" w:firstLineChars="200"/>
        <w:jc w:val="left"/>
        <w:rPr>
          <w:rFonts w:ascii="宋体" w:hAnsi="宋体"/>
          <w:sz w:val="24"/>
        </w:rPr>
      </w:pPr>
      <w:r>
        <w:rPr>
          <w:rFonts w:hint="eastAsia" w:ascii="宋体" w:hAnsi="宋体"/>
          <w:sz w:val="24"/>
        </w:rPr>
        <w:t>（2）本次采购报价币种为人民币，单位为元；</w:t>
      </w:r>
    </w:p>
    <w:p w14:paraId="2D5E9F12">
      <w:pPr>
        <w:spacing w:line="360" w:lineRule="auto"/>
        <w:ind w:firstLine="480" w:firstLineChars="200"/>
        <w:jc w:val="left"/>
        <w:rPr>
          <w:rFonts w:ascii="宋体" w:hAnsi="宋体"/>
          <w:sz w:val="24"/>
        </w:rPr>
      </w:pPr>
      <w:r>
        <w:rPr>
          <w:rFonts w:hint="eastAsia" w:ascii="宋体" w:hAnsi="宋体"/>
          <w:sz w:val="24"/>
        </w:rPr>
        <w:t>（3）本项目服务费用采用包干制，包括但不限于人工费、设备费等服务成本、管理费用、法定税费和利润等一切费用。投标人应自行承担未来时期人工工资上调、劳动合同补偿和物价上涨等因素对服务价格造成的影响及风险；</w:t>
      </w:r>
    </w:p>
    <w:p w14:paraId="778FFB86">
      <w:pPr>
        <w:spacing w:line="360" w:lineRule="auto"/>
        <w:ind w:firstLine="480" w:firstLineChars="200"/>
        <w:jc w:val="left"/>
        <w:rPr>
          <w:rFonts w:ascii="宋体" w:hAnsi="宋体"/>
          <w:sz w:val="24"/>
        </w:rPr>
      </w:pPr>
      <w:r>
        <w:rPr>
          <w:rFonts w:hint="eastAsia" w:ascii="宋体" w:hAnsi="宋体"/>
          <w:sz w:val="24"/>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5D0DED87">
      <w:pPr>
        <w:spacing w:line="360" w:lineRule="auto"/>
        <w:ind w:firstLine="480" w:firstLineChars="200"/>
        <w:jc w:val="left"/>
        <w:rPr>
          <w:rFonts w:hint="eastAsia" w:ascii="宋体" w:hAnsi="宋体"/>
          <w:sz w:val="24"/>
        </w:rPr>
      </w:pPr>
      <w:r>
        <w:rPr>
          <w:rFonts w:hint="eastAsia" w:ascii="宋体" w:hAnsi="宋体"/>
          <w:sz w:val="24"/>
          <w:lang w:val="en-US" w:eastAsia="zh-CN"/>
        </w:rPr>
        <w:t>3.</w:t>
      </w:r>
      <w:r>
        <w:rPr>
          <w:rFonts w:hint="eastAsia" w:ascii="宋体" w:hAnsi="宋体"/>
          <w:sz w:val="24"/>
        </w:rPr>
        <w:t>合同服务期限：签订合同之日起一年。</w:t>
      </w:r>
    </w:p>
    <w:p w14:paraId="74658B38">
      <w:pPr>
        <w:spacing w:line="360" w:lineRule="auto"/>
        <w:ind w:firstLine="480" w:firstLineChars="200"/>
        <w:jc w:val="left"/>
        <w:rPr>
          <w:rFonts w:hint="eastAsia" w:ascii="宋体" w:hAnsi="宋体"/>
          <w:sz w:val="24"/>
        </w:rPr>
      </w:pPr>
      <w:r>
        <w:rPr>
          <w:rFonts w:hint="eastAsia" w:ascii="宋体" w:hAnsi="宋体"/>
          <w:sz w:val="24"/>
          <w:lang w:val="en-US" w:eastAsia="zh-CN"/>
        </w:rPr>
        <w:t>4.</w:t>
      </w:r>
      <w:r>
        <w:rPr>
          <w:rFonts w:hint="eastAsia" w:ascii="宋体" w:hAnsi="宋体"/>
          <w:sz w:val="24"/>
        </w:rPr>
        <w:t>验收方式：项目完成后，中标人整理形成项目验收报告，盖章后交由采购方签字确认，作为验收依据。</w:t>
      </w:r>
    </w:p>
    <w:p w14:paraId="0357C9F2">
      <w:pPr>
        <w:spacing w:line="360" w:lineRule="auto"/>
        <w:ind w:firstLine="480" w:firstLineChars="200"/>
        <w:jc w:val="left"/>
        <w:rPr>
          <w:rFonts w:hint="eastAsia" w:ascii="宋体" w:hAnsi="宋体"/>
          <w:sz w:val="24"/>
          <w:highlight w:val="red"/>
        </w:rPr>
      </w:pPr>
      <w:r>
        <w:rPr>
          <w:rFonts w:hint="eastAsia" w:ascii="宋体" w:hAnsi="宋体"/>
          <w:sz w:val="24"/>
          <w:highlight w:val="red"/>
          <w:lang w:val="en-US" w:eastAsia="zh-CN"/>
        </w:rPr>
        <w:t>5.</w:t>
      </w:r>
      <w:r>
        <w:rPr>
          <w:rFonts w:hint="eastAsia" w:ascii="宋体" w:hAnsi="宋体"/>
          <w:sz w:val="24"/>
          <w:highlight w:val="red"/>
        </w:rPr>
        <w:t>付款方式：合同签订后，采购人收到中标人提供有效发票后10个工作日内支付合同总价的</w:t>
      </w:r>
      <w:r>
        <w:rPr>
          <w:rFonts w:hint="eastAsia" w:ascii="宋体" w:hAnsi="宋体"/>
          <w:sz w:val="24"/>
          <w:highlight w:val="red"/>
          <w:lang w:val="en-US" w:eastAsia="zh-CN"/>
        </w:rPr>
        <w:t>7</w:t>
      </w:r>
      <w:r>
        <w:rPr>
          <w:rFonts w:hint="eastAsia" w:ascii="宋体" w:hAnsi="宋体"/>
          <w:sz w:val="24"/>
          <w:highlight w:val="red"/>
        </w:rPr>
        <w:t>0%；项目完成后，中标人整理形成项目验收报告，且经采购人验收合格后，收到中标人提供有效发票后10个工作日内支付合同总价的</w:t>
      </w:r>
      <w:r>
        <w:rPr>
          <w:rFonts w:hint="eastAsia" w:ascii="宋体" w:hAnsi="宋体"/>
          <w:sz w:val="24"/>
          <w:highlight w:val="red"/>
          <w:lang w:val="en-US" w:eastAsia="zh-CN"/>
        </w:rPr>
        <w:t>3</w:t>
      </w:r>
      <w:r>
        <w:rPr>
          <w:rFonts w:hint="eastAsia" w:ascii="宋体" w:hAnsi="宋体"/>
          <w:sz w:val="24"/>
          <w:highlight w:val="red"/>
        </w:rPr>
        <w:t>0%。</w:t>
      </w:r>
    </w:p>
    <w:p w14:paraId="64626BA4">
      <w:pPr>
        <w:pStyle w:val="8"/>
        <w:spacing w:line="360" w:lineRule="auto"/>
        <w:ind w:firstLine="480" w:firstLineChars="200"/>
        <w:rPr>
          <w:rFonts w:ascii="宋体" w:hAnsi="宋体"/>
          <w:sz w:val="24"/>
        </w:rPr>
      </w:pPr>
      <w:r>
        <w:rPr>
          <w:rFonts w:hint="eastAsia" w:ascii="宋体" w:hAnsi="宋体" w:eastAsiaTheme="minorEastAsia" w:cstheme="minorBidi"/>
          <w:color w:val="FF0000"/>
          <w:kern w:val="2"/>
          <w:sz w:val="24"/>
          <w:szCs w:val="22"/>
          <w:lang w:val="en-US" w:eastAsia="zh-CN" w:bidi="ar-SA"/>
        </w:rPr>
        <w:t>6.运维与培训要求：</w:t>
      </w:r>
      <w:r>
        <w:rPr>
          <w:rFonts w:hint="eastAsia" w:ascii="宋体" w:hAnsi="宋体"/>
          <w:color w:val="000000" w:themeColor="text1"/>
          <w:sz w:val="24"/>
          <w:highlight w:val="none"/>
          <w14:textFill>
            <w14:solidFill>
              <w14:schemeClr w14:val="tx1"/>
            </w14:solidFill>
          </w14:textFill>
        </w:rPr>
        <w:t>验收合格后</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中标人</w:t>
      </w:r>
      <w:r>
        <w:rPr>
          <w:rFonts w:hint="eastAsia" w:ascii="宋体" w:hAnsi="宋体" w:eastAsiaTheme="minorEastAsia" w:cstheme="minorBidi"/>
          <w:color w:val="FF0000"/>
          <w:kern w:val="2"/>
          <w:sz w:val="24"/>
          <w:szCs w:val="22"/>
          <w:lang w:val="en-US" w:eastAsia="zh-CN" w:bidi="ar-SA"/>
        </w:rPr>
        <w:t>提供为期12个月的日常技术支持服务，含问题响应、服务优化与数据保障；提供完整的用户培训材料（线上或线下形式）。</w:t>
      </w:r>
    </w:p>
    <w:p w14:paraId="075AF0E2">
      <w:pPr>
        <w:pStyle w:val="3"/>
        <w:rPr>
          <w:rFonts w:hint="default" w:ascii="宋体" w:hAnsi="宋体"/>
          <w:sz w:val="24"/>
          <w:lang w:val="en-US" w:eastAsia="zh-CN"/>
        </w:rPr>
      </w:pPr>
      <w:r>
        <w:rPr>
          <w:rFonts w:hint="eastAsia"/>
          <w:lang w:val="en-US" w:eastAsia="zh-CN"/>
        </w:rPr>
        <w:t>三</w:t>
      </w:r>
      <w:r>
        <w:rPr>
          <w:rFonts w:hint="eastAsia"/>
        </w:rPr>
        <w:t>、评审因素和评审标准</w:t>
      </w:r>
    </w:p>
    <w:tbl>
      <w:tblPr>
        <w:tblStyle w:val="19"/>
        <w:tblW w:w="4996"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77"/>
        <w:gridCol w:w="1239"/>
        <w:gridCol w:w="4669"/>
        <w:gridCol w:w="1152"/>
        <w:gridCol w:w="1330"/>
      </w:tblGrid>
      <w:tr w14:paraId="6DCE23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5A67728C">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评审部分</w:t>
            </w:r>
          </w:p>
        </w:tc>
        <w:tc>
          <w:tcPr>
            <w:tcW w:w="676" w:type="pct"/>
            <w:tcBorders>
              <w:top w:val="single" w:color="auto" w:sz="4" w:space="0"/>
              <w:left w:val="single" w:color="auto" w:sz="4" w:space="0"/>
              <w:bottom w:val="single" w:color="auto" w:sz="4" w:space="0"/>
              <w:right w:val="single" w:color="auto" w:sz="4" w:space="0"/>
            </w:tcBorders>
            <w:vAlign w:val="center"/>
          </w:tcPr>
          <w:p w14:paraId="4DA25C25">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评审因素</w:t>
            </w:r>
          </w:p>
        </w:tc>
        <w:tc>
          <w:tcPr>
            <w:tcW w:w="2545" w:type="pct"/>
            <w:tcBorders>
              <w:top w:val="single" w:color="auto" w:sz="4" w:space="0"/>
              <w:left w:val="single" w:color="auto" w:sz="4" w:space="0"/>
              <w:bottom w:val="single" w:color="auto" w:sz="4" w:space="0"/>
              <w:right w:val="single" w:color="auto" w:sz="4" w:space="0"/>
            </w:tcBorders>
            <w:vAlign w:val="center"/>
          </w:tcPr>
          <w:p w14:paraId="68B5D7DF">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评分细则</w:t>
            </w:r>
          </w:p>
        </w:tc>
        <w:tc>
          <w:tcPr>
            <w:tcW w:w="628" w:type="pct"/>
            <w:tcBorders>
              <w:top w:val="single" w:color="auto" w:sz="4" w:space="0"/>
              <w:left w:val="single" w:color="auto" w:sz="4" w:space="0"/>
              <w:bottom w:val="single" w:color="auto" w:sz="4" w:space="0"/>
              <w:right w:val="single" w:color="auto" w:sz="4" w:space="0"/>
            </w:tcBorders>
            <w:vAlign w:val="center"/>
          </w:tcPr>
          <w:p w14:paraId="23277D73">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权重（%）</w:t>
            </w:r>
          </w:p>
        </w:tc>
        <w:tc>
          <w:tcPr>
            <w:tcW w:w="725" w:type="pct"/>
            <w:tcBorders>
              <w:top w:val="single" w:color="auto" w:sz="4" w:space="0"/>
              <w:left w:val="single" w:color="auto" w:sz="4" w:space="0"/>
              <w:bottom w:val="single" w:color="auto" w:sz="4" w:space="0"/>
              <w:right w:val="single" w:color="auto" w:sz="4" w:space="0"/>
            </w:tcBorders>
            <w:vAlign w:val="center"/>
          </w:tcPr>
          <w:p w14:paraId="3D046CC9">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分值（分）</w:t>
            </w:r>
          </w:p>
        </w:tc>
      </w:tr>
      <w:tr w14:paraId="092BE5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424" w:type="pct"/>
            <w:tcBorders>
              <w:top w:val="single" w:color="auto" w:sz="4" w:space="0"/>
              <w:left w:val="single" w:color="auto" w:sz="4" w:space="0"/>
              <w:bottom w:val="single" w:color="auto" w:sz="4" w:space="0"/>
              <w:right w:val="single" w:color="auto" w:sz="4" w:space="0"/>
            </w:tcBorders>
            <w:vAlign w:val="center"/>
          </w:tcPr>
          <w:p w14:paraId="18422AF4">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一</w:t>
            </w:r>
          </w:p>
        </w:tc>
        <w:tc>
          <w:tcPr>
            <w:tcW w:w="4575" w:type="pct"/>
            <w:gridSpan w:val="4"/>
            <w:tcBorders>
              <w:top w:val="single" w:color="auto" w:sz="4" w:space="0"/>
              <w:left w:val="single" w:color="auto" w:sz="4" w:space="0"/>
              <w:bottom w:val="single" w:color="auto" w:sz="4" w:space="0"/>
              <w:right w:val="single" w:color="auto" w:sz="4" w:space="0"/>
            </w:tcBorders>
            <w:vAlign w:val="center"/>
          </w:tcPr>
          <w:p w14:paraId="3D769481">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技术部分（</w:t>
            </w:r>
            <w:r>
              <w:rPr>
                <w:rFonts w:hint="eastAsia" w:cs="宋体" w:asciiTheme="minorEastAsia" w:hAnsiTheme="minorEastAsia"/>
                <w:b/>
                <w:color w:val="000000" w:themeColor="text1"/>
                <w:szCs w:val="21"/>
                <w:lang w:val="en-US" w:eastAsia="zh-CN"/>
                <w14:textFill>
                  <w14:solidFill>
                    <w14:schemeClr w14:val="tx1"/>
                  </w14:solidFill>
                </w14:textFill>
              </w:rPr>
              <w:t>50</w:t>
            </w:r>
            <w:r>
              <w:rPr>
                <w:rFonts w:hint="eastAsia" w:cs="宋体" w:asciiTheme="minorEastAsia" w:hAnsiTheme="minorEastAsia"/>
                <w:b/>
                <w:color w:val="000000" w:themeColor="text1"/>
                <w:szCs w:val="21"/>
                <w14:textFill>
                  <w14:solidFill>
                    <w14:schemeClr w14:val="tx1"/>
                  </w14:solidFill>
                </w14:textFill>
              </w:rPr>
              <w:t>分）</w:t>
            </w:r>
          </w:p>
        </w:tc>
      </w:tr>
      <w:tr w14:paraId="5D8974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74196B6F">
            <w:pPr>
              <w:pStyle w:val="51"/>
              <w:keepNext w:val="0"/>
              <w:keepLines w:val="0"/>
              <w:numPr>
                <w:ilvl w:val="0"/>
                <w:numId w:val="2"/>
              </w:numPr>
              <w:suppressLineNumbers w:val="0"/>
              <w:spacing w:before="0" w:beforeAutospacing="0" w:after="0" w:afterAutospacing="0"/>
              <w:ind w:left="0" w:right="0" w:firstLine="0" w:firstLineChars="0"/>
              <w:jc w:val="right"/>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0E3B711F">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项目建设方案</w:t>
            </w:r>
          </w:p>
        </w:tc>
        <w:tc>
          <w:tcPr>
            <w:tcW w:w="2545" w:type="pct"/>
            <w:tcBorders>
              <w:top w:val="single" w:color="auto" w:sz="4" w:space="0"/>
              <w:left w:val="single" w:color="auto" w:sz="4" w:space="0"/>
              <w:bottom w:val="single" w:color="auto" w:sz="4" w:space="0"/>
              <w:right w:val="single" w:color="auto" w:sz="4" w:space="0"/>
            </w:tcBorders>
            <w:vAlign w:val="center"/>
          </w:tcPr>
          <w:p w14:paraId="196F660A">
            <w:pPr>
              <w:keepNext w:val="0"/>
              <w:keepLines w:val="0"/>
              <w:suppressLineNumbers w:val="0"/>
              <w:wordWrap w:val="0"/>
              <w:snapToGrid w:val="0"/>
              <w:spacing w:before="0" w:beforeAutospacing="0" w:after="0" w:afterAutospacing="0"/>
              <w:ind w:left="0" w:right="0"/>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（一）评审内容：</w:t>
            </w:r>
          </w:p>
          <w:p w14:paraId="61AA54D0">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根据投标人对本项目的理解程度进行评价：</w:t>
            </w:r>
          </w:p>
          <w:p w14:paraId="5E849ED4">
            <w:pPr>
              <w:pStyle w:val="34"/>
              <w:keepNext w:val="0"/>
              <w:keepLines w:val="0"/>
              <w:suppressLineNumbers w:val="0"/>
              <w:wordWrap w:val="0"/>
              <w:snapToGrid w:val="0"/>
              <w:spacing w:before="0" w:beforeAutospacing="0" w:after="0" w:afterAutospacing="0"/>
              <w:ind w:left="0" w:right="0" w:firstLine="0" w:firstLineChars="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1.对本项目的建设背景、现状、业务需求等的理解程度，</w:t>
            </w:r>
          </w:p>
          <w:p w14:paraId="20CE211B">
            <w:pPr>
              <w:pStyle w:val="34"/>
              <w:keepNext w:val="0"/>
              <w:keepLines w:val="0"/>
              <w:suppressLineNumbers w:val="0"/>
              <w:wordWrap w:val="0"/>
              <w:snapToGrid w:val="0"/>
              <w:spacing w:before="0" w:beforeAutospacing="0" w:after="0" w:afterAutospacing="0"/>
              <w:ind w:left="0" w:right="0" w:firstLine="0" w:firstLineChars="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2.对目前存在的问题以及业务需求、性能需求、本项目建设必要性等进行深入分析；</w:t>
            </w:r>
          </w:p>
          <w:p w14:paraId="1ED8C67A">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3.本项目采用的服务方案的介绍。</w:t>
            </w:r>
          </w:p>
          <w:p w14:paraId="7D42FC9A">
            <w:pPr>
              <w:keepNext w:val="0"/>
              <w:keepLines w:val="0"/>
              <w:suppressLineNumbers w:val="0"/>
              <w:wordWrap w:val="0"/>
              <w:snapToGrid w:val="0"/>
              <w:spacing w:before="0" w:beforeAutospacing="0" w:after="0" w:afterAutospacing="0"/>
              <w:ind w:left="0" w:right="0"/>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（二）评审依据：</w:t>
            </w:r>
          </w:p>
          <w:p w14:paraId="720667C7">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1.提供上述三项完整内容的得10分，两项内容的得7分；一项内容的得3分；</w:t>
            </w:r>
          </w:p>
          <w:p w14:paraId="762BAEE0">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2.在此基础上，由评审委员进行评价：</w:t>
            </w:r>
          </w:p>
          <w:p w14:paraId="0C9F4FCE">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（1）方案整体科学合理、针对性强、可操作性强，评审为优加5分；</w:t>
            </w:r>
          </w:p>
          <w:p w14:paraId="31316867">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（2）方案较合理、有一定针对性、一定可操作性，评审为良加3分；</w:t>
            </w:r>
          </w:p>
          <w:p w14:paraId="1F5CC44B">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（3）方案不尽合理、针对性一般、可操作性一般，评审为中加2分；</w:t>
            </w:r>
          </w:p>
          <w:p w14:paraId="3DE4FDF2">
            <w:pPr>
              <w:pStyle w:val="51"/>
              <w:keepNext w:val="0"/>
              <w:keepLines w:val="0"/>
              <w:suppressLineNumbers w:val="0"/>
              <w:snapToGrid w:val="0"/>
              <w:spacing w:before="0" w:beforeAutospacing="0" w:after="0" w:afterAutospacing="0"/>
              <w:ind w:left="0" w:right="0" w:firstLine="0" w:firstLineChars="0"/>
              <w:rPr>
                <w:rFonts w:hint="default"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（4）方案不合理、无针对性、无可操作性，评审为差加1分。</w:t>
            </w:r>
          </w:p>
        </w:tc>
        <w:tc>
          <w:tcPr>
            <w:tcW w:w="628" w:type="pct"/>
            <w:tcBorders>
              <w:top w:val="single" w:color="auto" w:sz="4" w:space="0"/>
              <w:left w:val="single" w:color="auto" w:sz="4" w:space="0"/>
              <w:bottom w:val="single" w:color="auto" w:sz="4" w:space="0"/>
              <w:right w:val="single" w:color="auto" w:sz="4" w:space="0"/>
            </w:tcBorders>
            <w:vAlign w:val="center"/>
          </w:tcPr>
          <w:p w14:paraId="395DDD7D">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000000" w:themeColor="text1"/>
                <w:szCs w:val="21"/>
                <w:lang w:val="en-US" w:eastAsia="zh-CN"/>
                <w14:textFill>
                  <w14:solidFill>
                    <w14:schemeClr w14:val="tx1"/>
                  </w14:solidFill>
                </w14:textFill>
              </w:rPr>
            </w:pPr>
            <w:r>
              <w:rPr>
                <w:rFonts w:hint="eastAsia" w:cs="宋体" w:asciiTheme="minorEastAsia" w:hAnsiTheme="minorEastAsia"/>
                <w:color w:val="000000" w:themeColor="text1"/>
                <w:szCs w:val="21"/>
                <w:lang w:val="en-US" w:eastAsia="zh-CN"/>
                <w14:textFill>
                  <w14:solidFill>
                    <w14:schemeClr w14:val="tx1"/>
                  </w14:solidFill>
                </w14:textFill>
              </w:rPr>
              <w:t>15</w:t>
            </w:r>
          </w:p>
        </w:tc>
        <w:tc>
          <w:tcPr>
            <w:tcW w:w="725" w:type="pct"/>
            <w:tcBorders>
              <w:top w:val="single" w:color="auto" w:sz="4" w:space="0"/>
              <w:left w:val="single" w:color="auto" w:sz="4" w:space="0"/>
              <w:bottom w:val="single" w:color="auto" w:sz="4" w:space="0"/>
              <w:right w:val="single" w:color="auto" w:sz="4" w:space="0"/>
            </w:tcBorders>
            <w:vAlign w:val="center"/>
          </w:tcPr>
          <w:p w14:paraId="6106D0E9">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000000" w:themeColor="text1"/>
                <w:szCs w:val="21"/>
                <w:lang w:val="en-US" w:eastAsia="zh-CN"/>
                <w14:textFill>
                  <w14:solidFill>
                    <w14:schemeClr w14:val="tx1"/>
                  </w14:solidFill>
                </w14:textFill>
              </w:rPr>
            </w:pPr>
            <w:r>
              <w:rPr>
                <w:rFonts w:hint="eastAsia" w:cs="宋体" w:asciiTheme="minorEastAsia" w:hAnsiTheme="minorEastAsia"/>
                <w:color w:val="000000" w:themeColor="text1"/>
                <w:szCs w:val="21"/>
                <w:lang w:val="en-US" w:eastAsia="zh-CN"/>
                <w14:textFill>
                  <w14:solidFill>
                    <w14:schemeClr w14:val="tx1"/>
                  </w14:solidFill>
                </w14:textFill>
              </w:rPr>
              <w:t>15</w:t>
            </w:r>
          </w:p>
        </w:tc>
      </w:tr>
      <w:tr w14:paraId="07F742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 w:hRule="atLeast"/>
        </w:trPr>
        <w:tc>
          <w:tcPr>
            <w:tcW w:w="424" w:type="pct"/>
            <w:tcBorders>
              <w:top w:val="single" w:color="auto" w:sz="4" w:space="0"/>
              <w:left w:val="single" w:color="auto" w:sz="4" w:space="0"/>
              <w:bottom w:val="single" w:color="auto" w:sz="4" w:space="0"/>
              <w:right w:val="single" w:color="auto" w:sz="4" w:space="0"/>
            </w:tcBorders>
            <w:vAlign w:val="center"/>
          </w:tcPr>
          <w:p w14:paraId="7D4093C0">
            <w:pPr>
              <w:pStyle w:val="51"/>
              <w:keepNext w:val="0"/>
              <w:keepLines w:val="0"/>
              <w:numPr>
                <w:ilvl w:val="0"/>
                <w:numId w:val="2"/>
              </w:numPr>
              <w:suppressLineNumbers w:val="0"/>
              <w:spacing w:before="0" w:beforeAutospacing="0" w:after="0" w:afterAutospacing="0"/>
              <w:ind w:left="0" w:right="0" w:firstLine="0" w:firstLineChars="0"/>
              <w:jc w:val="right"/>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317139C4">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项目重点难点分析、应对措施及相关的合理化建议</w:t>
            </w:r>
          </w:p>
        </w:tc>
        <w:tc>
          <w:tcPr>
            <w:tcW w:w="2545" w:type="pct"/>
            <w:tcBorders>
              <w:top w:val="single" w:color="auto" w:sz="4" w:space="0"/>
              <w:left w:val="single" w:color="auto" w:sz="4" w:space="0"/>
              <w:bottom w:val="single" w:color="auto" w:sz="4" w:space="0"/>
              <w:right w:val="single" w:color="auto" w:sz="4" w:space="0"/>
            </w:tcBorders>
          </w:tcPr>
          <w:p w14:paraId="5FC1E859">
            <w:pPr>
              <w:pStyle w:val="17"/>
              <w:keepNext w:val="0"/>
              <w:keepLines w:val="0"/>
              <w:suppressLineNumbers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b/>
                <w:bCs/>
                <w:color w:val="000000" w:themeColor="text1"/>
                <w:kern w:val="2"/>
                <w:sz w:val="21"/>
                <w:szCs w:val="21"/>
                <w14:textFill>
                  <w14:solidFill>
                    <w14:schemeClr w14:val="tx1"/>
                  </w14:solidFill>
                </w14:textFill>
              </w:rPr>
            </w:pPr>
            <w:r>
              <w:rPr>
                <w:rFonts w:hint="eastAsia" w:cs="宋体" w:asciiTheme="minorEastAsia" w:hAnsiTheme="minorEastAsia" w:eastAsiaTheme="minorEastAsia"/>
                <w:b/>
                <w:bCs/>
                <w:color w:val="000000" w:themeColor="text1"/>
                <w:kern w:val="2"/>
                <w:sz w:val="21"/>
                <w:szCs w:val="21"/>
                <w14:textFill>
                  <w14:solidFill>
                    <w14:schemeClr w14:val="tx1"/>
                  </w14:solidFill>
                </w14:textFill>
              </w:rPr>
              <w:t>（一）评</w:t>
            </w:r>
            <w:r>
              <w:rPr>
                <w:rFonts w:hint="eastAsia" w:cs="宋体" w:asciiTheme="minorEastAsia" w:hAnsiTheme="minorEastAsia" w:eastAsiaTheme="minorEastAsia"/>
                <w:b/>
                <w:bCs/>
                <w:color w:val="000000" w:themeColor="text1"/>
                <w:sz w:val="21"/>
                <w:szCs w:val="21"/>
                <w14:textFill>
                  <w14:solidFill>
                    <w14:schemeClr w14:val="tx1"/>
                  </w14:solidFill>
                </w14:textFill>
              </w:rPr>
              <w:t>审</w:t>
            </w:r>
            <w:r>
              <w:rPr>
                <w:rFonts w:hint="eastAsia" w:cs="宋体" w:asciiTheme="minorEastAsia" w:hAnsiTheme="minorEastAsia" w:eastAsiaTheme="minorEastAsia"/>
                <w:b/>
                <w:bCs/>
                <w:color w:val="000000" w:themeColor="text1"/>
                <w:kern w:val="2"/>
                <w:sz w:val="21"/>
                <w:szCs w:val="21"/>
                <w14:textFill>
                  <w14:solidFill>
                    <w14:schemeClr w14:val="tx1"/>
                  </w14:solidFill>
                </w14:textFill>
              </w:rPr>
              <w:t>内容：</w:t>
            </w:r>
          </w:p>
          <w:p w14:paraId="2CFB7780">
            <w:pPr>
              <w:pStyle w:val="17"/>
              <w:keepNext w:val="0"/>
              <w:keepLines w:val="0"/>
              <w:suppressLineNumbers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根据投标人对重点难点分析、应对措施及相关的合理化建议进行评审，方案内容包括以下内容：</w:t>
            </w:r>
          </w:p>
          <w:p w14:paraId="462422D2">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1.项目重点难点进行分析；</w:t>
            </w:r>
          </w:p>
          <w:p w14:paraId="7358AA67">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2.针对重、难点的相关提供应对措施；</w:t>
            </w:r>
          </w:p>
          <w:p w14:paraId="2B8E22A3">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3.合理化建议。</w:t>
            </w:r>
          </w:p>
          <w:p w14:paraId="06D38C61">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b/>
                <w:bCs/>
                <w:color w:val="000000" w:themeColor="text1"/>
                <w:kern w:val="2"/>
                <w:sz w:val="21"/>
                <w:szCs w:val="21"/>
                <w14:textFill>
                  <w14:solidFill>
                    <w14:schemeClr w14:val="tx1"/>
                  </w14:solidFill>
                </w14:textFill>
              </w:rPr>
            </w:pPr>
            <w:r>
              <w:rPr>
                <w:rFonts w:hint="eastAsia" w:cs="宋体" w:asciiTheme="minorEastAsia" w:hAnsiTheme="minorEastAsia" w:eastAsiaTheme="minorEastAsia"/>
                <w:b/>
                <w:bCs/>
                <w:color w:val="000000" w:themeColor="text1"/>
                <w:kern w:val="2"/>
                <w:sz w:val="21"/>
                <w:szCs w:val="21"/>
                <w14:textFill>
                  <w14:solidFill>
                    <w14:schemeClr w14:val="tx1"/>
                  </w14:solidFill>
                </w14:textFill>
              </w:rPr>
              <w:t>（二）评</w:t>
            </w:r>
            <w:r>
              <w:rPr>
                <w:rFonts w:hint="eastAsia" w:cs="宋体" w:asciiTheme="minorEastAsia" w:hAnsiTheme="minorEastAsia" w:eastAsiaTheme="minorEastAsia"/>
                <w:b/>
                <w:bCs/>
                <w:color w:val="000000" w:themeColor="text1"/>
                <w:sz w:val="21"/>
                <w:szCs w:val="21"/>
                <w14:textFill>
                  <w14:solidFill>
                    <w14:schemeClr w14:val="tx1"/>
                  </w14:solidFill>
                </w14:textFill>
              </w:rPr>
              <w:t>审</w:t>
            </w:r>
            <w:r>
              <w:rPr>
                <w:rFonts w:hint="eastAsia" w:cs="宋体" w:asciiTheme="minorEastAsia" w:hAnsiTheme="minorEastAsia" w:eastAsiaTheme="minorEastAsia"/>
                <w:b/>
                <w:bCs/>
                <w:color w:val="000000" w:themeColor="text1"/>
                <w:kern w:val="2"/>
                <w:sz w:val="21"/>
                <w:szCs w:val="21"/>
                <w14:textFill>
                  <w14:solidFill>
                    <w14:schemeClr w14:val="tx1"/>
                  </w14:solidFill>
                </w14:textFill>
              </w:rPr>
              <w:t>依据：</w:t>
            </w:r>
          </w:p>
          <w:p w14:paraId="042E687D">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1.提供上述三项完整内</w:t>
            </w:r>
            <w:r>
              <w:rPr>
                <w:rFonts w:hint="eastAsia" w:cs="宋体" w:asciiTheme="minorEastAsia" w:hAnsiTheme="minorEastAsia" w:eastAsiaTheme="minorEastAsia"/>
                <w:color w:val="FF0000"/>
                <w:kern w:val="2"/>
                <w:sz w:val="21"/>
                <w:szCs w:val="21"/>
              </w:rPr>
              <w:t>容的得</w:t>
            </w:r>
            <w:r>
              <w:rPr>
                <w:rFonts w:hint="eastAsia" w:cs="宋体" w:asciiTheme="minorEastAsia" w:hAnsiTheme="minorEastAsia"/>
                <w:color w:val="FF0000"/>
                <w:kern w:val="2"/>
                <w:sz w:val="21"/>
                <w:szCs w:val="21"/>
                <w:lang w:val="en-US" w:eastAsia="zh-CN"/>
              </w:rPr>
              <w:t>5</w:t>
            </w:r>
            <w:r>
              <w:rPr>
                <w:rFonts w:hint="eastAsia" w:cs="宋体" w:asciiTheme="minorEastAsia" w:hAnsiTheme="minorEastAsia" w:eastAsiaTheme="minorEastAsia"/>
                <w:color w:val="FF0000"/>
                <w:kern w:val="2"/>
                <w:sz w:val="21"/>
                <w:szCs w:val="21"/>
              </w:rPr>
              <w:t>分</w:t>
            </w:r>
            <w:r>
              <w:rPr>
                <w:rFonts w:hint="eastAsia" w:cs="宋体" w:asciiTheme="minorEastAsia" w:hAnsiTheme="minorEastAsia" w:eastAsiaTheme="minorEastAsia"/>
                <w:color w:val="000000" w:themeColor="text1"/>
                <w:kern w:val="2"/>
                <w:sz w:val="21"/>
                <w:szCs w:val="21"/>
                <w14:textFill>
                  <w14:solidFill>
                    <w14:schemeClr w14:val="tx1"/>
                  </w14:solidFill>
                </w14:textFill>
              </w:rPr>
              <w:t>，二项内容的得3分；一项内容的得1分；</w:t>
            </w:r>
          </w:p>
          <w:p w14:paraId="6A4CD098">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2.在此基础上，由评审委员进行评价：</w:t>
            </w:r>
          </w:p>
          <w:p w14:paraId="4A950406">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（1）方案整体科学合理、针对性强、可操作性强，评审为优加5分；</w:t>
            </w:r>
          </w:p>
          <w:p w14:paraId="687E4BBF">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（2）方案较合理、有一定针对性、一定可操作性，评审为良加3分；</w:t>
            </w:r>
          </w:p>
          <w:p w14:paraId="67D844D2">
            <w:pPr>
              <w:pStyle w:val="17"/>
              <w:keepNext w:val="0"/>
              <w:keepLines w:val="0"/>
              <w:suppressLineNumbers w:val="0"/>
              <w:wordWrap w:val="0"/>
              <w:adjustRightInd w:val="0"/>
              <w:snapToGrid w:val="0"/>
              <w:spacing w:before="0" w:beforeAutospacing="0" w:after="0" w:afterAutospacing="0"/>
              <w:ind w:left="0" w:right="0"/>
              <w:jc w:val="both"/>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（3）方案不尽合理、针对性一般、可操作性一般，评审为中加2分；</w:t>
            </w:r>
          </w:p>
          <w:p w14:paraId="6653744E">
            <w:pPr>
              <w:pStyle w:val="51"/>
              <w:keepNext w:val="0"/>
              <w:keepLines w:val="0"/>
              <w:suppressLineNumbers w:val="0"/>
              <w:snapToGrid w:val="0"/>
              <w:spacing w:before="0" w:beforeAutospacing="0" w:after="0" w:afterAutospacing="0"/>
              <w:ind w:left="0" w:right="0" w:firstLine="0" w:firstLineChars="0"/>
              <w:rPr>
                <w:rFonts w:hint="default"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（4）方案不合理、无针对性、无可操作性，评审为差加1分</w:t>
            </w:r>
          </w:p>
        </w:tc>
        <w:tc>
          <w:tcPr>
            <w:tcW w:w="628" w:type="pct"/>
            <w:tcBorders>
              <w:top w:val="single" w:color="auto" w:sz="4" w:space="0"/>
              <w:left w:val="single" w:color="auto" w:sz="4" w:space="0"/>
              <w:bottom w:val="single" w:color="auto" w:sz="4" w:space="0"/>
              <w:right w:val="single" w:color="auto" w:sz="4" w:space="0"/>
            </w:tcBorders>
            <w:vAlign w:val="center"/>
          </w:tcPr>
          <w:p w14:paraId="1A066E6D">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c>
          <w:tcPr>
            <w:tcW w:w="725" w:type="pct"/>
            <w:tcBorders>
              <w:top w:val="single" w:color="auto" w:sz="4" w:space="0"/>
              <w:left w:val="single" w:color="auto" w:sz="4" w:space="0"/>
              <w:bottom w:val="single" w:color="auto" w:sz="4" w:space="0"/>
              <w:right w:val="single" w:color="auto" w:sz="4" w:space="0"/>
            </w:tcBorders>
            <w:vAlign w:val="center"/>
          </w:tcPr>
          <w:p w14:paraId="03C7182E">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r>
      <w:tr w14:paraId="512E04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33B56B2A">
            <w:pPr>
              <w:pStyle w:val="51"/>
              <w:keepNext w:val="0"/>
              <w:keepLines w:val="0"/>
              <w:numPr>
                <w:ilvl w:val="0"/>
                <w:numId w:val="2"/>
              </w:numPr>
              <w:suppressLineNumbers w:val="0"/>
              <w:spacing w:before="0" w:beforeAutospacing="0" w:after="0" w:afterAutospacing="0"/>
              <w:ind w:left="0" w:right="0" w:firstLine="0" w:firstLineChars="0"/>
              <w:jc w:val="right"/>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51DD02E6">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项目实施方案</w:t>
            </w:r>
          </w:p>
        </w:tc>
        <w:tc>
          <w:tcPr>
            <w:tcW w:w="4669" w:type="dxa"/>
            <w:tcBorders>
              <w:top w:val="single" w:color="auto" w:sz="4" w:space="0"/>
              <w:left w:val="single" w:color="auto" w:sz="4" w:space="0"/>
              <w:bottom w:val="single" w:color="auto" w:sz="4" w:space="0"/>
              <w:right w:val="single" w:color="auto" w:sz="4" w:space="0"/>
            </w:tcBorders>
            <w:vAlign w:val="center"/>
          </w:tcPr>
          <w:p w14:paraId="165EBB84">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b/>
                <w:bCs/>
                <w:color w:val="000000" w:themeColor="text1"/>
                <w:kern w:val="2"/>
                <w:sz w:val="21"/>
                <w:szCs w:val="21"/>
                <w14:textFill>
                  <w14:solidFill>
                    <w14:schemeClr w14:val="tx1"/>
                  </w14:solidFill>
                </w14:textFill>
              </w:rPr>
            </w:pPr>
            <w:r>
              <w:rPr>
                <w:rFonts w:hint="eastAsia" w:cs="宋体" w:asciiTheme="minorEastAsia" w:hAnsiTheme="minorEastAsia" w:eastAsiaTheme="minorEastAsia"/>
                <w:b/>
                <w:bCs/>
                <w:color w:val="000000" w:themeColor="text1"/>
                <w:kern w:val="2"/>
                <w:sz w:val="21"/>
                <w:szCs w:val="21"/>
                <w14:textFill>
                  <w14:solidFill>
                    <w14:schemeClr w14:val="tx1"/>
                  </w14:solidFill>
                </w14:textFill>
              </w:rPr>
              <w:t>（一）评</w:t>
            </w:r>
            <w:r>
              <w:rPr>
                <w:rFonts w:hint="eastAsia" w:cs="宋体" w:asciiTheme="minorEastAsia" w:hAnsiTheme="minorEastAsia" w:eastAsiaTheme="minorEastAsia"/>
                <w:b/>
                <w:bCs/>
                <w:color w:val="000000" w:themeColor="text1"/>
                <w:sz w:val="21"/>
                <w:szCs w:val="21"/>
                <w14:textFill>
                  <w14:solidFill>
                    <w14:schemeClr w14:val="tx1"/>
                  </w14:solidFill>
                </w14:textFill>
              </w:rPr>
              <w:t>审</w:t>
            </w:r>
            <w:r>
              <w:rPr>
                <w:rFonts w:hint="eastAsia" w:cs="宋体" w:asciiTheme="minorEastAsia" w:hAnsiTheme="minorEastAsia" w:eastAsiaTheme="minorEastAsia"/>
                <w:b/>
                <w:bCs/>
                <w:color w:val="000000" w:themeColor="text1"/>
                <w:kern w:val="2"/>
                <w:sz w:val="21"/>
                <w:szCs w:val="21"/>
                <w14:textFill>
                  <w14:solidFill>
                    <w14:schemeClr w14:val="tx1"/>
                  </w14:solidFill>
                </w14:textFill>
              </w:rPr>
              <w:t>内容：</w:t>
            </w:r>
          </w:p>
          <w:p w14:paraId="72085862">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考察投标人对本项目的实施方案设计情况。供应商需根据项目建设内容，提供详细合理的实施方案，包含：</w:t>
            </w:r>
          </w:p>
          <w:p w14:paraId="23EE6E41">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1.针对本项目的实施方案，内容全面、具体；</w:t>
            </w:r>
          </w:p>
          <w:p w14:paraId="5C1408B1">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2.对本项目项目管理、项目培训等内容的安排情况，根据项目建设内容，提供详细的建设计划或进度安排；</w:t>
            </w:r>
          </w:p>
          <w:p w14:paraId="064ACE1B">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3.对本项目提供的售后服务方案情况，提供详细的售后服务方案和培训方案。</w:t>
            </w:r>
          </w:p>
          <w:p w14:paraId="77ECF428">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b/>
                <w:bCs/>
                <w:color w:val="000000" w:themeColor="text1"/>
                <w:kern w:val="2"/>
                <w:sz w:val="21"/>
                <w:szCs w:val="21"/>
                <w14:textFill>
                  <w14:solidFill>
                    <w14:schemeClr w14:val="tx1"/>
                  </w14:solidFill>
                </w14:textFill>
              </w:rPr>
            </w:pPr>
            <w:r>
              <w:rPr>
                <w:rFonts w:hint="eastAsia" w:cs="宋体" w:asciiTheme="minorEastAsia" w:hAnsiTheme="minorEastAsia" w:eastAsiaTheme="minorEastAsia"/>
                <w:b/>
                <w:bCs/>
                <w:color w:val="000000" w:themeColor="text1"/>
                <w:kern w:val="2"/>
                <w:sz w:val="21"/>
                <w:szCs w:val="21"/>
                <w14:textFill>
                  <w14:solidFill>
                    <w14:schemeClr w14:val="tx1"/>
                  </w14:solidFill>
                </w14:textFill>
              </w:rPr>
              <w:t>（二）评</w:t>
            </w:r>
            <w:r>
              <w:rPr>
                <w:rFonts w:hint="eastAsia" w:cs="宋体" w:asciiTheme="minorEastAsia" w:hAnsiTheme="minorEastAsia" w:eastAsiaTheme="minorEastAsia"/>
                <w:b/>
                <w:bCs/>
                <w:color w:val="000000" w:themeColor="text1"/>
                <w:sz w:val="21"/>
                <w:szCs w:val="21"/>
                <w14:textFill>
                  <w14:solidFill>
                    <w14:schemeClr w14:val="tx1"/>
                  </w14:solidFill>
                </w14:textFill>
              </w:rPr>
              <w:t>审</w:t>
            </w:r>
            <w:r>
              <w:rPr>
                <w:rFonts w:hint="eastAsia" w:cs="宋体" w:asciiTheme="minorEastAsia" w:hAnsiTheme="minorEastAsia" w:eastAsiaTheme="minorEastAsia"/>
                <w:b/>
                <w:bCs/>
                <w:color w:val="000000" w:themeColor="text1"/>
                <w:kern w:val="2"/>
                <w:sz w:val="21"/>
                <w:szCs w:val="21"/>
                <w14:textFill>
                  <w14:solidFill>
                    <w14:schemeClr w14:val="tx1"/>
                  </w14:solidFill>
                </w14:textFill>
              </w:rPr>
              <w:t>依据：</w:t>
            </w:r>
          </w:p>
          <w:p w14:paraId="510328FA">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1.提供上述三项完整内容的得</w:t>
            </w:r>
            <w:r>
              <w:rPr>
                <w:rFonts w:hint="eastAsia" w:cs="宋体" w:asciiTheme="minorEastAsia" w:hAnsiTheme="minorEastAsia"/>
                <w:color w:val="000000" w:themeColor="text1"/>
                <w:kern w:val="2"/>
                <w:sz w:val="21"/>
                <w:szCs w:val="21"/>
                <w:lang w:val="en-US" w:eastAsia="zh-CN"/>
                <w14:textFill>
                  <w14:solidFill>
                    <w14:schemeClr w14:val="tx1"/>
                  </w14:solidFill>
                </w14:textFill>
              </w:rPr>
              <w:t>8</w:t>
            </w:r>
            <w:r>
              <w:rPr>
                <w:rFonts w:hint="eastAsia" w:cs="宋体" w:asciiTheme="minorEastAsia" w:hAnsiTheme="minorEastAsia" w:eastAsiaTheme="minorEastAsia"/>
                <w:color w:val="000000" w:themeColor="text1"/>
                <w:kern w:val="2"/>
                <w:sz w:val="21"/>
                <w:szCs w:val="21"/>
                <w14:textFill>
                  <w14:solidFill>
                    <w14:schemeClr w14:val="tx1"/>
                  </w14:solidFill>
                </w14:textFill>
              </w:rPr>
              <w:t>分，二项内容的得</w:t>
            </w:r>
            <w:r>
              <w:rPr>
                <w:rFonts w:hint="eastAsia" w:cs="宋体" w:asciiTheme="minorEastAsia" w:hAnsiTheme="minorEastAsia"/>
                <w:color w:val="000000" w:themeColor="text1"/>
                <w:kern w:val="2"/>
                <w:sz w:val="21"/>
                <w:szCs w:val="21"/>
                <w:lang w:val="en-US" w:eastAsia="zh-CN"/>
                <w14:textFill>
                  <w14:solidFill>
                    <w14:schemeClr w14:val="tx1"/>
                  </w14:solidFill>
                </w14:textFill>
              </w:rPr>
              <w:t>5</w:t>
            </w:r>
            <w:r>
              <w:rPr>
                <w:rFonts w:hint="eastAsia" w:cs="宋体" w:asciiTheme="minorEastAsia" w:hAnsiTheme="minorEastAsia" w:eastAsiaTheme="minorEastAsia"/>
                <w:color w:val="000000" w:themeColor="text1"/>
                <w:kern w:val="2"/>
                <w:sz w:val="21"/>
                <w:szCs w:val="21"/>
                <w14:textFill>
                  <w14:solidFill>
                    <w14:schemeClr w14:val="tx1"/>
                  </w14:solidFill>
                </w14:textFill>
              </w:rPr>
              <w:t>分；一项内容的得</w:t>
            </w:r>
            <w:r>
              <w:rPr>
                <w:rFonts w:hint="eastAsia" w:cs="宋体" w:asciiTheme="minorEastAsia" w:hAnsiTheme="minorEastAsia"/>
                <w:color w:val="000000" w:themeColor="text1"/>
                <w:kern w:val="2"/>
                <w:sz w:val="21"/>
                <w:szCs w:val="21"/>
                <w:lang w:val="en-US" w:eastAsia="zh-CN"/>
                <w14:textFill>
                  <w14:solidFill>
                    <w14:schemeClr w14:val="tx1"/>
                  </w14:solidFill>
                </w14:textFill>
              </w:rPr>
              <w:t>2</w:t>
            </w:r>
            <w:r>
              <w:rPr>
                <w:rFonts w:hint="eastAsia" w:cs="宋体" w:asciiTheme="minorEastAsia" w:hAnsiTheme="minorEastAsia" w:eastAsiaTheme="minorEastAsia"/>
                <w:color w:val="000000" w:themeColor="text1"/>
                <w:kern w:val="2"/>
                <w:sz w:val="21"/>
                <w:szCs w:val="21"/>
                <w14:textFill>
                  <w14:solidFill>
                    <w14:schemeClr w14:val="tx1"/>
                  </w14:solidFill>
                </w14:textFill>
              </w:rPr>
              <w:t>分；</w:t>
            </w:r>
          </w:p>
          <w:p w14:paraId="1462F6BD">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2.在此基础上，由评审委员进行评价：</w:t>
            </w:r>
          </w:p>
          <w:p w14:paraId="23BF7252">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（1）方案整体科学合理、针对性强、可操作性强，评审为优加</w:t>
            </w:r>
            <w:r>
              <w:rPr>
                <w:rFonts w:hint="eastAsia" w:cs="宋体" w:asciiTheme="minorEastAsia" w:hAnsiTheme="minorEastAsia"/>
                <w:color w:val="000000" w:themeColor="text1"/>
                <w:kern w:val="2"/>
                <w:sz w:val="21"/>
                <w:szCs w:val="21"/>
                <w:lang w:val="en-US" w:eastAsia="zh-CN"/>
                <w14:textFill>
                  <w14:solidFill>
                    <w14:schemeClr w14:val="tx1"/>
                  </w14:solidFill>
                </w14:textFill>
              </w:rPr>
              <w:t>7</w:t>
            </w:r>
            <w:r>
              <w:rPr>
                <w:rFonts w:hint="eastAsia" w:cs="宋体" w:asciiTheme="minorEastAsia" w:hAnsiTheme="minorEastAsia" w:eastAsiaTheme="minorEastAsia"/>
                <w:color w:val="000000" w:themeColor="text1"/>
                <w:kern w:val="2"/>
                <w:sz w:val="21"/>
                <w:szCs w:val="21"/>
                <w14:textFill>
                  <w14:solidFill>
                    <w14:schemeClr w14:val="tx1"/>
                  </w14:solidFill>
                </w14:textFill>
              </w:rPr>
              <w:t>分；</w:t>
            </w:r>
          </w:p>
          <w:p w14:paraId="4B9AA1A5">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（2）方案较合理、有一定针对性、一定可操作性，评审为良加</w:t>
            </w:r>
            <w:r>
              <w:rPr>
                <w:rFonts w:hint="eastAsia" w:cs="宋体" w:asciiTheme="minorEastAsia" w:hAnsiTheme="minorEastAsia"/>
                <w:color w:val="000000" w:themeColor="text1"/>
                <w:kern w:val="2"/>
                <w:sz w:val="21"/>
                <w:szCs w:val="21"/>
                <w:lang w:val="en-US" w:eastAsia="zh-CN"/>
                <w14:textFill>
                  <w14:solidFill>
                    <w14:schemeClr w14:val="tx1"/>
                  </w14:solidFill>
                </w14:textFill>
              </w:rPr>
              <w:t>5</w:t>
            </w:r>
            <w:r>
              <w:rPr>
                <w:rFonts w:hint="eastAsia" w:cs="宋体" w:asciiTheme="minorEastAsia" w:hAnsiTheme="minorEastAsia" w:eastAsiaTheme="minorEastAsia"/>
                <w:color w:val="000000" w:themeColor="text1"/>
                <w:kern w:val="2"/>
                <w:sz w:val="21"/>
                <w:szCs w:val="21"/>
                <w14:textFill>
                  <w14:solidFill>
                    <w14:schemeClr w14:val="tx1"/>
                  </w14:solidFill>
                </w14:textFill>
              </w:rPr>
              <w:t>分；</w:t>
            </w:r>
          </w:p>
          <w:p w14:paraId="676470DB">
            <w:pPr>
              <w:pStyle w:val="17"/>
              <w:keepNext w:val="0"/>
              <w:keepLines w:val="0"/>
              <w:suppressLineNumbers w:val="0"/>
              <w:wordWrap w:val="0"/>
              <w:adjustRightInd w:val="0"/>
              <w:snapToGrid w:val="0"/>
              <w:spacing w:before="0" w:beforeAutospacing="0" w:after="0" w:afterAutospacing="0"/>
              <w:ind w:left="0" w:right="0"/>
              <w:textAlignment w:val="baseline"/>
              <w:rPr>
                <w:rFonts w:hint="default" w:cs="宋体"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（3）方案不尽合理、针对性一般、可操作性一般，评审为中加</w:t>
            </w:r>
            <w:r>
              <w:rPr>
                <w:rFonts w:hint="eastAsia" w:cs="宋体" w:asciiTheme="minorEastAsia" w:hAnsiTheme="minorEastAsia"/>
                <w:color w:val="000000" w:themeColor="text1"/>
                <w:kern w:val="2"/>
                <w:sz w:val="21"/>
                <w:szCs w:val="21"/>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2"/>
                <w:sz w:val="21"/>
                <w:szCs w:val="21"/>
                <w14:textFill>
                  <w14:solidFill>
                    <w14:schemeClr w14:val="tx1"/>
                  </w14:solidFill>
                </w14:textFill>
              </w:rPr>
              <w:t>分；</w:t>
            </w:r>
          </w:p>
          <w:p w14:paraId="68187BEF">
            <w:pPr>
              <w:pStyle w:val="51"/>
              <w:keepNext w:val="0"/>
              <w:keepLines w:val="0"/>
              <w:suppressLineNumbers w:val="0"/>
              <w:snapToGrid w:val="0"/>
              <w:spacing w:before="0" w:beforeAutospacing="0" w:after="0" w:afterAutospacing="0"/>
              <w:ind w:left="0" w:right="0" w:firstLine="0" w:firstLineChars="0"/>
              <w:rPr>
                <w:rFonts w:hint="default"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（4）方案不合理、无针对性、无可操作性，评审为差加1分。</w:t>
            </w:r>
          </w:p>
        </w:tc>
        <w:tc>
          <w:tcPr>
            <w:tcW w:w="1152" w:type="dxa"/>
            <w:tcBorders>
              <w:top w:val="single" w:color="auto" w:sz="4" w:space="0"/>
              <w:left w:val="single" w:color="auto" w:sz="4" w:space="0"/>
              <w:bottom w:val="single" w:color="auto" w:sz="4" w:space="0"/>
              <w:right w:val="single" w:color="auto" w:sz="4" w:space="0"/>
            </w:tcBorders>
            <w:vAlign w:val="center"/>
          </w:tcPr>
          <w:p w14:paraId="0FC7F18E">
            <w:pPr>
              <w:keepNext w:val="0"/>
              <w:keepLines w:val="0"/>
              <w:suppressLineNumbers w:val="0"/>
              <w:snapToGrid w:val="0"/>
              <w:spacing w:before="0" w:beforeAutospacing="0" w:after="0" w:afterAutospacing="0"/>
              <w:ind w:left="0" w:right="0"/>
              <w:jc w:val="center"/>
              <w:rPr>
                <w:rFonts w:hint="eastAsia" w:cs="宋体" w:asciiTheme="minorEastAsia" w:hAnsiTheme="minorEastAsia" w:eastAsiaTheme="minorEastAsia"/>
                <w:color w:val="FF0000"/>
                <w:szCs w:val="21"/>
                <w:lang w:eastAsia="zh-CN"/>
              </w:rPr>
            </w:pPr>
            <w:r>
              <w:rPr>
                <w:rFonts w:hint="eastAsia" w:cs="宋体" w:asciiTheme="minorEastAsia" w:hAnsiTheme="minorEastAsia"/>
                <w:color w:val="000000" w:themeColor="text1"/>
                <w:szCs w:val="21"/>
                <w14:textFill>
                  <w14:solidFill>
                    <w14:schemeClr w14:val="tx1"/>
                  </w14:solidFill>
                </w14:textFill>
              </w:rPr>
              <w:t>1</w:t>
            </w:r>
            <w:r>
              <w:rPr>
                <w:rFonts w:hint="eastAsia" w:cs="宋体" w:asciiTheme="minorEastAsia" w:hAnsiTheme="minorEastAsia"/>
                <w:color w:val="000000" w:themeColor="text1"/>
                <w:szCs w:val="21"/>
                <w:lang w:val="en-US" w:eastAsia="zh-CN"/>
                <w14:textFill>
                  <w14:solidFill>
                    <w14:schemeClr w14:val="tx1"/>
                  </w14:solidFill>
                </w14:textFill>
              </w:rPr>
              <w:t>5</w:t>
            </w:r>
          </w:p>
        </w:tc>
        <w:tc>
          <w:tcPr>
            <w:tcW w:w="1330" w:type="dxa"/>
            <w:tcBorders>
              <w:top w:val="single" w:color="auto" w:sz="4" w:space="0"/>
              <w:left w:val="single" w:color="auto" w:sz="4" w:space="0"/>
              <w:bottom w:val="single" w:color="auto" w:sz="4" w:space="0"/>
              <w:right w:val="single" w:color="auto" w:sz="4" w:space="0"/>
            </w:tcBorders>
            <w:vAlign w:val="center"/>
          </w:tcPr>
          <w:p w14:paraId="048A8571">
            <w:pPr>
              <w:keepNext w:val="0"/>
              <w:keepLines w:val="0"/>
              <w:suppressLineNumbers w:val="0"/>
              <w:snapToGrid w:val="0"/>
              <w:spacing w:before="0" w:beforeAutospacing="0" w:after="0" w:afterAutospacing="0"/>
              <w:ind w:left="0" w:right="0"/>
              <w:jc w:val="center"/>
              <w:rPr>
                <w:rFonts w:hint="eastAsia" w:cs="宋体" w:asciiTheme="minorEastAsia" w:hAnsiTheme="minorEastAsia" w:eastAsiaTheme="minorEastAsia"/>
                <w:color w:val="FF0000"/>
                <w:szCs w:val="21"/>
                <w:lang w:eastAsia="zh-CN"/>
              </w:rPr>
            </w:pPr>
            <w:r>
              <w:rPr>
                <w:rFonts w:hint="eastAsia" w:cs="宋体" w:asciiTheme="minorEastAsia" w:hAnsiTheme="minorEastAsia"/>
                <w:color w:val="000000" w:themeColor="text1"/>
                <w:szCs w:val="21"/>
                <w14:textFill>
                  <w14:solidFill>
                    <w14:schemeClr w14:val="tx1"/>
                  </w14:solidFill>
                </w14:textFill>
              </w:rPr>
              <w:t>1</w:t>
            </w:r>
            <w:r>
              <w:rPr>
                <w:rFonts w:hint="eastAsia" w:cs="宋体" w:asciiTheme="minorEastAsia" w:hAnsiTheme="minorEastAsia"/>
                <w:color w:val="000000" w:themeColor="text1"/>
                <w:szCs w:val="21"/>
                <w:lang w:val="en-US" w:eastAsia="zh-CN"/>
                <w14:textFill>
                  <w14:solidFill>
                    <w14:schemeClr w14:val="tx1"/>
                  </w14:solidFill>
                </w14:textFill>
              </w:rPr>
              <w:t>5</w:t>
            </w:r>
          </w:p>
        </w:tc>
      </w:tr>
      <w:tr w14:paraId="4970ED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79ADD357">
            <w:pPr>
              <w:pStyle w:val="51"/>
              <w:keepNext w:val="0"/>
              <w:keepLines w:val="0"/>
              <w:numPr>
                <w:ilvl w:val="0"/>
                <w:numId w:val="2"/>
              </w:numPr>
              <w:suppressLineNumbers w:val="0"/>
              <w:spacing w:before="0" w:beforeAutospacing="0" w:after="0" w:afterAutospacing="0"/>
              <w:ind w:left="0" w:right="0" w:firstLine="0" w:firstLineChars="0"/>
              <w:jc w:val="right"/>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7F2A68F8">
            <w:pPr>
              <w:keepNext w:val="0"/>
              <w:keepLines w:val="0"/>
              <w:suppressLineNumbers w:val="0"/>
              <w:snapToGrid w:val="0"/>
              <w:spacing w:before="0" w:beforeAutospacing="0" w:after="0" w:afterAutospacing="0"/>
              <w:ind w:left="0" w:right="0"/>
              <w:jc w:val="center"/>
              <w:rPr>
                <w:rFonts w:hint="eastAsia" w:cs="宋体" w:asciiTheme="minorEastAsia" w:hAnsiTheme="minorEastAsia"/>
                <w:color w:val="FF0000"/>
                <w:szCs w:val="21"/>
              </w:rPr>
            </w:pPr>
            <w:r>
              <w:rPr>
                <w:rFonts w:hint="default"/>
                <w:color w:val="FF0000"/>
                <w:spacing w:val="-4"/>
              </w:rPr>
              <w:t>需求响应情况</w:t>
            </w:r>
          </w:p>
        </w:tc>
        <w:tc>
          <w:tcPr>
            <w:tcW w:w="2545" w:type="pct"/>
            <w:tcBorders>
              <w:top w:val="single" w:color="auto" w:sz="4" w:space="0"/>
              <w:left w:val="single" w:color="auto" w:sz="4" w:space="0"/>
              <w:bottom w:val="single" w:color="auto" w:sz="4" w:space="0"/>
              <w:right w:val="single" w:color="auto" w:sz="4" w:space="0"/>
            </w:tcBorders>
            <w:vAlign w:val="center"/>
          </w:tcPr>
          <w:p w14:paraId="7070B784">
            <w:pPr>
              <w:pStyle w:val="17"/>
              <w:keepNext w:val="0"/>
              <w:keepLines w:val="0"/>
              <w:numPr>
                <w:ilvl w:val="0"/>
                <w:numId w:val="3"/>
              </w:numPr>
              <w:suppressLineNumbers w:val="0"/>
              <w:wordWrap w:val="0"/>
              <w:adjustRightInd w:val="0"/>
              <w:snapToGrid w:val="0"/>
              <w:spacing w:before="0" w:beforeAutospacing="0" w:after="0" w:afterAutospacing="0"/>
              <w:ind w:left="0" w:right="0"/>
              <w:textAlignment w:val="baseline"/>
              <w:rPr>
                <w:rFonts w:hint="eastAsia" w:cs="宋体" w:asciiTheme="minorEastAsia" w:hAnsiTheme="minorEastAsia" w:eastAsiaTheme="minorEastAsia"/>
                <w:b/>
                <w:bCs/>
                <w:color w:val="FF0000"/>
                <w:kern w:val="2"/>
                <w:sz w:val="21"/>
                <w:szCs w:val="21"/>
              </w:rPr>
            </w:pPr>
            <w:r>
              <w:rPr>
                <w:rFonts w:hint="eastAsia" w:cs="宋体" w:asciiTheme="minorEastAsia" w:hAnsiTheme="minorEastAsia" w:eastAsiaTheme="minorEastAsia"/>
                <w:b/>
                <w:bCs/>
                <w:color w:val="FF0000"/>
                <w:kern w:val="2"/>
                <w:sz w:val="21"/>
                <w:szCs w:val="21"/>
              </w:rPr>
              <w:t>评</w:t>
            </w:r>
            <w:r>
              <w:rPr>
                <w:rFonts w:hint="eastAsia" w:cs="宋体" w:asciiTheme="minorEastAsia" w:hAnsiTheme="minorEastAsia" w:eastAsiaTheme="minorEastAsia"/>
                <w:b/>
                <w:bCs/>
                <w:color w:val="FF0000"/>
                <w:sz w:val="21"/>
                <w:szCs w:val="21"/>
              </w:rPr>
              <w:t>审</w:t>
            </w:r>
            <w:r>
              <w:rPr>
                <w:rFonts w:hint="eastAsia" w:cs="宋体" w:asciiTheme="minorEastAsia" w:hAnsiTheme="minorEastAsia" w:eastAsiaTheme="minorEastAsia"/>
                <w:b/>
                <w:bCs/>
                <w:color w:val="FF0000"/>
                <w:kern w:val="2"/>
                <w:sz w:val="21"/>
                <w:szCs w:val="21"/>
              </w:rPr>
              <w:t>内容：</w:t>
            </w:r>
          </w:p>
          <w:p w14:paraId="40F4CD12">
            <w:pPr>
              <w:pStyle w:val="51"/>
              <w:keepNext w:val="0"/>
              <w:keepLines w:val="0"/>
              <w:suppressLineNumbers w:val="0"/>
              <w:snapToGrid w:val="0"/>
              <w:spacing w:before="0" w:beforeAutospacing="0" w:after="0" w:afterAutospacing="0"/>
              <w:ind w:left="0" w:right="0" w:firstLine="0" w:firstLineChars="0"/>
              <w:rPr>
                <w:rFonts w:hint="eastAsia" w:cs="宋体" w:asciiTheme="minorEastAsia" w:hAnsiTheme="minorEastAsia" w:eastAsiaTheme="minorEastAsia"/>
                <w:color w:val="FF0000"/>
                <w:lang w:eastAsia="zh-CN"/>
              </w:rPr>
            </w:pPr>
            <w:r>
              <w:rPr>
                <w:rFonts w:hint="eastAsia" w:cs="宋体" w:asciiTheme="minorEastAsia" w:hAnsiTheme="minorEastAsia" w:eastAsiaTheme="minorEastAsia"/>
                <w:color w:val="FF0000"/>
              </w:rPr>
              <w:t>根据投标人对招标文件</w:t>
            </w:r>
            <w:r>
              <w:rPr>
                <w:rFonts w:hint="eastAsia" w:cs="宋体" w:asciiTheme="minorEastAsia" w:hAnsiTheme="minorEastAsia" w:eastAsiaTheme="minorEastAsia"/>
                <w:color w:val="FF0000"/>
                <w:lang w:val="en-US" w:eastAsia="zh-CN"/>
              </w:rPr>
              <w:t>中技术服务要求</w:t>
            </w:r>
            <w:r>
              <w:rPr>
                <w:rFonts w:hint="eastAsia" w:cs="宋体" w:asciiTheme="minorEastAsia" w:hAnsiTheme="minorEastAsia" w:eastAsiaTheme="minorEastAsia"/>
                <w:color w:val="FF0000"/>
              </w:rPr>
              <w:t>的响应情况评审</w:t>
            </w:r>
            <w:r>
              <w:rPr>
                <w:rFonts w:hint="eastAsia" w:cs="宋体" w:asciiTheme="minorEastAsia" w:hAnsiTheme="minorEastAsia" w:eastAsiaTheme="minorEastAsia"/>
                <w:color w:val="FF0000"/>
                <w:lang w:eastAsia="zh-CN"/>
              </w:rPr>
              <w:t>。</w:t>
            </w:r>
          </w:p>
          <w:p w14:paraId="560882D1">
            <w:pPr>
              <w:pStyle w:val="51"/>
              <w:keepNext w:val="0"/>
              <w:keepLines w:val="0"/>
              <w:numPr>
                <w:ilvl w:val="0"/>
                <w:numId w:val="0"/>
              </w:numPr>
              <w:suppressLineNumbers w:val="0"/>
              <w:snapToGrid w:val="0"/>
              <w:spacing w:before="0" w:beforeAutospacing="0" w:after="0" w:afterAutospacing="0"/>
              <w:ind w:left="0" w:leftChars="0" w:right="0" w:rightChars="0"/>
              <w:rPr>
                <w:rFonts w:hint="eastAsia" w:cs="宋体" w:asciiTheme="minorEastAsia" w:hAnsiTheme="minorEastAsia" w:eastAsiaTheme="minorEastAsia"/>
                <w:color w:val="FF0000"/>
                <w:lang w:val="en-US" w:eastAsia="zh-CN"/>
              </w:rPr>
            </w:pPr>
            <w:r>
              <w:rPr>
                <w:rFonts w:hint="eastAsia" w:cs="宋体" w:asciiTheme="minorEastAsia" w:hAnsiTheme="minorEastAsia" w:eastAsiaTheme="minorEastAsia"/>
                <w:color w:val="FF0000"/>
                <w:lang w:val="en-US" w:eastAsia="zh-CN"/>
              </w:rPr>
              <w:t>1.投标产品技术参数优于招标文件该项技术要求，技术指标高于招标规定，能够更好满足项目使用需求，视为“正偏离”；</w:t>
            </w:r>
          </w:p>
          <w:p w14:paraId="405A23E3">
            <w:pPr>
              <w:pStyle w:val="51"/>
              <w:keepNext w:val="0"/>
              <w:keepLines w:val="0"/>
              <w:numPr>
                <w:ilvl w:val="0"/>
                <w:numId w:val="0"/>
              </w:numPr>
              <w:suppressLineNumbers w:val="0"/>
              <w:snapToGrid w:val="0"/>
              <w:spacing w:before="0" w:beforeAutospacing="0" w:after="0" w:afterAutospacing="0"/>
              <w:ind w:left="0" w:leftChars="0" w:right="0" w:rightChars="0"/>
              <w:rPr>
                <w:rFonts w:hint="default" w:cs="宋体" w:asciiTheme="minorEastAsia" w:hAnsiTheme="minorEastAsia" w:eastAsiaTheme="minorEastAsia"/>
                <w:color w:val="FF0000"/>
                <w:lang w:val="en-US" w:eastAsia="zh-CN"/>
              </w:rPr>
            </w:pPr>
            <w:r>
              <w:rPr>
                <w:rFonts w:hint="eastAsia" w:cs="宋体" w:asciiTheme="minorEastAsia" w:hAnsiTheme="minorEastAsia" w:eastAsiaTheme="minorEastAsia"/>
                <w:color w:val="FF0000"/>
                <w:lang w:val="en-US" w:eastAsia="zh-CN"/>
              </w:rPr>
              <w:t>2.投标产品技术参数完全满足招标文件该项技术要求，技术指标与招标要求一致，不存在优于或低于招标要求的情形，</w:t>
            </w:r>
            <w:r>
              <w:rPr>
                <w:rFonts w:hint="eastAsia" w:cs="宋体" w:asciiTheme="minorEastAsia" w:hAnsiTheme="minorEastAsia" w:eastAsiaTheme="minorEastAsia"/>
                <w:color w:val="FF0000"/>
              </w:rPr>
              <w:t>视为</w:t>
            </w:r>
            <w:r>
              <w:rPr>
                <w:rFonts w:hint="eastAsia" w:cs="宋体" w:asciiTheme="minorEastAsia" w:hAnsiTheme="minorEastAsia" w:eastAsiaTheme="minorEastAsia"/>
                <w:color w:val="FF0000"/>
                <w:lang w:val="en-US" w:eastAsia="zh-CN"/>
              </w:rPr>
              <w:t>“无偏离”；</w:t>
            </w:r>
          </w:p>
          <w:p w14:paraId="6F6607C1">
            <w:pPr>
              <w:pStyle w:val="51"/>
              <w:keepNext w:val="0"/>
              <w:keepLines w:val="0"/>
              <w:numPr>
                <w:ilvl w:val="0"/>
                <w:numId w:val="0"/>
              </w:numPr>
              <w:suppressLineNumbers w:val="0"/>
              <w:snapToGrid w:val="0"/>
              <w:spacing w:before="0" w:beforeAutospacing="0" w:after="0" w:afterAutospacing="0"/>
              <w:ind w:left="0" w:leftChars="0" w:right="0" w:rightChars="0"/>
              <w:rPr>
                <w:rFonts w:hint="default" w:cs="宋体" w:asciiTheme="minorEastAsia" w:hAnsiTheme="minorEastAsia" w:eastAsiaTheme="minorEastAsia"/>
                <w:color w:val="FF0000"/>
                <w:lang w:val="en-US" w:eastAsia="zh-CN"/>
              </w:rPr>
            </w:pPr>
            <w:r>
              <w:rPr>
                <w:rFonts w:hint="eastAsia" w:cs="宋体" w:asciiTheme="minorEastAsia" w:hAnsiTheme="minorEastAsia" w:eastAsiaTheme="minorEastAsia"/>
                <w:color w:val="FF0000"/>
                <w:lang w:val="en-US" w:eastAsia="zh-CN"/>
              </w:rPr>
              <w:t>3.投标产品技术参数不满足招标文件该项技术要求，</w:t>
            </w:r>
            <w:r>
              <w:rPr>
                <w:rFonts w:hint="eastAsia" w:cs="宋体" w:asciiTheme="minorEastAsia" w:hAnsiTheme="minorEastAsia" w:eastAsiaTheme="minorEastAsia"/>
                <w:color w:val="FF0000"/>
              </w:rPr>
              <w:t>有缺漏或未响应</w:t>
            </w:r>
            <w:r>
              <w:rPr>
                <w:rFonts w:hint="eastAsia" w:cs="宋体" w:asciiTheme="minorEastAsia" w:hAnsiTheme="minorEastAsia" w:eastAsiaTheme="minorEastAsia"/>
                <w:color w:val="FF0000"/>
                <w:lang w:val="en-US" w:eastAsia="zh-CN"/>
              </w:rPr>
              <w:t>情况，</w:t>
            </w:r>
            <w:r>
              <w:rPr>
                <w:rFonts w:hint="eastAsia" w:cs="宋体" w:asciiTheme="minorEastAsia" w:hAnsiTheme="minorEastAsia" w:eastAsiaTheme="minorEastAsia"/>
                <w:color w:val="FF0000"/>
              </w:rPr>
              <w:t>视为</w:t>
            </w:r>
            <w:r>
              <w:rPr>
                <w:rFonts w:hint="eastAsia" w:cs="宋体" w:asciiTheme="minorEastAsia" w:hAnsiTheme="minorEastAsia" w:eastAsiaTheme="minorEastAsia"/>
                <w:color w:val="FF0000"/>
                <w:lang w:val="en-US" w:eastAsia="zh-CN"/>
              </w:rPr>
              <w:t>“负偏离”。</w:t>
            </w:r>
          </w:p>
          <w:p w14:paraId="5C7FA320">
            <w:pPr>
              <w:pStyle w:val="17"/>
              <w:keepNext w:val="0"/>
              <w:keepLines w:val="0"/>
              <w:suppressLineNumbers w:val="0"/>
              <w:wordWrap w:val="0"/>
              <w:adjustRightInd w:val="0"/>
              <w:snapToGrid w:val="0"/>
              <w:spacing w:before="0" w:beforeAutospacing="0" w:after="0" w:afterAutospacing="0"/>
              <w:ind w:left="0" w:right="0"/>
              <w:textAlignment w:val="baseline"/>
              <w:rPr>
                <w:rFonts w:hint="eastAsia" w:cs="宋体" w:asciiTheme="minorEastAsia" w:hAnsiTheme="minorEastAsia" w:eastAsiaTheme="minorEastAsia"/>
                <w:b/>
                <w:bCs/>
                <w:color w:val="FF0000"/>
                <w:kern w:val="2"/>
                <w:sz w:val="21"/>
                <w:szCs w:val="21"/>
              </w:rPr>
            </w:pPr>
            <w:r>
              <w:rPr>
                <w:rFonts w:hint="eastAsia" w:cs="宋体" w:asciiTheme="minorEastAsia" w:hAnsiTheme="minorEastAsia" w:eastAsiaTheme="minorEastAsia"/>
                <w:b/>
                <w:bCs/>
                <w:color w:val="FF0000"/>
                <w:kern w:val="2"/>
                <w:sz w:val="21"/>
                <w:szCs w:val="21"/>
              </w:rPr>
              <w:t>（二）评</w:t>
            </w:r>
            <w:r>
              <w:rPr>
                <w:rFonts w:hint="eastAsia" w:cs="宋体" w:asciiTheme="minorEastAsia" w:hAnsiTheme="minorEastAsia" w:eastAsiaTheme="minorEastAsia"/>
                <w:b/>
                <w:bCs/>
                <w:color w:val="FF0000"/>
                <w:sz w:val="21"/>
                <w:szCs w:val="21"/>
              </w:rPr>
              <w:t>审</w:t>
            </w:r>
            <w:r>
              <w:rPr>
                <w:rFonts w:hint="eastAsia" w:cs="宋体" w:asciiTheme="minorEastAsia" w:hAnsiTheme="minorEastAsia" w:eastAsiaTheme="minorEastAsia"/>
                <w:b/>
                <w:bCs/>
                <w:color w:val="FF0000"/>
                <w:kern w:val="2"/>
                <w:sz w:val="21"/>
                <w:szCs w:val="21"/>
              </w:rPr>
              <w:t>依据：</w:t>
            </w:r>
          </w:p>
          <w:p w14:paraId="517CDE4B">
            <w:pPr>
              <w:pStyle w:val="51"/>
              <w:keepNext w:val="0"/>
              <w:keepLines w:val="0"/>
              <w:numPr>
                <w:ilvl w:val="0"/>
                <w:numId w:val="0"/>
              </w:numPr>
              <w:suppressLineNumbers w:val="0"/>
              <w:snapToGrid w:val="0"/>
              <w:spacing w:before="0" w:beforeAutospacing="0" w:after="0" w:afterAutospacing="0"/>
              <w:ind w:left="0" w:leftChars="0" w:right="0" w:rightChars="0"/>
              <w:rPr>
                <w:rFonts w:hint="eastAsia" w:cs="宋体" w:asciiTheme="minorEastAsia" w:hAnsiTheme="minorEastAsia" w:eastAsiaTheme="minorEastAsia"/>
                <w:color w:val="FF0000"/>
                <w:kern w:val="2"/>
                <w:sz w:val="21"/>
                <w:szCs w:val="21"/>
                <w:lang w:val="en-US" w:eastAsia="zh-CN" w:bidi="ar-SA"/>
              </w:rPr>
            </w:pPr>
            <w:r>
              <w:rPr>
                <w:rFonts w:hint="eastAsia" w:cs="宋体" w:asciiTheme="minorEastAsia" w:hAnsiTheme="minorEastAsia" w:eastAsiaTheme="minorEastAsia"/>
                <w:color w:val="FF0000"/>
                <w:kern w:val="2"/>
                <w:sz w:val="21"/>
                <w:szCs w:val="21"/>
                <w:lang w:val="en-US" w:eastAsia="zh-CN" w:bidi="ar-SA"/>
              </w:rPr>
              <w:t>1.投标产品技术参数全部为无偏离的，得4分；存在负偏离的，每项扣1分，本项最高扣4分，扣至0分为止。</w:t>
            </w:r>
          </w:p>
          <w:p w14:paraId="00165847">
            <w:pPr>
              <w:pStyle w:val="51"/>
              <w:keepNext w:val="0"/>
              <w:keepLines w:val="0"/>
              <w:numPr>
                <w:ilvl w:val="0"/>
                <w:numId w:val="0"/>
              </w:numPr>
              <w:suppressLineNumbers w:val="0"/>
              <w:snapToGrid w:val="0"/>
              <w:spacing w:before="0" w:beforeAutospacing="0" w:after="0" w:afterAutospacing="0"/>
              <w:ind w:left="0" w:leftChars="0" w:right="0" w:rightChars="0"/>
              <w:rPr>
                <w:rFonts w:hint="eastAsia" w:cs="宋体" w:asciiTheme="minorEastAsia" w:hAnsiTheme="minorEastAsia" w:eastAsiaTheme="minorEastAsia"/>
                <w:color w:val="FF0000"/>
                <w:kern w:val="2"/>
                <w:sz w:val="21"/>
                <w:szCs w:val="21"/>
              </w:rPr>
            </w:pPr>
            <w:r>
              <w:rPr>
                <w:rFonts w:hint="eastAsia" w:cs="宋体" w:asciiTheme="minorEastAsia" w:hAnsiTheme="minorEastAsia" w:eastAsiaTheme="minorEastAsia"/>
                <w:color w:val="FF0000"/>
                <w:kern w:val="2"/>
                <w:sz w:val="21"/>
                <w:szCs w:val="21"/>
                <w:lang w:val="en-US" w:eastAsia="zh-CN" w:bidi="ar-SA"/>
              </w:rPr>
              <w:t>2.在此基础上，</w:t>
            </w:r>
            <w:r>
              <w:rPr>
                <w:rFonts w:hint="eastAsia" w:cs="宋体" w:asciiTheme="minorEastAsia" w:hAnsiTheme="minorEastAsia" w:eastAsiaTheme="minorEastAsia"/>
                <w:color w:val="FF0000"/>
                <w:kern w:val="2"/>
                <w:sz w:val="21"/>
                <w:szCs w:val="21"/>
              </w:rPr>
              <w:t>由评审委员进行评价：</w:t>
            </w:r>
          </w:p>
          <w:p w14:paraId="0A3D7167">
            <w:pPr>
              <w:pStyle w:val="51"/>
              <w:keepNext w:val="0"/>
              <w:keepLines w:val="0"/>
              <w:numPr>
                <w:ilvl w:val="0"/>
                <w:numId w:val="0"/>
              </w:numPr>
              <w:suppressLineNumbers w:val="0"/>
              <w:snapToGrid w:val="0"/>
              <w:spacing w:before="0" w:beforeAutospacing="0" w:after="0" w:afterAutospacing="0"/>
              <w:ind w:left="0" w:leftChars="0" w:right="0" w:rightChars="0"/>
              <w:rPr>
                <w:rFonts w:hint="eastAsia" w:cs="宋体" w:asciiTheme="minorEastAsia" w:hAnsiTheme="minorEastAsia" w:eastAsiaTheme="minorEastAsia"/>
                <w:color w:val="FF0000"/>
                <w:lang w:eastAsia="zh-CN"/>
              </w:rPr>
            </w:pPr>
            <w:r>
              <w:rPr>
                <w:rFonts w:hint="eastAsia" w:cs="宋体" w:asciiTheme="minorEastAsia" w:hAnsiTheme="minorEastAsia" w:eastAsiaTheme="minorEastAsia"/>
                <w:color w:val="FF0000"/>
                <w:kern w:val="2"/>
                <w:sz w:val="21"/>
                <w:szCs w:val="21"/>
                <w:lang w:eastAsia="zh-CN"/>
              </w:rPr>
              <w:t>（</w:t>
            </w:r>
            <w:r>
              <w:rPr>
                <w:rFonts w:hint="eastAsia" w:cs="宋体" w:asciiTheme="minorEastAsia" w:hAnsiTheme="minorEastAsia" w:eastAsiaTheme="minorEastAsia"/>
                <w:color w:val="FF0000"/>
                <w:kern w:val="2"/>
                <w:sz w:val="21"/>
                <w:szCs w:val="21"/>
                <w:lang w:val="en-US" w:eastAsia="zh-CN"/>
              </w:rPr>
              <w:t>1</w:t>
            </w:r>
            <w:r>
              <w:rPr>
                <w:rFonts w:hint="eastAsia" w:cs="宋体" w:asciiTheme="minorEastAsia" w:hAnsiTheme="minorEastAsia" w:eastAsiaTheme="minorEastAsia"/>
                <w:color w:val="FF0000"/>
                <w:kern w:val="2"/>
                <w:sz w:val="21"/>
                <w:szCs w:val="21"/>
                <w:lang w:eastAsia="zh-CN"/>
              </w:rPr>
              <w:t>）</w:t>
            </w:r>
            <w:r>
              <w:rPr>
                <w:rFonts w:hint="eastAsia" w:cs="宋体" w:asciiTheme="minorEastAsia" w:hAnsiTheme="minorEastAsia" w:eastAsiaTheme="minorEastAsia"/>
                <w:color w:val="FF0000"/>
              </w:rPr>
              <w:t>本项目带“▲”的重要技术条款共计</w:t>
            </w:r>
            <w:r>
              <w:rPr>
                <w:rFonts w:hint="eastAsia" w:cs="宋体" w:asciiTheme="minorEastAsia" w:hAnsiTheme="minorEastAsia" w:eastAsiaTheme="minorEastAsia"/>
                <w:color w:val="FF0000"/>
                <w:lang w:val="en-US" w:eastAsia="zh-CN"/>
              </w:rPr>
              <w:t>6</w:t>
            </w:r>
            <w:r>
              <w:rPr>
                <w:rFonts w:hint="eastAsia" w:cs="宋体" w:asciiTheme="minorEastAsia" w:hAnsiTheme="minorEastAsia" w:eastAsiaTheme="minorEastAsia"/>
                <w:color w:val="FF0000"/>
              </w:rPr>
              <w:t>项，</w:t>
            </w:r>
            <w:r>
              <w:rPr>
                <w:rFonts w:hint="eastAsia" w:cs="宋体" w:asciiTheme="minorEastAsia" w:hAnsiTheme="minorEastAsia" w:eastAsiaTheme="minorEastAsia"/>
                <w:color w:val="FF0000"/>
                <w:lang w:val="en-US" w:eastAsia="zh-CN"/>
              </w:rPr>
              <w:t>每1项</w:t>
            </w:r>
            <w:r>
              <w:rPr>
                <w:rFonts w:hint="eastAsia" w:cs="宋体" w:asciiTheme="minorEastAsia" w:hAnsiTheme="minorEastAsia" w:eastAsiaTheme="minorEastAsia"/>
                <w:color w:val="FF0000"/>
              </w:rPr>
              <w:t>评审为</w:t>
            </w:r>
            <w:r>
              <w:rPr>
                <w:rFonts w:hint="eastAsia" w:cs="宋体" w:asciiTheme="minorEastAsia" w:hAnsiTheme="minorEastAsia" w:eastAsiaTheme="minorEastAsia"/>
                <w:color w:val="FF0000"/>
                <w:lang w:val="en-US" w:eastAsia="zh-CN"/>
              </w:rPr>
              <w:t>正偏离</w:t>
            </w:r>
            <w:r>
              <w:rPr>
                <w:rFonts w:hint="eastAsia" w:cs="宋体" w:asciiTheme="minorEastAsia" w:hAnsiTheme="minorEastAsia" w:eastAsiaTheme="minorEastAsia"/>
                <w:color w:val="FF0000"/>
              </w:rPr>
              <w:t>加</w:t>
            </w:r>
            <w:r>
              <w:rPr>
                <w:rFonts w:hint="eastAsia" w:cs="宋体" w:asciiTheme="minorEastAsia" w:hAnsiTheme="minorEastAsia" w:eastAsiaTheme="minorEastAsia"/>
                <w:color w:val="FF0000"/>
                <w:lang w:val="en-US" w:eastAsia="zh-CN"/>
              </w:rPr>
              <w:t>1</w:t>
            </w:r>
            <w:r>
              <w:rPr>
                <w:rFonts w:hint="eastAsia" w:cs="宋体" w:asciiTheme="minorEastAsia" w:hAnsiTheme="minorEastAsia" w:eastAsiaTheme="minorEastAsia"/>
                <w:color w:val="FF0000"/>
              </w:rPr>
              <w:t>分</w:t>
            </w:r>
            <w:r>
              <w:rPr>
                <w:rFonts w:hint="eastAsia" w:cs="宋体" w:asciiTheme="minorEastAsia" w:hAnsiTheme="minorEastAsia" w:eastAsiaTheme="minorEastAsia"/>
                <w:color w:val="FF0000"/>
                <w:lang w:eastAsia="zh-CN"/>
              </w:rPr>
              <w:t>，</w:t>
            </w:r>
            <w:r>
              <w:rPr>
                <w:rFonts w:hint="eastAsia" w:cs="宋体" w:asciiTheme="minorEastAsia" w:hAnsiTheme="minorEastAsia" w:eastAsiaTheme="minorEastAsia"/>
                <w:color w:val="FF0000"/>
                <w:lang w:val="en-US" w:eastAsia="zh-CN"/>
              </w:rPr>
              <w:t>最高加6分。</w:t>
            </w:r>
          </w:p>
        </w:tc>
        <w:tc>
          <w:tcPr>
            <w:tcW w:w="628" w:type="pct"/>
            <w:tcBorders>
              <w:top w:val="single" w:color="auto" w:sz="4" w:space="0"/>
              <w:left w:val="single" w:color="auto" w:sz="4" w:space="0"/>
              <w:bottom w:val="single" w:color="auto" w:sz="4" w:space="0"/>
              <w:right w:val="single" w:color="auto" w:sz="4" w:space="0"/>
            </w:tcBorders>
            <w:vAlign w:val="center"/>
          </w:tcPr>
          <w:p w14:paraId="52C2F3AF">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c>
          <w:tcPr>
            <w:tcW w:w="725" w:type="pct"/>
            <w:tcBorders>
              <w:top w:val="single" w:color="auto" w:sz="4" w:space="0"/>
              <w:left w:val="single" w:color="auto" w:sz="4" w:space="0"/>
              <w:bottom w:val="single" w:color="auto" w:sz="4" w:space="0"/>
              <w:right w:val="single" w:color="auto" w:sz="4" w:space="0"/>
            </w:tcBorders>
            <w:vAlign w:val="center"/>
          </w:tcPr>
          <w:p w14:paraId="3E1FA9BD">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r>
      <w:tr w14:paraId="5FAA94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7" w:hRule="atLeast"/>
        </w:trPr>
        <w:tc>
          <w:tcPr>
            <w:tcW w:w="424" w:type="pct"/>
            <w:tcBorders>
              <w:top w:val="single" w:color="auto" w:sz="4" w:space="0"/>
              <w:left w:val="single" w:color="auto" w:sz="4" w:space="0"/>
              <w:bottom w:val="single" w:color="auto" w:sz="4" w:space="0"/>
              <w:right w:val="single" w:color="auto" w:sz="4" w:space="0"/>
            </w:tcBorders>
            <w:vAlign w:val="center"/>
          </w:tcPr>
          <w:p w14:paraId="67210156">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二</w:t>
            </w:r>
          </w:p>
        </w:tc>
        <w:tc>
          <w:tcPr>
            <w:tcW w:w="4575" w:type="pct"/>
            <w:gridSpan w:val="4"/>
            <w:tcBorders>
              <w:top w:val="single" w:color="auto" w:sz="4" w:space="0"/>
              <w:left w:val="single" w:color="auto" w:sz="4" w:space="0"/>
              <w:bottom w:val="single" w:color="auto" w:sz="4" w:space="0"/>
              <w:right w:val="single" w:color="auto" w:sz="4" w:space="0"/>
            </w:tcBorders>
            <w:vAlign w:val="center"/>
          </w:tcPr>
          <w:p w14:paraId="783D386D">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FF0000"/>
                <w:szCs w:val="21"/>
              </w:rPr>
              <w:t>商务部分（4</w:t>
            </w:r>
            <w:r>
              <w:rPr>
                <w:rFonts w:hint="eastAsia" w:cs="宋体" w:asciiTheme="minorEastAsia" w:hAnsiTheme="minorEastAsia"/>
                <w:b/>
                <w:color w:val="FF0000"/>
                <w:szCs w:val="21"/>
                <w:lang w:val="en-US" w:eastAsia="zh-CN"/>
              </w:rPr>
              <w:t>0</w:t>
            </w:r>
            <w:r>
              <w:rPr>
                <w:rFonts w:hint="eastAsia" w:cs="宋体" w:asciiTheme="minorEastAsia" w:hAnsiTheme="minorEastAsia"/>
                <w:b/>
                <w:color w:val="FF0000"/>
                <w:szCs w:val="21"/>
              </w:rPr>
              <w:t>分）</w:t>
            </w:r>
          </w:p>
        </w:tc>
      </w:tr>
      <w:tr w14:paraId="05E483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2E200E28">
            <w:pPr>
              <w:pStyle w:val="51"/>
              <w:keepNext w:val="0"/>
              <w:keepLines w:val="0"/>
              <w:numPr>
                <w:ilvl w:val="0"/>
                <w:numId w:val="4"/>
              </w:numPr>
              <w:suppressLineNumbers w:val="0"/>
              <w:spacing w:before="0" w:beforeAutospacing="0" w:after="0" w:afterAutospacing="0"/>
              <w:ind w:left="0" w:right="0" w:firstLine="0" w:firstLineChars="0"/>
              <w:jc w:val="center"/>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1ECBE801">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拟安排的项目负责人情况（仅限一人）</w:t>
            </w:r>
          </w:p>
        </w:tc>
        <w:tc>
          <w:tcPr>
            <w:tcW w:w="2545" w:type="pct"/>
            <w:tcBorders>
              <w:top w:val="single" w:color="auto" w:sz="4" w:space="0"/>
              <w:left w:val="single" w:color="auto" w:sz="4" w:space="0"/>
              <w:bottom w:val="single" w:color="auto" w:sz="4" w:space="0"/>
              <w:right w:val="single" w:color="auto" w:sz="4" w:space="0"/>
            </w:tcBorders>
            <w:vAlign w:val="center"/>
          </w:tcPr>
          <w:p w14:paraId="0F902F2E">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（一）评审标准：</w:t>
            </w:r>
          </w:p>
          <w:p w14:paraId="296EAFC2">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拟安排的项目负责人（仅限1人）</w:t>
            </w:r>
            <w:r>
              <w:rPr>
                <w:rFonts w:hint="eastAsia" w:cs="宋体" w:asciiTheme="minorEastAsia" w:hAnsiTheme="minorEastAsia"/>
                <w:color w:val="000000" w:themeColor="text1"/>
                <w:szCs w:val="21"/>
                <w:highlight w:val="none"/>
                <w14:textFill>
                  <w14:solidFill>
                    <w14:schemeClr w14:val="tx1"/>
                  </w14:solidFill>
                </w14:textFill>
              </w:rPr>
              <w:t>需为投标人正式</w:t>
            </w:r>
            <w:r>
              <w:rPr>
                <w:rFonts w:hint="eastAsia" w:cs="宋体" w:asciiTheme="minorEastAsia" w:hAnsiTheme="minorEastAsia"/>
                <w:bCs/>
                <w:color w:val="000000" w:themeColor="text1"/>
                <w:szCs w:val="21"/>
                <w:highlight w:val="none"/>
                <w14:textFill>
                  <w14:solidFill>
                    <w14:schemeClr w14:val="tx1"/>
                  </w14:solidFill>
                </w14:textFill>
              </w:rPr>
              <w:t>聘任</w:t>
            </w:r>
            <w:r>
              <w:rPr>
                <w:rFonts w:hint="eastAsia" w:cs="宋体" w:asciiTheme="minorEastAsia" w:hAnsiTheme="minorEastAsia"/>
                <w:color w:val="000000" w:themeColor="text1"/>
                <w:szCs w:val="21"/>
                <w:highlight w:val="none"/>
                <w14:textFill>
                  <w14:solidFill>
                    <w14:schemeClr w14:val="tx1"/>
                  </w14:solidFill>
                </w14:textFill>
              </w:rPr>
              <w:t>员工（</w:t>
            </w:r>
            <w:r>
              <w:rPr>
                <w:rFonts w:hint="eastAsia" w:cs="宋体" w:asciiTheme="minorEastAsia" w:hAnsiTheme="minorEastAsia"/>
                <w:bCs/>
                <w:color w:val="000000" w:themeColor="text1"/>
                <w:szCs w:val="21"/>
                <w:highlight w:val="none"/>
                <w14:textFill>
                  <w14:solidFill>
                    <w14:schemeClr w14:val="tx1"/>
                  </w14:solidFill>
                </w14:textFill>
              </w:rPr>
              <w:t>要求提供</w:t>
            </w:r>
            <w:r>
              <w:rPr>
                <w:rFonts w:hint="eastAsia" w:cs="宋体" w:asciiTheme="minorEastAsia" w:hAnsiTheme="minorEastAsia"/>
                <w:color w:val="000000" w:themeColor="text1"/>
                <w:szCs w:val="21"/>
                <w:highlight w:val="none"/>
                <w14:textFill>
                  <w14:solidFill>
                    <w14:schemeClr w14:val="tx1"/>
                  </w14:solidFill>
                </w14:textFill>
              </w:rPr>
              <w:t>社保</w:t>
            </w:r>
            <w:r>
              <w:rPr>
                <w:rFonts w:hint="eastAsia" w:cs="宋体" w:asciiTheme="minorEastAsia" w:hAnsiTheme="minorEastAsia"/>
                <w:bCs/>
                <w:color w:val="000000" w:themeColor="text1"/>
                <w:szCs w:val="21"/>
                <w:highlight w:val="none"/>
                <w14:textFill>
                  <w14:solidFill>
                    <w14:schemeClr w14:val="tx1"/>
                  </w14:solidFill>
                </w14:textFill>
              </w:rPr>
              <w:t>证明</w:t>
            </w:r>
            <w:r>
              <w:rPr>
                <w:rFonts w:hint="eastAsia" w:cs="宋体" w:asciiTheme="minorEastAsia" w:hAnsiTheme="minorEastAsia"/>
                <w:color w:val="000000" w:themeColor="text1"/>
                <w:szCs w:val="21"/>
                <w:highlight w:val="none"/>
                <w14:textFill>
                  <w14:solidFill>
                    <w14:schemeClr w14:val="tx1"/>
                  </w14:solidFill>
                </w14:textFill>
              </w:rPr>
              <w:t>），否则本项不得分。在此基础上，按以下标准评分：</w:t>
            </w:r>
          </w:p>
          <w:p w14:paraId="16597A39">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1.具有信息电子类专业或计算机类相关专业本科（或以上）学历，得4分；</w:t>
            </w:r>
          </w:p>
          <w:p w14:paraId="01B2A0E5">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2.</w:t>
            </w:r>
            <w:r>
              <w:rPr>
                <w:rFonts w:hint="eastAsia" w:cs="宋体" w:asciiTheme="minorEastAsia" w:hAnsiTheme="minorEastAsia"/>
                <w:color w:val="000000" w:themeColor="text1"/>
                <w:szCs w:val="21"/>
                <w:highlight w:val="none"/>
                <w:lang w:val="en-US" w:eastAsia="zh-CN"/>
                <w14:textFill>
                  <w14:solidFill>
                    <w14:schemeClr w14:val="tx1"/>
                  </w14:solidFill>
                </w14:textFill>
              </w:rPr>
              <w:t>具备</w:t>
            </w:r>
            <w:r>
              <w:rPr>
                <w:rFonts w:hint="eastAsia" w:cs="宋体" w:asciiTheme="minorEastAsia" w:hAnsiTheme="minorEastAsia"/>
                <w:color w:val="FF0000"/>
                <w:szCs w:val="21"/>
                <w:highlight w:val="none"/>
                <w:lang w:val="en-US" w:eastAsia="zh-CN"/>
              </w:rPr>
              <w:t>高级</w:t>
            </w:r>
            <w:r>
              <w:rPr>
                <w:rFonts w:hint="eastAsia" w:cs="宋体" w:asciiTheme="minorEastAsia" w:hAnsiTheme="minorEastAsia"/>
                <w:color w:val="FF0000"/>
                <w:szCs w:val="21"/>
                <w:highlight w:val="none"/>
              </w:rPr>
              <w:t>信息系统项目管理师</w:t>
            </w:r>
            <w:r>
              <w:rPr>
                <w:rFonts w:hint="eastAsia" w:cs="宋体" w:asciiTheme="minorEastAsia" w:hAnsiTheme="minorEastAsia"/>
                <w:color w:val="FF0000"/>
                <w:szCs w:val="21"/>
                <w:highlight w:val="none"/>
                <w:lang w:val="en-US" w:eastAsia="zh-CN"/>
              </w:rPr>
              <w:t>证书</w:t>
            </w:r>
            <w:r>
              <w:rPr>
                <w:rFonts w:hint="eastAsia" w:cs="宋体" w:asciiTheme="minorEastAsia" w:hAnsiTheme="minorEastAsia"/>
                <w:color w:val="FF0000"/>
                <w:szCs w:val="21"/>
                <w:highlight w:val="none"/>
              </w:rPr>
              <w:t>，得</w:t>
            </w:r>
            <w:r>
              <w:rPr>
                <w:rFonts w:hint="eastAsia" w:cs="宋体" w:asciiTheme="minorEastAsia" w:hAnsiTheme="minorEastAsia"/>
                <w:color w:val="FF0000"/>
                <w:szCs w:val="21"/>
                <w:highlight w:val="none"/>
                <w:lang w:val="en-US" w:eastAsia="zh-CN"/>
              </w:rPr>
              <w:t>6</w:t>
            </w:r>
            <w:r>
              <w:rPr>
                <w:rFonts w:hint="eastAsia" w:cs="宋体" w:asciiTheme="minorEastAsia" w:hAnsiTheme="minorEastAsia"/>
                <w:color w:val="FF0000"/>
                <w:szCs w:val="21"/>
                <w:highlight w:val="none"/>
              </w:rPr>
              <w:t>分</w:t>
            </w:r>
            <w:r>
              <w:rPr>
                <w:rFonts w:hint="eastAsia" w:cs="宋体" w:asciiTheme="minorEastAsia" w:hAnsiTheme="minorEastAsia"/>
                <w:color w:val="000000" w:themeColor="text1"/>
                <w:szCs w:val="21"/>
                <w:highlight w:val="none"/>
                <w14:textFill>
                  <w14:solidFill>
                    <w14:schemeClr w14:val="tx1"/>
                  </w14:solidFill>
                </w14:textFill>
              </w:rPr>
              <w:t>。</w:t>
            </w:r>
          </w:p>
          <w:p w14:paraId="3CD32FE8">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（二）评审依据：</w:t>
            </w:r>
          </w:p>
          <w:p w14:paraId="0CE1B266">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1.提供</w:t>
            </w:r>
            <w:r>
              <w:rPr>
                <w:rFonts w:hint="eastAsia" w:cs="宋体" w:asciiTheme="minorEastAsia" w:hAnsiTheme="minorEastAsia"/>
                <w:bCs/>
                <w:color w:val="000000" w:themeColor="text1"/>
                <w:szCs w:val="21"/>
                <w:highlight w:val="none"/>
                <w14:textFill>
                  <w14:solidFill>
                    <w14:schemeClr w14:val="tx1"/>
                  </w14:solidFill>
                </w14:textFill>
              </w:rPr>
              <w:t>项目</w:t>
            </w:r>
            <w:r>
              <w:rPr>
                <w:rFonts w:hint="eastAsia" w:cs="宋体" w:asciiTheme="minorEastAsia" w:hAnsiTheme="minorEastAsia"/>
                <w:color w:val="000000" w:themeColor="text1"/>
                <w:szCs w:val="21"/>
                <w:highlight w:val="none"/>
                <w14:textFill>
                  <w14:solidFill>
                    <w14:schemeClr w14:val="tx1"/>
                  </w14:solidFill>
                </w14:textFill>
              </w:rPr>
              <w:t>负责人通过投标人单位缴纳的</w:t>
            </w:r>
            <w:r>
              <w:rPr>
                <w:rFonts w:hint="eastAsia" w:cs="宋体" w:asciiTheme="minorEastAsia" w:hAnsiTheme="minorEastAsia"/>
                <w:bCs/>
                <w:color w:val="000000" w:themeColor="text1"/>
                <w:szCs w:val="21"/>
                <w:highlight w:val="none"/>
                <w14:textFill>
                  <w14:solidFill>
                    <w14:schemeClr w14:val="tx1"/>
                  </w14:solidFill>
                </w14:textFill>
              </w:rPr>
              <w:t>载有政府部门印章的</w:t>
            </w:r>
            <w:r>
              <w:rPr>
                <w:rFonts w:hint="eastAsia" w:cs="宋体" w:asciiTheme="minorEastAsia" w:hAnsiTheme="minorEastAsia"/>
                <w:color w:val="000000" w:themeColor="text1"/>
                <w:szCs w:val="21"/>
                <w:highlight w:val="none"/>
                <w14:textFill>
                  <w14:solidFill>
                    <w14:schemeClr w14:val="tx1"/>
                  </w14:solidFill>
                </w14:textFill>
              </w:rPr>
              <w:t>近三个月任意一个月的社保证明</w:t>
            </w:r>
            <w:r>
              <w:rPr>
                <w:rFonts w:hint="eastAsia" w:cs="宋体" w:asciiTheme="minorEastAsia" w:hAnsiTheme="minorEastAsia"/>
                <w:bCs/>
                <w:color w:val="000000" w:themeColor="text1"/>
                <w:szCs w:val="21"/>
                <w:highlight w:val="none"/>
                <w14:textFill>
                  <w14:solidFill>
                    <w14:schemeClr w14:val="tx1"/>
                  </w14:solidFill>
                </w14:textFill>
              </w:rPr>
              <w:t>（社保资料必须至少包含养老保险信息）</w:t>
            </w:r>
            <w:r>
              <w:rPr>
                <w:rFonts w:hint="eastAsia" w:cs="宋体" w:asciiTheme="minorEastAsia" w:hAnsiTheme="minorEastAsia"/>
                <w:color w:val="000000" w:themeColor="text1"/>
                <w:szCs w:val="21"/>
                <w:highlight w:val="none"/>
                <w14:textFill>
                  <w14:solidFill>
                    <w14:schemeClr w14:val="tx1"/>
                  </w14:solidFill>
                </w14:textFill>
              </w:rPr>
              <w:t>作为本单位员工的证明依据。若投标人成立不足三个月的，</w:t>
            </w:r>
            <w:r>
              <w:rPr>
                <w:rFonts w:hint="eastAsia" w:cs="宋体" w:asciiTheme="minorEastAsia" w:hAnsiTheme="minorEastAsia"/>
                <w:bCs/>
                <w:color w:val="000000" w:themeColor="text1"/>
                <w:szCs w:val="21"/>
                <w:highlight w:val="none"/>
                <w14:textFill>
                  <w14:solidFill>
                    <w14:schemeClr w14:val="tx1"/>
                  </w14:solidFill>
                </w14:textFill>
              </w:rPr>
              <w:t>可提供加盖公章的情况说明或者证明材料亦视为符合。</w:t>
            </w:r>
            <w:r>
              <w:rPr>
                <w:rFonts w:hint="eastAsia" w:cs="宋体" w:asciiTheme="minorEastAsia" w:hAnsiTheme="minorEastAsia"/>
                <w:color w:val="000000" w:themeColor="text1"/>
                <w:szCs w:val="21"/>
                <w:highlight w:val="none"/>
                <w14:textFill>
                  <w14:solidFill>
                    <w14:schemeClr w14:val="tx1"/>
                  </w14:solidFill>
                </w14:textFill>
              </w:rPr>
              <w:t>若为退休返聘人员，需提供</w:t>
            </w:r>
            <w:r>
              <w:rPr>
                <w:rFonts w:hint="eastAsia" w:cs="宋体" w:asciiTheme="minorEastAsia" w:hAnsiTheme="minorEastAsia"/>
                <w:bCs/>
                <w:color w:val="000000" w:themeColor="text1"/>
                <w:szCs w:val="21"/>
                <w:highlight w:val="none"/>
                <w14:textFill>
                  <w14:solidFill>
                    <w14:schemeClr w14:val="tx1"/>
                  </w14:solidFill>
                </w14:textFill>
              </w:rPr>
              <w:t>加盖公章的</w:t>
            </w:r>
            <w:r>
              <w:rPr>
                <w:rFonts w:hint="eastAsia" w:cs="宋体" w:asciiTheme="minorEastAsia" w:hAnsiTheme="minorEastAsia"/>
                <w:color w:val="000000" w:themeColor="text1"/>
                <w:szCs w:val="21"/>
                <w:highlight w:val="none"/>
                <w14:textFill>
                  <w14:solidFill>
                    <w14:schemeClr w14:val="tx1"/>
                  </w14:solidFill>
                </w14:textFill>
              </w:rPr>
              <w:t>说明函（格式自拟），无需提供相关人员社保，亦可得分。</w:t>
            </w:r>
          </w:p>
          <w:p w14:paraId="4985B8BD">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2.境内学历要求提供学历证书复印件和学信网查询截图（对于较早颁发的学历证书，学信网无法查询的，要求提供学历证书复印件和毕业院校、人社部门等颁发机构或监管机构等单位出具的证明）；境外学历学位相关证书要求提供教育部留学服务中心出具的国外学历学位认证书复印件或教育部留学服务中心网站（http://zwfw.cscse.edu.cn/）在线查询截图。</w:t>
            </w:r>
          </w:p>
          <w:p w14:paraId="2A0D01A7">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3.提供有效期内</w:t>
            </w:r>
            <w:r>
              <w:rPr>
                <w:rFonts w:hint="eastAsia" w:cs="宋体" w:asciiTheme="minorEastAsia" w:hAnsiTheme="minorEastAsia"/>
                <w:color w:val="FF0000"/>
                <w:szCs w:val="21"/>
                <w:highlight w:val="none"/>
                <w:lang w:val="en-US" w:eastAsia="zh-CN"/>
              </w:rPr>
              <w:t>高级</w:t>
            </w:r>
            <w:r>
              <w:rPr>
                <w:rFonts w:hint="eastAsia" w:cs="宋体" w:asciiTheme="minorEastAsia" w:hAnsiTheme="minorEastAsia"/>
                <w:color w:val="FF0000"/>
                <w:szCs w:val="21"/>
                <w:highlight w:val="none"/>
              </w:rPr>
              <w:t>信息系统项目管理师</w:t>
            </w:r>
            <w:r>
              <w:rPr>
                <w:rFonts w:hint="eastAsia" w:cs="宋体" w:asciiTheme="minorEastAsia" w:hAnsiTheme="minorEastAsia"/>
                <w:color w:val="FF0000"/>
                <w:szCs w:val="21"/>
                <w:highlight w:val="none"/>
                <w:lang w:val="en-US" w:eastAsia="zh-CN"/>
              </w:rPr>
              <w:t>证书</w:t>
            </w:r>
            <w:r>
              <w:rPr>
                <w:rFonts w:hint="eastAsia" w:cs="宋体" w:asciiTheme="minorEastAsia" w:hAnsiTheme="minorEastAsia"/>
                <w:color w:val="000000" w:themeColor="text1"/>
                <w:szCs w:val="21"/>
                <w:highlight w:val="none"/>
                <w14:textFill>
                  <w14:solidFill>
                    <w14:schemeClr w14:val="tx1"/>
                  </w14:solidFill>
                </w14:textFill>
              </w:rPr>
              <w:t>复印件。如证书颁发单位为相关行业协会（或学会）的，则需同时提供证书颁发单位在“中国社会组织政务服务平台”或“中国国家认证认可监督管理委员会”等合法查询渠道的的信息查询截图（截图需显示发证单位状态为正常）。如为《中华人民共和国境外非政府组织境内活动管理法》规定的“离岸社团”“山寨社团”，《取缔非法民间组织暂行办法》（民政部令第21号）规定的“非法社会组织”颁发的证书或出具的报告，均不得分。</w:t>
            </w:r>
          </w:p>
          <w:p w14:paraId="50053916">
            <w:pPr>
              <w:pStyle w:val="51"/>
              <w:keepNext w:val="0"/>
              <w:keepLines w:val="0"/>
              <w:suppressLineNumbers w:val="0"/>
              <w:snapToGrid w:val="0"/>
              <w:spacing w:before="0" w:beforeAutospacing="0" w:after="0" w:afterAutospacing="0"/>
              <w:ind w:left="0" w:right="0" w:firstLine="0" w:firstLineChars="0"/>
              <w:rPr>
                <w:rFonts w:hint="default" w:cs="宋体" w:asciiTheme="minorEastAsia" w:hAnsiTheme="minorEastAsia" w:eastAsiaTheme="minorEastAsia"/>
                <w:color w:val="000000" w:themeColor="text1"/>
                <w:kern w:val="0"/>
                <w:highlight w:val="none"/>
                <w:lang w:bidi="ar"/>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4.证明材料均提供复印件并加盖投标人公章。评分中出现无证明资料或者评审委员会无法凭所提供资料判断是否得分的情况，一律做不得分处理。</w:t>
            </w:r>
          </w:p>
        </w:tc>
        <w:tc>
          <w:tcPr>
            <w:tcW w:w="628" w:type="pct"/>
            <w:tcBorders>
              <w:top w:val="single" w:color="auto" w:sz="4" w:space="0"/>
              <w:left w:val="single" w:color="auto" w:sz="4" w:space="0"/>
              <w:bottom w:val="single" w:color="auto" w:sz="4" w:space="0"/>
              <w:right w:val="single" w:color="auto" w:sz="4" w:space="0"/>
            </w:tcBorders>
            <w:vAlign w:val="center"/>
          </w:tcPr>
          <w:p w14:paraId="736BDD87">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c>
          <w:tcPr>
            <w:tcW w:w="725" w:type="pct"/>
            <w:tcBorders>
              <w:top w:val="single" w:color="auto" w:sz="4" w:space="0"/>
              <w:left w:val="single" w:color="auto" w:sz="4" w:space="0"/>
              <w:bottom w:val="single" w:color="auto" w:sz="4" w:space="0"/>
              <w:right w:val="single" w:color="auto" w:sz="4" w:space="0"/>
            </w:tcBorders>
            <w:vAlign w:val="center"/>
          </w:tcPr>
          <w:p w14:paraId="0C1E6A66">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r>
      <w:tr w14:paraId="3B552E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trPr>
        <w:tc>
          <w:tcPr>
            <w:tcW w:w="424" w:type="pct"/>
            <w:tcBorders>
              <w:top w:val="single" w:color="auto" w:sz="4" w:space="0"/>
              <w:left w:val="single" w:color="auto" w:sz="4" w:space="0"/>
              <w:bottom w:val="single" w:color="auto" w:sz="4" w:space="0"/>
              <w:right w:val="single" w:color="auto" w:sz="4" w:space="0"/>
            </w:tcBorders>
            <w:vAlign w:val="center"/>
          </w:tcPr>
          <w:p w14:paraId="2A8EF0CE">
            <w:pPr>
              <w:pStyle w:val="51"/>
              <w:keepNext w:val="0"/>
              <w:keepLines w:val="0"/>
              <w:numPr>
                <w:ilvl w:val="0"/>
                <w:numId w:val="4"/>
              </w:numPr>
              <w:suppressLineNumbers w:val="0"/>
              <w:spacing w:before="0" w:beforeAutospacing="0" w:after="0" w:afterAutospacing="0"/>
              <w:ind w:left="0" w:right="0" w:firstLine="0" w:firstLineChars="0"/>
              <w:jc w:val="center"/>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48B8C6A8">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拟安排的项目主要团队成员情况（项目负责人除外）</w:t>
            </w:r>
          </w:p>
        </w:tc>
        <w:tc>
          <w:tcPr>
            <w:tcW w:w="2545" w:type="pct"/>
            <w:tcBorders>
              <w:top w:val="single" w:color="auto" w:sz="4" w:space="0"/>
              <w:left w:val="single" w:color="auto" w:sz="4" w:space="0"/>
              <w:bottom w:val="single" w:color="auto" w:sz="4" w:space="0"/>
              <w:right w:val="single" w:color="auto" w:sz="4" w:space="0"/>
            </w:tcBorders>
            <w:vAlign w:val="center"/>
          </w:tcPr>
          <w:p w14:paraId="73AA013B">
            <w:pPr>
              <w:keepNext w:val="0"/>
              <w:keepLines w:val="0"/>
              <w:suppressLineNumbers w:val="0"/>
              <w:wordWrap w:val="0"/>
              <w:spacing w:before="0" w:beforeAutospacing="0" w:after="0" w:afterAutospacing="0"/>
              <w:ind w:left="0" w:right="0"/>
              <w:jc w:val="left"/>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（一）评审标准：</w:t>
            </w:r>
          </w:p>
          <w:p w14:paraId="5BFE2B58">
            <w:pPr>
              <w:keepNext w:val="0"/>
              <w:keepLines w:val="0"/>
              <w:suppressLineNumbers w:val="0"/>
              <w:wordWrap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拟安排项目主要团队成员不少于</w:t>
            </w:r>
            <w:r>
              <w:rPr>
                <w:rFonts w:hint="eastAsia" w:cs="宋体" w:asciiTheme="minorEastAsia" w:hAnsiTheme="minorEastAsia"/>
                <w:color w:val="000000" w:themeColor="text1"/>
                <w:szCs w:val="21"/>
                <w:lang w:val="en-US" w:eastAsia="zh-CN"/>
                <w14:textFill>
                  <w14:solidFill>
                    <w14:schemeClr w14:val="tx1"/>
                  </w14:solidFill>
                </w14:textFill>
              </w:rPr>
              <w:t>2</w:t>
            </w:r>
            <w:r>
              <w:rPr>
                <w:rFonts w:hint="eastAsia" w:cs="宋体" w:asciiTheme="minorEastAsia" w:hAnsiTheme="minorEastAsia"/>
                <w:color w:val="000000" w:themeColor="text1"/>
                <w:szCs w:val="21"/>
                <w14:textFill>
                  <w14:solidFill>
                    <w14:schemeClr w14:val="tx1"/>
                  </w14:solidFill>
                </w14:textFill>
              </w:rPr>
              <w:t>人（项目负责人除外），均须为投标人</w:t>
            </w:r>
            <w:r>
              <w:rPr>
                <w:rFonts w:hint="eastAsia" w:cs="宋体" w:asciiTheme="minorEastAsia" w:hAnsiTheme="minorEastAsia"/>
                <w:bCs/>
                <w:color w:val="000000" w:themeColor="text1"/>
                <w:szCs w:val="21"/>
                <w14:textFill>
                  <w14:solidFill>
                    <w14:schemeClr w14:val="tx1"/>
                  </w14:solidFill>
                </w14:textFill>
              </w:rPr>
              <w:t>正式聘任</w:t>
            </w:r>
            <w:r>
              <w:rPr>
                <w:rFonts w:hint="eastAsia" w:cs="宋体" w:asciiTheme="minorEastAsia" w:hAnsiTheme="minorEastAsia"/>
                <w:color w:val="000000" w:themeColor="text1"/>
                <w:szCs w:val="21"/>
                <w14:textFill>
                  <w14:solidFill>
                    <w14:schemeClr w14:val="tx1"/>
                  </w14:solidFill>
                </w14:textFill>
              </w:rPr>
              <w:t>员工（</w:t>
            </w:r>
            <w:r>
              <w:rPr>
                <w:rFonts w:hint="eastAsia" w:cs="宋体" w:asciiTheme="minorEastAsia" w:hAnsiTheme="minorEastAsia"/>
                <w:bCs/>
                <w:color w:val="000000" w:themeColor="text1"/>
                <w:szCs w:val="21"/>
                <w14:textFill>
                  <w14:solidFill>
                    <w14:schemeClr w14:val="tx1"/>
                  </w14:solidFill>
                </w14:textFill>
              </w:rPr>
              <w:t>要求提供</w:t>
            </w:r>
            <w:r>
              <w:rPr>
                <w:rFonts w:hint="eastAsia" w:cs="宋体" w:asciiTheme="minorEastAsia" w:hAnsiTheme="minorEastAsia"/>
                <w:color w:val="000000" w:themeColor="text1"/>
                <w:szCs w:val="21"/>
                <w14:textFill>
                  <w14:solidFill>
                    <w14:schemeClr w14:val="tx1"/>
                  </w14:solidFill>
                </w14:textFill>
              </w:rPr>
              <w:t>社保</w:t>
            </w:r>
            <w:r>
              <w:rPr>
                <w:rFonts w:hint="eastAsia" w:cs="宋体" w:asciiTheme="minorEastAsia" w:hAnsiTheme="minorEastAsia"/>
                <w:bCs/>
                <w:color w:val="000000" w:themeColor="text1"/>
                <w:szCs w:val="21"/>
                <w14:textFill>
                  <w14:solidFill>
                    <w14:schemeClr w14:val="tx1"/>
                  </w14:solidFill>
                </w14:textFill>
              </w:rPr>
              <w:t>证明</w:t>
            </w:r>
            <w:r>
              <w:rPr>
                <w:rFonts w:hint="eastAsia" w:cs="宋体" w:asciiTheme="minorEastAsia" w:hAnsiTheme="minorEastAsia"/>
                <w:color w:val="000000" w:themeColor="text1"/>
                <w:szCs w:val="21"/>
                <w14:textFill>
                  <w14:solidFill>
                    <w14:schemeClr w14:val="tx1"/>
                  </w14:solidFill>
                </w14:textFill>
              </w:rPr>
              <w:t>），否则本项不得分。在此基础上，按以下标准评分：</w:t>
            </w:r>
          </w:p>
          <w:p w14:paraId="40D1B300">
            <w:pPr>
              <w:keepNext w:val="0"/>
              <w:keepLines w:val="0"/>
              <w:numPr>
                <w:ilvl w:val="0"/>
                <w:numId w:val="5"/>
              </w:numPr>
              <w:suppressLineNumbers w:val="0"/>
              <w:wordWrap w:val="0"/>
              <w:spacing w:before="0" w:beforeAutospacing="0" w:after="0" w:afterAutospacing="0"/>
              <w:ind w:left="0" w:right="0"/>
              <w:jc w:val="left"/>
              <w:rPr>
                <w:rFonts w:hint="eastAsia" w:cs="宋体" w:asciiTheme="minorEastAsia" w:hAnsiTheme="minorEastAsia"/>
                <w:color w:val="FF0000"/>
                <w:szCs w:val="21"/>
              </w:rPr>
            </w:pPr>
            <w:r>
              <w:rPr>
                <w:rFonts w:hint="eastAsia" w:cs="宋体" w:asciiTheme="minorEastAsia" w:hAnsiTheme="minorEastAsia"/>
                <w:color w:val="FF0000"/>
                <w:szCs w:val="21"/>
              </w:rPr>
              <w:t>具有信息电子类专业或计算机类相关专业本科（或以上）学历，提供一人得</w:t>
            </w:r>
            <w:r>
              <w:rPr>
                <w:rFonts w:hint="default" w:cs="宋体" w:asciiTheme="minorEastAsia" w:hAnsiTheme="minorEastAsia"/>
                <w:color w:val="FF0000"/>
                <w:szCs w:val="21"/>
              </w:rPr>
              <w:t>2</w:t>
            </w:r>
            <w:r>
              <w:rPr>
                <w:rFonts w:hint="eastAsia" w:cs="宋体" w:asciiTheme="minorEastAsia" w:hAnsiTheme="minorEastAsia"/>
                <w:color w:val="FF0000"/>
                <w:szCs w:val="21"/>
              </w:rPr>
              <w:t>分，最高得</w:t>
            </w:r>
            <w:r>
              <w:rPr>
                <w:rFonts w:hint="eastAsia" w:cs="宋体" w:asciiTheme="minorEastAsia" w:hAnsiTheme="minorEastAsia"/>
                <w:color w:val="FF0000"/>
                <w:szCs w:val="21"/>
                <w:lang w:val="en-US" w:eastAsia="zh-CN"/>
              </w:rPr>
              <w:t>4</w:t>
            </w:r>
            <w:r>
              <w:rPr>
                <w:rFonts w:hint="eastAsia" w:cs="宋体" w:asciiTheme="minorEastAsia" w:hAnsiTheme="minorEastAsia"/>
                <w:color w:val="FF0000"/>
                <w:szCs w:val="21"/>
              </w:rPr>
              <w:t>分。</w:t>
            </w:r>
          </w:p>
          <w:p w14:paraId="72A294C3">
            <w:pPr>
              <w:keepNext w:val="0"/>
              <w:keepLines w:val="0"/>
              <w:numPr>
                <w:ilvl w:val="0"/>
                <w:numId w:val="5"/>
              </w:numPr>
              <w:suppressLineNumbers w:val="0"/>
              <w:wordWrap w:val="0"/>
              <w:spacing w:before="0" w:beforeAutospacing="0" w:after="0" w:afterAutospacing="0"/>
              <w:ind w:left="0" w:right="0"/>
              <w:jc w:val="left"/>
              <w:rPr>
                <w:rFonts w:hint="eastAsia" w:cs="宋体" w:asciiTheme="minorEastAsia" w:hAnsiTheme="minorEastAsia"/>
                <w:color w:val="FF0000"/>
                <w:szCs w:val="21"/>
              </w:rPr>
            </w:pPr>
            <w:r>
              <w:rPr>
                <w:rFonts w:hint="eastAsia" w:cs="宋体" w:asciiTheme="minorEastAsia" w:hAnsiTheme="minorEastAsia"/>
                <w:color w:val="FF0000"/>
                <w:szCs w:val="21"/>
              </w:rPr>
              <w:t>具有</w:t>
            </w:r>
            <w:r>
              <w:rPr>
                <w:rFonts w:hint="eastAsia" w:cs="宋体" w:asciiTheme="minorEastAsia" w:hAnsiTheme="minorEastAsia"/>
                <w:color w:val="FF0000"/>
                <w:szCs w:val="21"/>
                <w:lang w:val="en-US" w:eastAsia="zh-CN"/>
              </w:rPr>
              <w:t>中级及以上</w:t>
            </w:r>
            <w:r>
              <w:rPr>
                <w:rFonts w:hint="default"/>
                <w:color w:val="FF0000"/>
                <w:spacing w:val="-2"/>
              </w:rPr>
              <w:t>计算机技术与软件专业技术资格</w:t>
            </w:r>
            <w:r>
              <w:rPr>
                <w:rFonts w:hint="eastAsia" w:cs="宋体" w:asciiTheme="minorEastAsia" w:hAnsiTheme="minorEastAsia"/>
                <w:color w:val="FF0000"/>
                <w:szCs w:val="21"/>
              </w:rPr>
              <w:t>相关</w:t>
            </w:r>
            <w:r>
              <w:rPr>
                <w:rFonts w:hint="eastAsia" w:cs="宋体" w:asciiTheme="minorEastAsia" w:hAnsiTheme="minorEastAsia"/>
                <w:color w:val="FF0000"/>
                <w:szCs w:val="21"/>
                <w:lang w:val="en-US" w:eastAsia="zh-CN"/>
              </w:rPr>
              <w:t>证书</w:t>
            </w:r>
            <w:r>
              <w:rPr>
                <w:rFonts w:hint="eastAsia" w:cs="宋体" w:asciiTheme="minorEastAsia" w:hAnsiTheme="minorEastAsia"/>
                <w:color w:val="FF0000"/>
                <w:szCs w:val="21"/>
              </w:rPr>
              <w:t>，提供一人得</w:t>
            </w:r>
            <w:r>
              <w:rPr>
                <w:rFonts w:hint="eastAsia" w:cs="宋体" w:asciiTheme="minorEastAsia" w:hAnsiTheme="minorEastAsia"/>
                <w:color w:val="FF0000"/>
                <w:szCs w:val="21"/>
                <w:lang w:val="en-US" w:eastAsia="zh-CN"/>
              </w:rPr>
              <w:t>3</w:t>
            </w:r>
            <w:r>
              <w:rPr>
                <w:rFonts w:hint="eastAsia" w:cs="宋体" w:asciiTheme="minorEastAsia" w:hAnsiTheme="minorEastAsia"/>
                <w:color w:val="FF0000"/>
                <w:szCs w:val="21"/>
              </w:rPr>
              <w:t>分，最高得</w:t>
            </w:r>
            <w:r>
              <w:rPr>
                <w:rFonts w:hint="eastAsia" w:cs="宋体" w:asciiTheme="minorEastAsia" w:hAnsiTheme="minorEastAsia"/>
                <w:color w:val="FF0000"/>
                <w:szCs w:val="21"/>
                <w:lang w:val="en-US" w:eastAsia="zh-CN"/>
              </w:rPr>
              <w:t>6</w:t>
            </w:r>
            <w:r>
              <w:rPr>
                <w:rFonts w:hint="eastAsia" w:cs="宋体" w:asciiTheme="minorEastAsia" w:hAnsiTheme="minorEastAsia"/>
                <w:color w:val="FF0000"/>
                <w:szCs w:val="21"/>
              </w:rPr>
              <w:t>分。</w:t>
            </w:r>
          </w:p>
          <w:p w14:paraId="47CCCD48">
            <w:pPr>
              <w:keepNext w:val="0"/>
              <w:keepLines w:val="0"/>
              <w:suppressLineNumbers w:val="0"/>
              <w:wordWrap w:val="0"/>
              <w:spacing w:before="0" w:beforeAutospacing="0" w:after="0" w:afterAutospacing="0"/>
              <w:ind w:left="0" w:right="0"/>
              <w:jc w:val="left"/>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（二）评审依据：</w:t>
            </w:r>
          </w:p>
          <w:p w14:paraId="16EC2B89">
            <w:pPr>
              <w:keepNext w:val="0"/>
              <w:keepLines w:val="0"/>
              <w:suppressLineNumbers w:val="0"/>
              <w:wordWrap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1.提供</w:t>
            </w:r>
            <w:r>
              <w:rPr>
                <w:rFonts w:hint="eastAsia" w:cs="宋体" w:asciiTheme="minorEastAsia" w:hAnsiTheme="minorEastAsia"/>
                <w:bCs/>
                <w:color w:val="000000" w:themeColor="text1"/>
                <w:szCs w:val="21"/>
                <w14:textFill>
                  <w14:solidFill>
                    <w14:schemeClr w14:val="tx1"/>
                  </w14:solidFill>
                </w14:textFill>
              </w:rPr>
              <w:t>团队成员</w:t>
            </w:r>
            <w:r>
              <w:rPr>
                <w:rFonts w:hint="eastAsia" w:cs="宋体" w:asciiTheme="minorEastAsia" w:hAnsiTheme="minorEastAsia"/>
                <w:color w:val="000000" w:themeColor="text1"/>
                <w:szCs w:val="21"/>
                <w14:textFill>
                  <w14:solidFill>
                    <w14:schemeClr w14:val="tx1"/>
                  </w14:solidFill>
                </w14:textFill>
              </w:rPr>
              <w:t>通过投标人单位缴纳的</w:t>
            </w:r>
            <w:r>
              <w:rPr>
                <w:rFonts w:hint="eastAsia" w:cs="宋体" w:asciiTheme="minorEastAsia" w:hAnsiTheme="minorEastAsia"/>
                <w:bCs/>
                <w:color w:val="000000" w:themeColor="text1"/>
                <w:szCs w:val="21"/>
                <w14:textFill>
                  <w14:solidFill>
                    <w14:schemeClr w14:val="tx1"/>
                  </w14:solidFill>
                </w14:textFill>
              </w:rPr>
              <w:t>载有政府部门印章的</w:t>
            </w:r>
            <w:r>
              <w:rPr>
                <w:rFonts w:hint="eastAsia" w:cs="宋体" w:asciiTheme="minorEastAsia" w:hAnsiTheme="minorEastAsia"/>
                <w:color w:val="000000" w:themeColor="text1"/>
                <w:szCs w:val="21"/>
                <w14:textFill>
                  <w14:solidFill>
                    <w14:schemeClr w14:val="tx1"/>
                  </w14:solidFill>
                </w14:textFill>
              </w:rPr>
              <w:t>近三个月任意一个月的社保证明</w:t>
            </w:r>
            <w:r>
              <w:rPr>
                <w:rFonts w:hint="eastAsia" w:cs="宋体" w:asciiTheme="minorEastAsia" w:hAnsiTheme="minorEastAsia"/>
                <w:bCs/>
                <w:color w:val="000000" w:themeColor="text1"/>
                <w:szCs w:val="21"/>
                <w14:textFill>
                  <w14:solidFill>
                    <w14:schemeClr w14:val="tx1"/>
                  </w14:solidFill>
                </w14:textFill>
              </w:rPr>
              <w:t>（社保资料必须至少包含养老保险信息）</w:t>
            </w:r>
            <w:r>
              <w:rPr>
                <w:rFonts w:hint="eastAsia" w:cs="宋体" w:asciiTheme="minorEastAsia" w:hAnsiTheme="minorEastAsia"/>
                <w:color w:val="000000" w:themeColor="text1"/>
                <w:szCs w:val="21"/>
                <w14:textFill>
                  <w14:solidFill>
                    <w14:schemeClr w14:val="tx1"/>
                  </w14:solidFill>
                </w14:textFill>
              </w:rPr>
              <w:t>作为本单位员工的证明依据。若投标人成立不足三个月的，</w:t>
            </w:r>
            <w:r>
              <w:rPr>
                <w:rFonts w:hint="eastAsia" w:cs="宋体" w:asciiTheme="minorEastAsia" w:hAnsiTheme="minorEastAsia"/>
                <w:bCs/>
                <w:color w:val="000000" w:themeColor="text1"/>
                <w:szCs w:val="21"/>
                <w14:textFill>
                  <w14:solidFill>
                    <w14:schemeClr w14:val="tx1"/>
                  </w14:solidFill>
                </w14:textFill>
              </w:rPr>
              <w:t>可提供加盖公章的情况说明或者证明材料亦视为符合。</w:t>
            </w:r>
            <w:r>
              <w:rPr>
                <w:rFonts w:hint="eastAsia" w:cs="宋体" w:asciiTheme="minorEastAsia" w:hAnsiTheme="minorEastAsia"/>
                <w:color w:val="000000" w:themeColor="text1"/>
                <w:szCs w:val="21"/>
                <w14:textFill>
                  <w14:solidFill>
                    <w14:schemeClr w14:val="tx1"/>
                  </w14:solidFill>
                </w14:textFill>
              </w:rPr>
              <w:t>若为退休返聘人员，需提供</w:t>
            </w:r>
            <w:r>
              <w:rPr>
                <w:rFonts w:hint="eastAsia" w:cs="宋体" w:asciiTheme="minorEastAsia" w:hAnsiTheme="minorEastAsia"/>
                <w:bCs/>
                <w:color w:val="000000" w:themeColor="text1"/>
                <w:szCs w:val="21"/>
                <w14:textFill>
                  <w14:solidFill>
                    <w14:schemeClr w14:val="tx1"/>
                  </w14:solidFill>
                </w14:textFill>
              </w:rPr>
              <w:t>加盖公章的</w:t>
            </w:r>
            <w:r>
              <w:rPr>
                <w:rFonts w:hint="eastAsia" w:cs="宋体" w:asciiTheme="minorEastAsia" w:hAnsiTheme="minorEastAsia"/>
                <w:color w:val="000000" w:themeColor="text1"/>
                <w:szCs w:val="21"/>
                <w14:textFill>
                  <w14:solidFill>
                    <w14:schemeClr w14:val="tx1"/>
                  </w14:solidFill>
                </w14:textFill>
              </w:rPr>
              <w:t>说明函（格式自拟），无需提供相关人员社保，亦可得分。</w:t>
            </w:r>
          </w:p>
          <w:p w14:paraId="7D4EDB37">
            <w:pPr>
              <w:keepNext w:val="0"/>
              <w:keepLines w:val="0"/>
              <w:suppressLineNumbers w:val="0"/>
              <w:wordWrap w:val="0"/>
              <w:spacing w:before="0" w:beforeAutospacing="0" w:after="0" w:afterAutospacing="0"/>
              <w:ind w:left="0" w:right="0"/>
              <w:jc w:val="left"/>
              <w:rPr>
                <w:rFonts w:hint="eastAsia"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2.境内学历要求提供学历证书复印件和学信网查询截图（对于较早颁发的学历证书，学信网无法查询的，要求提供学历证书复印件和毕业院校、人社部门等颁发机构或监管机构等单位出具的证明）；境外学历学位相关证书要求提供教育部留学服务中心出具的国外学历学位认证书复印件或教育部留学服务中心网站（http://zwfw.cscse.edu.cn/）在线查询截图。</w:t>
            </w:r>
          </w:p>
          <w:p w14:paraId="7BB6BF17">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3.</w:t>
            </w:r>
            <w:r>
              <w:rPr>
                <w:rFonts w:hint="eastAsia" w:cs="宋体" w:asciiTheme="minorEastAsia" w:hAnsiTheme="minorEastAsia"/>
                <w:color w:val="FF0000"/>
                <w:szCs w:val="21"/>
                <w:highlight w:val="none"/>
              </w:rPr>
              <w:t>提供有效期内</w:t>
            </w:r>
            <w:r>
              <w:rPr>
                <w:rFonts w:hint="eastAsia" w:cs="宋体" w:asciiTheme="minorEastAsia" w:hAnsiTheme="minorEastAsia"/>
                <w:color w:val="FF0000"/>
                <w:szCs w:val="21"/>
                <w:lang w:val="en-US" w:eastAsia="zh-CN"/>
              </w:rPr>
              <w:t>中级及以上</w:t>
            </w:r>
            <w:r>
              <w:rPr>
                <w:rFonts w:hint="default"/>
                <w:color w:val="FF0000"/>
                <w:spacing w:val="-2"/>
              </w:rPr>
              <w:t>计算机技术与软件专业技术资格</w:t>
            </w:r>
            <w:r>
              <w:rPr>
                <w:rFonts w:hint="eastAsia" w:cs="宋体" w:asciiTheme="minorEastAsia" w:hAnsiTheme="minorEastAsia"/>
                <w:color w:val="FF0000"/>
                <w:szCs w:val="21"/>
              </w:rPr>
              <w:t>相关</w:t>
            </w:r>
            <w:r>
              <w:rPr>
                <w:rFonts w:hint="eastAsia" w:cs="宋体" w:asciiTheme="minorEastAsia" w:hAnsiTheme="minorEastAsia"/>
                <w:color w:val="FF0000"/>
                <w:szCs w:val="21"/>
                <w:lang w:val="en-US" w:eastAsia="zh-CN"/>
              </w:rPr>
              <w:t>证书</w:t>
            </w:r>
            <w:r>
              <w:rPr>
                <w:rFonts w:hint="eastAsia" w:cs="宋体" w:asciiTheme="minorEastAsia" w:hAnsiTheme="minorEastAsia"/>
                <w:color w:val="FF0000"/>
                <w:szCs w:val="21"/>
                <w:highlight w:val="none"/>
              </w:rPr>
              <w:t>复印件。如证书颁发单位为相关行业协会（或学会）的，则需同时提供证书颁发单位在“中国社会组织政务服务平台”或“中国国家认证认可监督管理委员会”等合法查询渠道的的信息查询截图（截图需显示发证单位状态为正常）。如为《中华人民共和国境外非政府组织境内活动管理法》规定的“离岸社团”“山寨社团”，《取缔非法民间组织暂行办法》（民政部令第21号）规定的“非法社会组织”颁发的证书或出具的报告，均不得分。</w:t>
            </w:r>
          </w:p>
          <w:p w14:paraId="553CD2E0">
            <w:pPr>
              <w:keepNext w:val="0"/>
              <w:keepLines w:val="0"/>
              <w:suppressLineNumbers w:val="0"/>
              <w:adjustRightInd w:val="0"/>
              <w:snapToGrid w:val="0"/>
              <w:spacing w:before="0" w:beforeAutospacing="0" w:after="0" w:afterAutospacing="0"/>
              <w:ind w:left="0" w:right="0"/>
              <w:jc w:val="left"/>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color w:val="000000" w:themeColor="text1"/>
                <w:szCs w:val="21"/>
                <w:lang w:val="en-US" w:eastAsia="zh-CN"/>
                <w14:textFill>
                  <w14:solidFill>
                    <w14:schemeClr w14:val="tx1"/>
                  </w14:solidFill>
                </w14:textFill>
              </w:rPr>
              <w:t>4</w:t>
            </w:r>
            <w:r>
              <w:rPr>
                <w:rFonts w:hint="eastAsia" w:cs="宋体" w:asciiTheme="minorEastAsia" w:hAnsiTheme="minorEastAsia"/>
                <w:color w:val="000000" w:themeColor="text1"/>
                <w:szCs w:val="21"/>
                <w14:textFill>
                  <w14:solidFill>
                    <w14:schemeClr w14:val="tx1"/>
                  </w14:solidFill>
                </w14:textFill>
              </w:rPr>
              <w:t>.证明材料均提供复印件并加盖投标人公章。评分中出现无证明资料或者评审委员会无法凭所提供资料判断是否得分的情况，一律做不得分处理。</w:t>
            </w:r>
          </w:p>
        </w:tc>
        <w:tc>
          <w:tcPr>
            <w:tcW w:w="628" w:type="pct"/>
            <w:tcBorders>
              <w:top w:val="single" w:color="auto" w:sz="4" w:space="0"/>
              <w:left w:val="single" w:color="auto" w:sz="4" w:space="0"/>
              <w:bottom w:val="single" w:color="auto" w:sz="4" w:space="0"/>
              <w:right w:val="single" w:color="auto" w:sz="4" w:space="0"/>
            </w:tcBorders>
            <w:vAlign w:val="center"/>
          </w:tcPr>
          <w:p w14:paraId="1972CBFF">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000000" w:themeColor="text1"/>
                <w:szCs w:val="21"/>
                <w:lang w:val="en-US" w:eastAsia="zh-CN"/>
                <w14:textFill>
                  <w14:solidFill>
                    <w14:schemeClr w14:val="tx1"/>
                  </w14:solidFill>
                </w14:textFill>
              </w:rPr>
            </w:pPr>
            <w:r>
              <w:rPr>
                <w:rFonts w:hint="eastAsia" w:cs="宋体" w:asciiTheme="minorEastAsia" w:hAnsiTheme="minorEastAsia"/>
                <w:color w:val="000000" w:themeColor="text1"/>
                <w:szCs w:val="21"/>
                <w:lang w:val="en-US" w:eastAsia="zh-CN"/>
                <w14:textFill>
                  <w14:solidFill>
                    <w14:schemeClr w14:val="tx1"/>
                  </w14:solidFill>
                </w14:textFill>
              </w:rPr>
              <w:t>10</w:t>
            </w:r>
          </w:p>
        </w:tc>
        <w:tc>
          <w:tcPr>
            <w:tcW w:w="725" w:type="pct"/>
            <w:tcBorders>
              <w:top w:val="single" w:color="auto" w:sz="4" w:space="0"/>
              <w:left w:val="single" w:color="auto" w:sz="4" w:space="0"/>
              <w:bottom w:val="single" w:color="auto" w:sz="4" w:space="0"/>
              <w:right w:val="single" w:color="auto" w:sz="4" w:space="0"/>
            </w:tcBorders>
            <w:vAlign w:val="center"/>
          </w:tcPr>
          <w:p w14:paraId="6408A956">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000000" w:themeColor="text1"/>
                <w:szCs w:val="21"/>
                <w:lang w:val="en-US" w:eastAsia="zh-CN"/>
                <w14:textFill>
                  <w14:solidFill>
                    <w14:schemeClr w14:val="tx1"/>
                  </w14:solidFill>
                </w14:textFill>
              </w:rPr>
            </w:pPr>
            <w:r>
              <w:rPr>
                <w:rFonts w:hint="eastAsia" w:cs="宋体" w:asciiTheme="minorEastAsia" w:hAnsiTheme="minorEastAsia"/>
                <w:color w:val="000000" w:themeColor="text1"/>
                <w:szCs w:val="21"/>
                <w:lang w:val="en-US" w:eastAsia="zh-CN"/>
                <w14:textFill>
                  <w14:solidFill>
                    <w14:schemeClr w14:val="tx1"/>
                  </w14:solidFill>
                </w14:textFill>
              </w:rPr>
              <w:t>10</w:t>
            </w:r>
          </w:p>
        </w:tc>
      </w:tr>
      <w:tr w14:paraId="4DEB7F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4DF1FB51">
            <w:pPr>
              <w:pStyle w:val="51"/>
              <w:keepNext w:val="0"/>
              <w:keepLines w:val="0"/>
              <w:numPr>
                <w:ilvl w:val="0"/>
                <w:numId w:val="4"/>
              </w:numPr>
              <w:suppressLineNumbers w:val="0"/>
              <w:spacing w:before="0" w:beforeAutospacing="0" w:after="0" w:afterAutospacing="0"/>
              <w:ind w:left="0" w:right="0" w:firstLine="0" w:firstLineChars="0"/>
              <w:jc w:val="center"/>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574321C6">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投标人通过相关认证情况</w:t>
            </w:r>
          </w:p>
        </w:tc>
        <w:tc>
          <w:tcPr>
            <w:tcW w:w="2545" w:type="pct"/>
            <w:tcBorders>
              <w:top w:val="single" w:color="auto" w:sz="4" w:space="0"/>
              <w:left w:val="single" w:color="auto" w:sz="4" w:space="0"/>
              <w:bottom w:val="single" w:color="auto" w:sz="4" w:space="0"/>
              <w:right w:val="single" w:color="auto" w:sz="4" w:space="0"/>
            </w:tcBorders>
          </w:tcPr>
          <w:p w14:paraId="4573907B">
            <w:pPr>
              <w:keepNext w:val="0"/>
              <w:keepLines w:val="0"/>
              <w:suppressLineNumbers w:val="0"/>
              <w:wordWrap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（一）评审标准：</w:t>
            </w:r>
          </w:p>
          <w:p w14:paraId="7D7A9991">
            <w:pPr>
              <w:keepNext w:val="0"/>
              <w:keepLines w:val="0"/>
              <w:suppressLineNumbers w:val="0"/>
              <w:wordWrap w:val="0"/>
              <w:spacing w:before="0" w:beforeAutospacing="0" w:after="0" w:afterAutospacing="0"/>
              <w:ind w:left="0" w:right="0"/>
              <w:jc w:val="left"/>
              <w:rPr>
                <w:rFonts w:hint="default" w:cs="宋体" w:asciiTheme="minorEastAsia" w:hAnsiTheme="minorEastAsia"/>
                <w:color w:val="FF0000"/>
                <w:szCs w:val="21"/>
              </w:rPr>
            </w:pPr>
            <w:r>
              <w:rPr>
                <w:rFonts w:hint="eastAsia" w:cs="宋体" w:asciiTheme="minorEastAsia" w:hAnsiTheme="minorEastAsia"/>
                <w:color w:val="FF0000"/>
                <w:szCs w:val="21"/>
              </w:rPr>
              <w:t>提供“质量管理体系认证证书”得</w:t>
            </w:r>
            <w:r>
              <w:rPr>
                <w:rFonts w:hint="eastAsia" w:cs="宋体" w:asciiTheme="minorEastAsia" w:hAnsiTheme="minorEastAsia"/>
                <w:color w:val="FF0000"/>
                <w:szCs w:val="21"/>
                <w:lang w:val="en-US" w:eastAsia="zh-CN"/>
              </w:rPr>
              <w:t>5</w:t>
            </w:r>
            <w:r>
              <w:rPr>
                <w:rFonts w:hint="eastAsia" w:cs="宋体" w:asciiTheme="minorEastAsia" w:hAnsiTheme="minorEastAsia"/>
                <w:color w:val="FF0000"/>
                <w:szCs w:val="21"/>
              </w:rPr>
              <w:t>分。</w:t>
            </w:r>
          </w:p>
          <w:p w14:paraId="4E663483">
            <w:pPr>
              <w:keepNext w:val="0"/>
              <w:keepLines w:val="0"/>
              <w:suppressLineNumbers w:val="0"/>
              <w:wordWrap w:val="0"/>
              <w:spacing w:before="0" w:beforeAutospacing="0" w:after="0" w:afterAutospacing="0"/>
              <w:ind w:left="0" w:right="0"/>
              <w:jc w:val="left"/>
              <w:rPr>
                <w:rFonts w:hint="default" w:cs="宋体" w:asciiTheme="minorEastAsia" w:hAnsiTheme="minorEastAsia"/>
                <w:color w:val="FF0000"/>
                <w:szCs w:val="21"/>
              </w:rPr>
            </w:pPr>
            <w:r>
              <w:rPr>
                <w:rFonts w:hint="eastAsia" w:ascii="宋体" w:hAnsi="宋体"/>
                <w:color w:val="FF0000"/>
              </w:rPr>
              <w:t>提供“信息安全管理体系认证证书”得</w:t>
            </w:r>
            <w:r>
              <w:rPr>
                <w:rFonts w:hint="eastAsia" w:ascii="宋体" w:hAnsi="宋体"/>
                <w:color w:val="FF0000"/>
                <w:lang w:val="en-US" w:eastAsia="zh-CN"/>
              </w:rPr>
              <w:t>5</w:t>
            </w:r>
            <w:r>
              <w:rPr>
                <w:rFonts w:hint="eastAsia" w:ascii="宋体" w:hAnsi="宋体"/>
                <w:color w:val="FF0000"/>
              </w:rPr>
              <w:t>分。</w:t>
            </w:r>
          </w:p>
          <w:p w14:paraId="63625C8A">
            <w:pPr>
              <w:keepNext w:val="0"/>
              <w:keepLines w:val="0"/>
              <w:suppressLineNumbers w:val="0"/>
              <w:wordWrap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（二）评审依据：</w:t>
            </w:r>
          </w:p>
          <w:p w14:paraId="4F85068E">
            <w:pPr>
              <w:keepNext w:val="0"/>
              <w:keepLines w:val="0"/>
              <w:suppressLineNumbers w:val="0"/>
              <w:wordWrap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投标人需同时提供由合法登记并设立的认证机构颁发的有效期内（认证证书在开标当天仍处于有效状态）的认证证书复印件</w:t>
            </w:r>
            <w:r>
              <w:rPr>
                <w:rFonts w:hint="eastAsia" w:cs="宋体" w:asciiTheme="minorEastAsia" w:hAnsiTheme="minorEastAsia"/>
                <w:color w:val="000000" w:themeColor="text1"/>
                <w:szCs w:val="21"/>
                <w:highlight w:val="none"/>
                <w14:textFill>
                  <w14:solidFill>
                    <w14:schemeClr w14:val="tx1"/>
                  </w14:solidFill>
                </w14:textFill>
              </w:rPr>
              <w:t>及通过国家认证认可监督管理委员会官方网站（https://www.cnca.gov.cn/）查询的对应证书界面截图（截图需显示证书编号及证书状态为“有效”，截图证书编号须与证书复印件一致），否则不得分</w:t>
            </w:r>
            <w:r>
              <w:rPr>
                <w:rFonts w:hint="eastAsia" w:cs="宋体" w:asciiTheme="minorEastAsia" w:hAnsiTheme="minorEastAsia"/>
                <w:color w:val="000000" w:themeColor="text1"/>
                <w:szCs w:val="21"/>
                <w14:textFill>
                  <w14:solidFill>
                    <w14:schemeClr w14:val="tx1"/>
                  </w14:solidFill>
                </w14:textFill>
              </w:rPr>
              <w:t>。投标人因成立不足三个月，而未取得质量管理体系认证的，亦视为符合。</w:t>
            </w:r>
          </w:p>
          <w:p w14:paraId="3D59490E">
            <w:pPr>
              <w:keepNext w:val="0"/>
              <w:keepLines w:val="0"/>
              <w:suppressLineNumbers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备注：</w:t>
            </w:r>
          </w:p>
          <w:p w14:paraId="25548544">
            <w:pPr>
              <w:keepNext w:val="0"/>
              <w:keepLines w:val="0"/>
              <w:suppressLineNumbers w:val="0"/>
              <w:snapToGrid w:val="0"/>
              <w:spacing w:before="0" w:beforeAutospacing="0" w:after="0" w:afterAutospacing="0"/>
              <w:ind w:left="0" w:right="0"/>
              <w:jc w:val="left"/>
              <w:rPr>
                <w:rFonts w:hint="default" w:cs="宋体" w:asciiTheme="minorEastAsia" w:hAnsiTheme="minorEastAsia"/>
                <w:b/>
                <w:bCs/>
                <w:color w:val="000000" w:themeColor="text1"/>
                <w:kern w:val="0"/>
                <w:szCs w:val="21"/>
                <w:lang w:bidi="ar"/>
                <w14:textFill>
                  <w14:solidFill>
                    <w14:schemeClr w14:val="tx1"/>
                  </w14:solidFill>
                </w14:textFill>
              </w:rPr>
            </w:pPr>
            <w:r>
              <w:rPr>
                <w:rFonts w:hint="eastAsia" w:cs="宋体" w:asciiTheme="minorEastAsia" w:hAnsiTheme="minorEastAsia"/>
                <w:b/>
                <w:bCs/>
                <w:color w:val="000000" w:themeColor="text1"/>
                <w:kern w:val="0"/>
                <w:szCs w:val="21"/>
                <w14:textFill>
                  <w14:solidFill>
                    <w14:schemeClr w14:val="tx1"/>
                  </w14:solidFill>
                </w14:textFill>
              </w:rPr>
              <w:t>证明材料均须加盖投标人公章。</w:t>
            </w:r>
            <w:r>
              <w:rPr>
                <w:rFonts w:hint="eastAsia" w:cs="宋体" w:asciiTheme="minorEastAsia" w:hAnsiTheme="minorEastAsia"/>
                <w:color w:val="000000" w:themeColor="text1"/>
                <w:szCs w:val="21"/>
                <w14:textFill>
                  <w14:solidFill>
                    <w14:schemeClr w14:val="tx1"/>
                  </w14:solidFill>
                </w14:textFill>
              </w:rPr>
              <w:t>评分中出现无证明资料或者评审委员会无法凭所提供资料判断是否得分的情况，一律做不得分处理。</w:t>
            </w:r>
          </w:p>
        </w:tc>
        <w:tc>
          <w:tcPr>
            <w:tcW w:w="628" w:type="pct"/>
            <w:tcBorders>
              <w:top w:val="single" w:color="auto" w:sz="4" w:space="0"/>
              <w:left w:val="single" w:color="auto" w:sz="4" w:space="0"/>
              <w:bottom w:val="single" w:color="auto" w:sz="4" w:space="0"/>
              <w:right w:val="single" w:color="auto" w:sz="4" w:space="0"/>
            </w:tcBorders>
            <w:vAlign w:val="center"/>
          </w:tcPr>
          <w:p w14:paraId="368939C0">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c>
          <w:tcPr>
            <w:tcW w:w="725" w:type="pct"/>
            <w:tcBorders>
              <w:top w:val="single" w:color="auto" w:sz="4" w:space="0"/>
              <w:left w:val="single" w:color="auto" w:sz="4" w:space="0"/>
              <w:bottom w:val="single" w:color="auto" w:sz="4" w:space="0"/>
              <w:right w:val="single" w:color="auto" w:sz="4" w:space="0"/>
            </w:tcBorders>
            <w:vAlign w:val="center"/>
          </w:tcPr>
          <w:p w14:paraId="49794F7E">
            <w:pPr>
              <w:keepNext w:val="0"/>
              <w:keepLines w:val="0"/>
              <w:suppressLineNumbers w:val="0"/>
              <w:snapToGrid w:val="0"/>
              <w:spacing w:before="0" w:beforeAutospacing="0" w:after="0" w:afterAutospacing="0"/>
              <w:ind w:left="0" w:right="0"/>
              <w:jc w:val="center"/>
              <w:rPr>
                <w:rFonts w:hint="default" w:cs="宋体" w:asciiTheme="minorEastAsia" w:hAnsiTheme="minorEastAsia" w:eastAsiaTheme="minorEastAsia"/>
                <w:color w:val="FF0000"/>
                <w:szCs w:val="21"/>
                <w:lang w:val="en-US" w:eastAsia="zh-CN"/>
              </w:rPr>
            </w:pPr>
            <w:r>
              <w:rPr>
                <w:rFonts w:hint="eastAsia" w:cs="宋体" w:asciiTheme="minorEastAsia" w:hAnsiTheme="minorEastAsia"/>
                <w:color w:val="FF0000"/>
                <w:szCs w:val="21"/>
                <w:lang w:val="en-US" w:eastAsia="zh-CN"/>
              </w:rPr>
              <w:t>10</w:t>
            </w:r>
          </w:p>
        </w:tc>
      </w:tr>
      <w:tr w14:paraId="5FDD3D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5E8051DE">
            <w:pPr>
              <w:pStyle w:val="51"/>
              <w:keepNext w:val="0"/>
              <w:keepLines w:val="0"/>
              <w:numPr>
                <w:ilvl w:val="0"/>
                <w:numId w:val="4"/>
              </w:numPr>
              <w:suppressLineNumbers w:val="0"/>
              <w:spacing w:before="0" w:beforeAutospacing="0" w:after="0" w:afterAutospacing="0"/>
              <w:ind w:left="0" w:right="0" w:firstLine="0" w:firstLineChars="0"/>
              <w:jc w:val="center"/>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7BD18CC2">
            <w:pPr>
              <w:keepNext w:val="0"/>
              <w:keepLines w:val="0"/>
              <w:suppressLineNumbers w:val="0"/>
              <w:snapToGrid w:val="0"/>
              <w:spacing w:before="0" w:beforeAutospacing="0" w:after="0" w:afterAutospacing="0"/>
              <w:ind w:left="0" w:right="0"/>
              <w:jc w:val="center"/>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投标人同类项目业绩情况</w:t>
            </w:r>
          </w:p>
        </w:tc>
        <w:tc>
          <w:tcPr>
            <w:tcW w:w="2545" w:type="pct"/>
            <w:tcBorders>
              <w:top w:val="single" w:color="auto" w:sz="4" w:space="0"/>
              <w:left w:val="single" w:color="auto" w:sz="4" w:space="0"/>
              <w:bottom w:val="single" w:color="auto" w:sz="4" w:space="0"/>
              <w:right w:val="single" w:color="auto" w:sz="4" w:space="0"/>
            </w:tcBorders>
            <w:vAlign w:val="center"/>
          </w:tcPr>
          <w:p w14:paraId="3111E9E2">
            <w:pPr>
              <w:keepNext w:val="0"/>
              <w:keepLines w:val="0"/>
              <w:suppressLineNumbers w:val="0"/>
              <w:wordWrap w:val="0"/>
              <w:snapToGrid w:val="0"/>
              <w:spacing w:before="0" w:beforeAutospacing="0" w:after="0" w:afterAutospacing="0"/>
              <w:ind w:left="0" w:right="0"/>
              <w:rPr>
                <w:rFonts w:hint="default"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b/>
                <w:bCs/>
                <w:color w:val="000000" w:themeColor="text1"/>
                <w:szCs w:val="21"/>
                <w:highlight w:val="none"/>
                <w14:textFill>
                  <w14:solidFill>
                    <w14:schemeClr w14:val="tx1"/>
                  </w14:solidFill>
                </w14:textFill>
              </w:rPr>
              <w:t>（一）评分内容：</w:t>
            </w:r>
          </w:p>
          <w:p w14:paraId="1746633D">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kern w:val="0"/>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提供投标人</w:t>
            </w:r>
            <w:r>
              <w:rPr>
                <w:rFonts w:hint="eastAsia" w:cs="宋体" w:asciiTheme="minorEastAsia" w:hAnsiTheme="minorEastAsia"/>
                <w:color w:val="FF0000"/>
                <w:kern w:val="0"/>
                <w:szCs w:val="21"/>
                <w:highlight w:val="none"/>
              </w:rPr>
              <w:t>202</w:t>
            </w:r>
            <w:r>
              <w:rPr>
                <w:rFonts w:hint="eastAsia" w:cs="宋体" w:asciiTheme="minorEastAsia" w:hAnsiTheme="minorEastAsia"/>
                <w:color w:val="FF0000"/>
                <w:kern w:val="0"/>
                <w:szCs w:val="21"/>
                <w:highlight w:val="none"/>
                <w:lang w:val="en-US" w:eastAsia="zh-CN"/>
              </w:rPr>
              <w:t>0</w:t>
            </w:r>
            <w:r>
              <w:rPr>
                <w:rFonts w:hint="eastAsia" w:cs="宋体" w:asciiTheme="minorEastAsia" w:hAnsiTheme="minorEastAsia"/>
                <w:color w:val="FF0000"/>
                <w:kern w:val="0"/>
                <w:szCs w:val="21"/>
                <w:highlight w:val="none"/>
              </w:rPr>
              <w:t>年1月1日</w:t>
            </w:r>
            <w:r>
              <w:rPr>
                <w:rFonts w:hint="eastAsia" w:cs="宋体" w:asciiTheme="minorEastAsia" w:hAnsiTheme="minorEastAsia"/>
                <w:color w:val="000000" w:themeColor="text1"/>
                <w:kern w:val="0"/>
                <w:szCs w:val="21"/>
                <w:highlight w:val="none"/>
                <w14:textFill>
                  <w14:solidFill>
                    <w14:schemeClr w14:val="tx1"/>
                  </w14:solidFill>
                </w14:textFill>
              </w:rPr>
              <w:t>至本项目投标截止之日（以合同签订时间为准）</w:t>
            </w:r>
            <w:r>
              <w:rPr>
                <w:rFonts w:hint="eastAsia" w:cs="宋体" w:asciiTheme="minorEastAsia" w:hAnsiTheme="minorEastAsia"/>
                <w:color w:val="000000" w:themeColor="text1"/>
                <w:szCs w:val="21"/>
                <w:highlight w:val="none"/>
                <w:lang w:val="en-US" w:eastAsia="zh-CN"/>
                <w14:textFill>
                  <w14:solidFill>
                    <w14:schemeClr w14:val="tx1"/>
                  </w14:solidFill>
                </w14:textFill>
              </w:rPr>
              <w:t>智能物资管理系统</w:t>
            </w:r>
            <w:r>
              <w:rPr>
                <w:rFonts w:hint="eastAsia" w:cs="宋体" w:asciiTheme="minorEastAsia" w:hAnsiTheme="minorEastAsia"/>
                <w:color w:val="000000" w:themeColor="text1"/>
                <w:kern w:val="0"/>
                <w:szCs w:val="21"/>
                <w:highlight w:val="none"/>
                <w14:textFill>
                  <w14:solidFill>
                    <w14:schemeClr w14:val="tx1"/>
                  </w14:solidFill>
                </w14:textFill>
              </w:rPr>
              <w:t>等同类项目业绩，</w:t>
            </w:r>
            <w:r>
              <w:rPr>
                <w:rFonts w:hint="eastAsia" w:cs="宋体" w:asciiTheme="minorEastAsia" w:hAnsiTheme="minorEastAsia"/>
                <w:color w:val="FF0000"/>
                <w:kern w:val="0"/>
                <w:szCs w:val="21"/>
                <w:highlight w:val="none"/>
              </w:rPr>
              <w:t>每提供1个业绩的得</w:t>
            </w:r>
            <w:r>
              <w:rPr>
                <w:rFonts w:hint="eastAsia" w:cs="宋体" w:asciiTheme="minorEastAsia" w:hAnsiTheme="minorEastAsia"/>
                <w:color w:val="FF0000"/>
                <w:kern w:val="0"/>
                <w:szCs w:val="21"/>
                <w:highlight w:val="none"/>
                <w:lang w:val="en-US" w:eastAsia="zh-CN"/>
              </w:rPr>
              <w:t>5</w:t>
            </w:r>
            <w:r>
              <w:rPr>
                <w:rFonts w:hint="eastAsia" w:cs="宋体" w:asciiTheme="minorEastAsia" w:hAnsiTheme="minorEastAsia"/>
                <w:color w:val="FF0000"/>
                <w:kern w:val="0"/>
                <w:szCs w:val="21"/>
                <w:highlight w:val="none"/>
              </w:rPr>
              <w:t>分，最高得</w:t>
            </w:r>
            <w:r>
              <w:rPr>
                <w:rFonts w:hint="eastAsia" w:cs="宋体" w:asciiTheme="minorEastAsia" w:hAnsiTheme="minorEastAsia"/>
                <w:color w:val="FF0000"/>
                <w:kern w:val="0"/>
                <w:szCs w:val="21"/>
                <w:highlight w:val="none"/>
                <w:lang w:val="en-US" w:eastAsia="zh-CN"/>
              </w:rPr>
              <w:t>5</w:t>
            </w:r>
            <w:r>
              <w:rPr>
                <w:rFonts w:hint="eastAsia" w:cs="宋体" w:asciiTheme="minorEastAsia" w:hAnsiTheme="minorEastAsia"/>
                <w:color w:val="FF0000"/>
                <w:kern w:val="0"/>
                <w:szCs w:val="21"/>
                <w:highlight w:val="none"/>
              </w:rPr>
              <w:t>分。</w:t>
            </w:r>
          </w:p>
          <w:p w14:paraId="0259D05D">
            <w:pPr>
              <w:keepNext w:val="0"/>
              <w:keepLines w:val="0"/>
              <w:suppressLineNumbers w:val="0"/>
              <w:wordWrap w:val="0"/>
              <w:snapToGrid w:val="0"/>
              <w:spacing w:before="0" w:beforeAutospacing="0" w:after="0" w:afterAutospacing="0"/>
              <w:ind w:left="0" w:right="0"/>
              <w:rPr>
                <w:rFonts w:hint="default" w:cs="宋体" w:asciiTheme="minorEastAsia" w:hAnsiTheme="minorEastAsia"/>
                <w:color w:val="000000" w:themeColor="text1"/>
                <w:kern w:val="0"/>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注：同一业绩满足多个类别要求时不可累计得分。同一项目续签不重复计算。</w:t>
            </w:r>
          </w:p>
          <w:p w14:paraId="4A9B31E9">
            <w:pPr>
              <w:keepNext w:val="0"/>
              <w:keepLines w:val="0"/>
              <w:suppressLineNumbers w:val="0"/>
              <w:wordWrap w:val="0"/>
              <w:snapToGrid w:val="0"/>
              <w:spacing w:before="0" w:beforeAutospacing="0" w:after="0" w:afterAutospacing="0"/>
              <w:ind w:left="0" w:right="0"/>
              <w:rPr>
                <w:rFonts w:hint="default" w:cs="宋体" w:asciiTheme="minorEastAsia" w:hAnsiTheme="minorEastAsia"/>
                <w:b/>
                <w:bCs/>
                <w:color w:val="000000" w:themeColor="text1"/>
                <w:kern w:val="0"/>
                <w:szCs w:val="21"/>
                <w:highlight w:val="none"/>
                <w14:textFill>
                  <w14:solidFill>
                    <w14:schemeClr w14:val="tx1"/>
                  </w14:solidFill>
                </w14:textFill>
              </w:rPr>
            </w:pPr>
            <w:r>
              <w:rPr>
                <w:rFonts w:hint="eastAsia" w:cs="宋体" w:asciiTheme="minorEastAsia" w:hAnsiTheme="minorEastAsia"/>
                <w:b/>
                <w:bCs/>
                <w:color w:val="000000" w:themeColor="text1"/>
                <w:kern w:val="0"/>
                <w:szCs w:val="21"/>
                <w:highlight w:val="none"/>
                <w14:textFill>
                  <w14:solidFill>
                    <w14:schemeClr w14:val="tx1"/>
                  </w14:solidFill>
                </w14:textFill>
              </w:rPr>
              <w:t>（二）评分依据：</w:t>
            </w:r>
          </w:p>
          <w:p w14:paraId="3ED6A558">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color w:val="000000" w:themeColor="text1"/>
                <w:kern w:val="0"/>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1.要求提供合同关键信息页作为得分依据（关键信息页包括但不仅限于合同首页、合作内容（标的）页、合同时间页、合同双方盖章页）。</w:t>
            </w:r>
          </w:p>
          <w:p w14:paraId="4B91E873">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color w:val="000000" w:themeColor="text1"/>
                <w:kern w:val="0"/>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2.通过合同关键信息无法判断是否得分的，还须同时提供能证明得分的其它证明资料，如项目报告或合同甲方出具的证明文件（均需加盖合同甲方公章或合同甲方业务章）。</w:t>
            </w:r>
          </w:p>
          <w:p w14:paraId="378F688F">
            <w:pPr>
              <w:keepNext w:val="0"/>
              <w:keepLines w:val="0"/>
              <w:suppressLineNumbers w:val="0"/>
              <w:wordWrap w:val="0"/>
              <w:snapToGrid w:val="0"/>
              <w:spacing w:before="0" w:beforeAutospacing="0" w:after="0" w:afterAutospacing="0"/>
              <w:ind w:left="0" w:right="0"/>
              <w:jc w:val="left"/>
              <w:rPr>
                <w:rFonts w:hint="default" w:cs="宋体" w:asciiTheme="minorEastAsia" w:hAnsiTheme="minorEastAsia"/>
                <w:b/>
                <w:bCs/>
                <w:color w:val="000000" w:themeColor="text1"/>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注：证明材料复印件均须加盖投标人公章。</w:t>
            </w:r>
            <w:r>
              <w:rPr>
                <w:rFonts w:hint="eastAsia" w:cs="宋体" w:asciiTheme="minorEastAsia" w:hAnsiTheme="minorEastAsia"/>
                <w:color w:val="000000" w:themeColor="text1"/>
                <w:szCs w:val="21"/>
                <w:highlight w:val="none"/>
                <w14:textFill>
                  <w14:solidFill>
                    <w14:schemeClr w14:val="tx1"/>
                  </w14:solidFill>
                </w14:textFill>
              </w:rPr>
              <w:t>评分中出现无证明资料或者评审委员会无法凭所提供资料判断是否得分的情况，一律做不得分处理。</w:t>
            </w:r>
          </w:p>
        </w:tc>
        <w:tc>
          <w:tcPr>
            <w:tcW w:w="628" w:type="pct"/>
            <w:tcBorders>
              <w:top w:val="single" w:color="auto" w:sz="4" w:space="0"/>
              <w:left w:val="single" w:color="auto" w:sz="4" w:space="0"/>
              <w:bottom w:val="single" w:color="auto" w:sz="4" w:space="0"/>
              <w:right w:val="single" w:color="auto" w:sz="4" w:space="0"/>
            </w:tcBorders>
            <w:vAlign w:val="center"/>
          </w:tcPr>
          <w:p w14:paraId="13AAF531">
            <w:pPr>
              <w:keepNext w:val="0"/>
              <w:keepLines w:val="0"/>
              <w:suppressLineNumbers w:val="0"/>
              <w:snapToGrid w:val="0"/>
              <w:spacing w:before="0" w:beforeAutospacing="0" w:after="0" w:afterAutospacing="0"/>
              <w:ind w:left="0" w:right="0"/>
              <w:jc w:val="center"/>
              <w:rPr>
                <w:rFonts w:hint="eastAsia" w:cs="宋体" w:asciiTheme="minorEastAsia" w:hAnsiTheme="minorEastAsia" w:eastAsiaTheme="minorEastAsia"/>
                <w:color w:val="FF0000"/>
                <w:szCs w:val="21"/>
                <w:lang w:eastAsia="zh-CN"/>
              </w:rPr>
            </w:pPr>
            <w:r>
              <w:rPr>
                <w:rFonts w:hint="eastAsia" w:cs="宋体" w:asciiTheme="minorEastAsia" w:hAnsiTheme="minorEastAsia"/>
                <w:color w:val="FF0000"/>
                <w:szCs w:val="21"/>
                <w:lang w:val="en-US" w:eastAsia="zh-CN"/>
              </w:rPr>
              <w:t>5</w:t>
            </w:r>
          </w:p>
        </w:tc>
        <w:tc>
          <w:tcPr>
            <w:tcW w:w="725" w:type="pct"/>
            <w:tcBorders>
              <w:top w:val="single" w:color="auto" w:sz="4" w:space="0"/>
              <w:left w:val="single" w:color="auto" w:sz="4" w:space="0"/>
              <w:bottom w:val="single" w:color="auto" w:sz="4" w:space="0"/>
              <w:right w:val="single" w:color="auto" w:sz="4" w:space="0"/>
            </w:tcBorders>
            <w:vAlign w:val="center"/>
          </w:tcPr>
          <w:p w14:paraId="208D17F8">
            <w:pPr>
              <w:keepNext w:val="0"/>
              <w:keepLines w:val="0"/>
              <w:suppressLineNumbers w:val="0"/>
              <w:snapToGrid w:val="0"/>
              <w:spacing w:before="0" w:beforeAutospacing="0" w:after="0" w:afterAutospacing="0"/>
              <w:ind w:left="0" w:right="0"/>
              <w:jc w:val="center"/>
              <w:rPr>
                <w:rFonts w:hint="eastAsia" w:cs="宋体" w:asciiTheme="minorEastAsia" w:hAnsiTheme="minorEastAsia" w:eastAsiaTheme="minorEastAsia"/>
                <w:color w:val="FF0000"/>
                <w:szCs w:val="21"/>
                <w:lang w:eastAsia="zh-CN"/>
              </w:rPr>
            </w:pPr>
            <w:r>
              <w:rPr>
                <w:rFonts w:hint="eastAsia" w:cs="宋体" w:asciiTheme="minorEastAsia" w:hAnsiTheme="minorEastAsia"/>
                <w:color w:val="FF0000"/>
                <w:szCs w:val="21"/>
                <w:lang w:val="en-US" w:eastAsia="zh-CN"/>
              </w:rPr>
              <w:t>5</w:t>
            </w:r>
          </w:p>
        </w:tc>
      </w:tr>
      <w:tr w14:paraId="0109E9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424" w:type="pct"/>
            <w:tcBorders>
              <w:top w:val="single" w:color="auto" w:sz="4" w:space="0"/>
              <w:left w:val="single" w:color="auto" w:sz="4" w:space="0"/>
              <w:bottom w:val="single" w:color="auto" w:sz="4" w:space="0"/>
              <w:right w:val="single" w:color="auto" w:sz="4" w:space="0"/>
            </w:tcBorders>
            <w:vAlign w:val="center"/>
          </w:tcPr>
          <w:p w14:paraId="64F25AD6">
            <w:pPr>
              <w:pStyle w:val="51"/>
              <w:keepNext w:val="0"/>
              <w:keepLines w:val="0"/>
              <w:numPr>
                <w:ilvl w:val="0"/>
                <w:numId w:val="4"/>
              </w:numPr>
              <w:suppressLineNumbers w:val="0"/>
              <w:spacing w:before="0" w:beforeAutospacing="0" w:after="0" w:afterAutospacing="0"/>
              <w:ind w:left="0" w:right="0" w:firstLine="0" w:firstLineChars="0"/>
              <w:rPr>
                <w:rFonts w:hint="default" w:cs="宋体" w:asciiTheme="minorEastAsia" w:hAnsiTheme="minorEastAsia" w:eastAsiaTheme="minorEastAsia"/>
                <w:color w:val="000000" w:themeColor="text1"/>
                <w14:textFill>
                  <w14:solidFill>
                    <w14:schemeClr w14:val="tx1"/>
                  </w14:solidFill>
                </w14:textFill>
              </w:rPr>
            </w:pPr>
          </w:p>
        </w:tc>
        <w:tc>
          <w:tcPr>
            <w:tcW w:w="676" w:type="pct"/>
            <w:tcBorders>
              <w:top w:val="single" w:color="auto" w:sz="4" w:space="0"/>
              <w:left w:val="single" w:color="auto" w:sz="4" w:space="0"/>
              <w:bottom w:val="single" w:color="auto" w:sz="4" w:space="0"/>
              <w:right w:val="single" w:color="auto" w:sz="4" w:space="0"/>
            </w:tcBorders>
            <w:vAlign w:val="center"/>
          </w:tcPr>
          <w:p w14:paraId="4093B8EF">
            <w:pPr>
              <w:keepNext w:val="0"/>
              <w:keepLines w:val="0"/>
              <w:suppressLineNumbers w:val="0"/>
              <w:spacing w:before="0" w:beforeAutospacing="0" w:after="0" w:afterAutospacing="0"/>
              <w:ind w:left="0" w:right="0"/>
              <w:jc w:val="center"/>
              <w:rPr>
                <w:rFonts w:hint="default" w:cs="宋体" w:asciiTheme="minorEastAsia" w:hAnsiTheme="minorEastAsia"/>
                <w:bCs/>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诚信</w:t>
            </w:r>
          </w:p>
        </w:tc>
        <w:tc>
          <w:tcPr>
            <w:tcW w:w="2545" w:type="pct"/>
            <w:tcBorders>
              <w:top w:val="single" w:color="auto" w:sz="4" w:space="0"/>
              <w:left w:val="single" w:color="auto" w:sz="4" w:space="0"/>
              <w:bottom w:val="single" w:color="auto" w:sz="4" w:space="0"/>
              <w:right w:val="single" w:color="auto" w:sz="4" w:space="0"/>
            </w:tcBorders>
            <w:vAlign w:val="center"/>
          </w:tcPr>
          <w:p w14:paraId="7E2A7699">
            <w:pPr>
              <w:keepNext w:val="0"/>
              <w:keepLines w:val="0"/>
              <w:suppressLineNumbers w:val="0"/>
              <w:spacing w:before="0" w:beforeAutospacing="0" w:after="0" w:afterAutospacing="0"/>
              <w:ind w:left="0" w:right="0"/>
              <w:jc w:val="left"/>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（一）评分内容</w:t>
            </w:r>
          </w:p>
          <w:p w14:paraId="3E14BA40">
            <w:pPr>
              <w:keepNext w:val="0"/>
              <w:keepLines w:val="0"/>
              <w:suppressLineNumbers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供应商诚信查询结果。</w:t>
            </w:r>
          </w:p>
          <w:p w14:paraId="3C3A0E07">
            <w:pPr>
              <w:keepNext w:val="0"/>
              <w:keepLines w:val="0"/>
              <w:suppressLineNumbers w:val="0"/>
              <w:spacing w:before="0" w:beforeAutospacing="0" w:after="0" w:afterAutospacing="0"/>
              <w:ind w:left="0" w:right="0"/>
              <w:jc w:val="left"/>
              <w:rPr>
                <w:rFonts w:hint="default" w:cs="宋体" w:asciiTheme="minorEastAsia" w:hAnsiTheme="minorEastAsia"/>
                <w:b/>
                <w:bCs/>
                <w:color w:val="000000" w:themeColor="text1"/>
                <w:szCs w:val="21"/>
                <w14:textFill>
                  <w14:solidFill>
                    <w14:schemeClr w14:val="tx1"/>
                  </w14:solidFill>
                </w14:textFill>
              </w:rPr>
            </w:pPr>
            <w:r>
              <w:rPr>
                <w:rFonts w:hint="eastAsia" w:cs="宋体" w:asciiTheme="minorEastAsia" w:hAnsiTheme="minorEastAsia"/>
                <w:b/>
                <w:bCs/>
                <w:color w:val="000000" w:themeColor="text1"/>
                <w:szCs w:val="21"/>
                <w14:textFill>
                  <w14:solidFill>
                    <w14:schemeClr w14:val="tx1"/>
                  </w14:solidFill>
                </w14:textFill>
              </w:rPr>
              <w:t>（二）评分依据</w:t>
            </w:r>
          </w:p>
          <w:p w14:paraId="1A390826">
            <w:pPr>
              <w:keepNext w:val="0"/>
              <w:keepLines w:val="0"/>
              <w:suppressLineNumbers w:val="0"/>
              <w:spacing w:before="0" w:beforeAutospacing="0" w:after="0" w:afterAutospacing="0"/>
              <w:ind w:left="0" w:right="0"/>
              <w:jc w:val="left"/>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查询渠道：通过“信用中国”（www.creditchina.gov.cn）、“中国政府采购网”（www.ccgp.gov.cn）、“深圳市政府采购监管网”（http://zfcg.sz.gov.cn）以及财政主管部门认定的其他渠道查询供应商信用信息，信用信息以开标当日的查询结果为准。</w:t>
            </w:r>
          </w:p>
        </w:tc>
        <w:tc>
          <w:tcPr>
            <w:tcW w:w="628" w:type="pct"/>
            <w:tcBorders>
              <w:top w:val="single" w:color="auto" w:sz="4" w:space="0"/>
              <w:left w:val="single" w:color="auto" w:sz="4" w:space="0"/>
              <w:bottom w:val="single" w:color="auto" w:sz="4" w:space="0"/>
              <w:right w:val="single" w:color="auto" w:sz="4" w:space="0"/>
            </w:tcBorders>
            <w:vAlign w:val="center"/>
          </w:tcPr>
          <w:p w14:paraId="18FA58F9">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5</w:t>
            </w:r>
          </w:p>
        </w:tc>
        <w:tc>
          <w:tcPr>
            <w:tcW w:w="725" w:type="pct"/>
            <w:tcBorders>
              <w:top w:val="single" w:color="auto" w:sz="4" w:space="0"/>
              <w:left w:val="single" w:color="auto" w:sz="4" w:space="0"/>
              <w:bottom w:val="single" w:color="auto" w:sz="4" w:space="0"/>
              <w:right w:val="single" w:color="auto" w:sz="4" w:space="0"/>
            </w:tcBorders>
            <w:vAlign w:val="center"/>
          </w:tcPr>
          <w:p w14:paraId="573400A7">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5</w:t>
            </w:r>
          </w:p>
        </w:tc>
      </w:tr>
      <w:tr w14:paraId="3B1731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trPr>
        <w:tc>
          <w:tcPr>
            <w:tcW w:w="424" w:type="pct"/>
            <w:tcBorders>
              <w:top w:val="single" w:color="auto" w:sz="4" w:space="0"/>
              <w:left w:val="single" w:color="auto" w:sz="4" w:space="0"/>
              <w:bottom w:val="single" w:color="auto" w:sz="4" w:space="0"/>
              <w:right w:val="single" w:color="auto" w:sz="4" w:space="0"/>
            </w:tcBorders>
            <w:vAlign w:val="center"/>
          </w:tcPr>
          <w:p w14:paraId="7449DDA3">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三</w:t>
            </w:r>
          </w:p>
        </w:tc>
        <w:tc>
          <w:tcPr>
            <w:tcW w:w="4575" w:type="pct"/>
            <w:gridSpan w:val="4"/>
            <w:tcBorders>
              <w:top w:val="single" w:color="auto" w:sz="4" w:space="0"/>
              <w:left w:val="single" w:color="auto" w:sz="4" w:space="0"/>
              <w:bottom w:val="single" w:color="auto" w:sz="4" w:space="0"/>
              <w:right w:val="single" w:color="auto" w:sz="4" w:space="0"/>
            </w:tcBorders>
            <w:vAlign w:val="center"/>
          </w:tcPr>
          <w:p w14:paraId="50C89C0B">
            <w:pPr>
              <w:keepNext w:val="0"/>
              <w:keepLines w:val="0"/>
              <w:suppressLineNumbers w:val="0"/>
              <w:spacing w:before="0" w:beforeAutospacing="0" w:after="0" w:afterAutospacing="0"/>
              <w:ind w:left="0" w:right="0"/>
              <w:jc w:val="center"/>
              <w:rPr>
                <w:rFonts w:hint="default" w:cs="宋体" w:asciiTheme="minorEastAsia" w:hAnsiTheme="minorEastAsia"/>
                <w:b/>
                <w:color w:val="000000" w:themeColor="text1"/>
                <w:szCs w:val="21"/>
                <w14:textFill>
                  <w14:solidFill>
                    <w14:schemeClr w14:val="tx1"/>
                  </w14:solidFill>
                </w14:textFill>
              </w:rPr>
            </w:pPr>
            <w:r>
              <w:rPr>
                <w:rFonts w:hint="eastAsia" w:cs="宋体" w:asciiTheme="minorEastAsia" w:hAnsiTheme="minorEastAsia"/>
                <w:b/>
                <w:color w:val="000000" w:themeColor="text1"/>
                <w:szCs w:val="21"/>
                <w14:textFill>
                  <w14:solidFill>
                    <w14:schemeClr w14:val="tx1"/>
                  </w14:solidFill>
                </w14:textFill>
              </w:rPr>
              <w:t>价格部分（10分）</w:t>
            </w:r>
          </w:p>
        </w:tc>
      </w:tr>
      <w:tr w14:paraId="0A7586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trPr>
        <w:tc>
          <w:tcPr>
            <w:tcW w:w="424" w:type="pct"/>
            <w:tcBorders>
              <w:top w:val="single" w:color="auto" w:sz="4" w:space="0"/>
              <w:left w:val="single" w:color="auto" w:sz="4" w:space="0"/>
              <w:bottom w:val="single" w:color="auto" w:sz="4" w:space="0"/>
              <w:right w:val="single" w:color="auto" w:sz="4" w:space="0"/>
            </w:tcBorders>
            <w:vAlign w:val="center"/>
          </w:tcPr>
          <w:p w14:paraId="03D9B855">
            <w:pPr>
              <w:keepNext w:val="0"/>
              <w:keepLines w:val="0"/>
              <w:suppressLineNumbers w:val="0"/>
              <w:spacing w:before="0" w:beforeAutospacing="0" w:after="0" w:afterAutospacing="0"/>
              <w:ind w:left="0" w:right="0"/>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w:t>
            </w:r>
          </w:p>
        </w:tc>
        <w:tc>
          <w:tcPr>
            <w:tcW w:w="676" w:type="pct"/>
            <w:tcBorders>
              <w:top w:val="single" w:color="auto" w:sz="4" w:space="0"/>
              <w:left w:val="single" w:color="auto" w:sz="4" w:space="0"/>
              <w:bottom w:val="single" w:color="auto" w:sz="4" w:space="0"/>
              <w:right w:val="single" w:color="auto" w:sz="4" w:space="0"/>
            </w:tcBorders>
            <w:vAlign w:val="center"/>
          </w:tcPr>
          <w:p w14:paraId="5281395E">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highlight w:val="none"/>
                <w14:textFill>
                  <w14:solidFill>
                    <w14:schemeClr w14:val="tx1"/>
                  </w14:solidFill>
                </w14:textFill>
              </w:rPr>
            </w:pPr>
            <w:r>
              <w:rPr>
                <w:rFonts w:hint="eastAsia" w:cs="宋体" w:asciiTheme="minorEastAsia" w:hAnsiTheme="minorEastAsia"/>
                <w:color w:val="000000" w:themeColor="text1"/>
                <w:szCs w:val="21"/>
                <w:highlight w:val="none"/>
                <w14:textFill>
                  <w14:solidFill>
                    <w14:schemeClr w14:val="tx1"/>
                  </w14:solidFill>
                </w14:textFill>
              </w:rPr>
              <w:t>投标报价</w:t>
            </w:r>
          </w:p>
        </w:tc>
        <w:tc>
          <w:tcPr>
            <w:tcW w:w="2545" w:type="pct"/>
            <w:tcBorders>
              <w:top w:val="single" w:color="auto" w:sz="4" w:space="0"/>
              <w:left w:val="single" w:color="auto" w:sz="4" w:space="0"/>
              <w:bottom w:val="single" w:color="auto" w:sz="4" w:space="0"/>
              <w:right w:val="single" w:color="auto" w:sz="4" w:space="0"/>
            </w:tcBorders>
            <w:vAlign w:val="center"/>
          </w:tcPr>
          <w:p w14:paraId="4282B699">
            <w:pPr>
              <w:keepNext w:val="0"/>
              <w:keepLines w:val="0"/>
              <w:suppressLineNumbers w:val="0"/>
              <w:autoSpaceDE w:val="0"/>
              <w:autoSpaceDN w:val="0"/>
              <w:adjustRightInd w:val="0"/>
              <w:snapToGrid w:val="0"/>
              <w:spacing w:before="0" w:beforeAutospacing="0" w:after="0" w:afterAutospacing="0"/>
              <w:ind w:left="0" w:right="0"/>
              <w:rPr>
                <w:rFonts w:hint="default" w:cs="宋体" w:asciiTheme="minorEastAsia" w:hAnsiTheme="minorEastAsia"/>
                <w:color w:val="000000" w:themeColor="text1"/>
                <w:kern w:val="0"/>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价格分应当采用低价优先法计算，即满足招标文件要求且投标价格最低的投标报价为评标基准价，其价格分为满分。其他投标人的价格分统一按照下列公式计算：</w:t>
            </w:r>
          </w:p>
          <w:p w14:paraId="2BA3D131">
            <w:pPr>
              <w:keepNext w:val="0"/>
              <w:keepLines w:val="0"/>
              <w:widowControl/>
              <w:suppressLineNumbers w:val="0"/>
              <w:spacing w:before="0" w:beforeAutospacing="0" w:after="0" w:afterAutospacing="0"/>
              <w:ind w:left="0" w:right="0"/>
              <w:jc w:val="left"/>
              <w:rPr>
                <w:rFonts w:hint="default" w:cs="宋体" w:asciiTheme="minorEastAsia" w:hAnsiTheme="minorEastAsia"/>
                <w:color w:val="000000" w:themeColor="text1"/>
                <w:kern w:val="0"/>
                <w:szCs w:val="21"/>
                <w:highlight w:val="none"/>
                <w14:textFill>
                  <w14:solidFill>
                    <w14:schemeClr w14:val="tx1"/>
                  </w14:solidFill>
                </w14:textFill>
              </w:rPr>
            </w:pPr>
            <w:r>
              <w:rPr>
                <w:rFonts w:hint="eastAsia" w:cs="宋体" w:asciiTheme="minorEastAsia" w:hAnsiTheme="minorEastAsia"/>
                <w:color w:val="000000" w:themeColor="text1"/>
                <w:kern w:val="0"/>
                <w:szCs w:val="21"/>
                <w:highlight w:val="none"/>
                <w14:textFill>
                  <w14:solidFill>
                    <w14:schemeClr w14:val="tx1"/>
                  </w14:solidFill>
                </w14:textFill>
              </w:rPr>
              <w:t>投标报价得分=（评标基准价／投标报价）×100×权重</w:t>
            </w:r>
          </w:p>
          <w:p w14:paraId="469D14D3">
            <w:pPr>
              <w:keepNext w:val="0"/>
              <w:keepLines w:val="0"/>
              <w:widowControl/>
              <w:suppressLineNumbers w:val="0"/>
              <w:spacing w:before="0" w:beforeAutospacing="0" w:after="0" w:afterAutospacing="0"/>
              <w:ind w:left="0" w:right="0"/>
              <w:jc w:val="left"/>
              <w:rPr>
                <w:rFonts w:hint="default" w:cs="宋体" w:asciiTheme="minorEastAsia" w:hAnsiTheme="minorEastAsia"/>
                <w:bCs/>
                <w:color w:val="000000" w:themeColor="text1"/>
                <w:szCs w:val="21"/>
                <w:highlight w:val="none"/>
                <w14:textFill>
                  <w14:solidFill>
                    <w14:schemeClr w14:val="tx1"/>
                  </w14:solidFill>
                </w14:textFill>
              </w:rPr>
            </w:pPr>
            <w:r>
              <w:rPr>
                <w:rFonts w:hint="eastAsia" w:cs="宋体" w:asciiTheme="minorEastAsia" w:hAnsiTheme="minorEastAsia"/>
                <w:bCs/>
                <w:color w:val="000000" w:themeColor="text1"/>
                <w:szCs w:val="21"/>
                <w:highlight w:val="none"/>
                <w14:textFill>
                  <w14:solidFill>
                    <w14:schemeClr w14:val="tx1"/>
                  </w14:solidFill>
                </w14:textFill>
              </w:rPr>
              <w:t>备注：</w:t>
            </w:r>
          </w:p>
          <w:p w14:paraId="1334BC32">
            <w:pPr>
              <w:keepNext w:val="0"/>
              <w:keepLines w:val="0"/>
              <w:suppressLineNumbers w:val="0"/>
              <w:spacing w:before="0" w:beforeAutospacing="0" w:after="0" w:afterAutospacing="0"/>
              <w:ind w:left="0" w:right="0"/>
              <w:rPr>
                <w:rStyle w:val="23"/>
                <w:rFonts w:hint="default" w:cs="宋体" w:asciiTheme="minorEastAsia" w:hAnsiTheme="minorEastAsia"/>
                <w:color w:val="000000" w:themeColor="text1"/>
                <w:highlight w:val="none"/>
                <w14:textFill>
                  <w14:solidFill>
                    <w14:schemeClr w14:val="tx1"/>
                  </w14:solidFill>
                </w14:textFill>
              </w:rPr>
            </w:pPr>
            <w:r>
              <w:rPr>
                <w:rFonts w:hint="eastAsia" w:cs="宋体" w:asciiTheme="minorEastAsia" w:hAnsiTheme="minorEastAsia"/>
                <w:bCs/>
                <w:color w:val="000000" w:themeColor="text1"/>
                <w:szCs w:val="21"/>
                <w:highlight w:val="none"/>
                <w14:textFill>
                  <w14:solidFill>
                    <w14:schemeClr w14:val="tx1"/>
                  </w14:solidFill>
                </w14:textFill>
              </w:rPr>
              <w:t>1、投标报价得分四舍五入后，</w:t>
            </w:r>
            <w:r>
              <w:rPr>
                <w:rFonts w:hint="eastAsia" w:cs="宋体" w:asciiTheme="minorEastAsia" w:hAnsiTheme="minorEastAsia"/>
                <w:color w:val="000000" w:themeColor="text1"/>
                <w:szCs w:val="21"/>
                <w:highlight w:val="none"/>
                <w14:textFill>
                  <w14:solidFill>
                    <w14:schemeClr w14:val="tx1"/>
                  </w14:solidFill>
                </w14:textFill>
              </w:rPr>
              <w:t>小数点后保留两位有效数</w:t>
            </w:r>
            <w:r>
              <w:rPr>
                <w:rFonts w:hint="eastAsia" w:cs="宋体" w:asciiTheme="minorEastAsia" w:hAnsiTheme="minorEastAsia"/>
                <w:bCs/>
                <w:color w:val="000000" w:themeColor="text1"/>
                <w:szCs w:val="21"/>
                <w:highlight w:val="none"/>
                <w14:textFill>
                  <w14:solidFill>
                    <w14:schemeClr w14:val="tx1"/>
                  </w14:solidFill>
                </w14:textFill>
              </w:rPr>
              <w:t>。</w:t>
            </w:r>
          </w:p>
          <w:p w14:paraId="69247FF6">
            <w:pPr>
              <w:keepNext w:val="0"/>
              <w:keepLines w:val="0"/>
              <w:suppressLineNumbers w:val="0"/>
              <w:spacing w:before="0" w:beforeAutospacing="0" w:after="0" w:afterAutospacing="0"/>
              <w:ind w:left="0" w:right="0"/>
              <w:rPr>
                <w:rStyle w:val="23"/>
                <w:rFonts w:hint="default" w:cs="宋体" w:asciiTheme="minorEastAsia" w:hAnsiTheme="minorEastAsia"/>
                <w:color w:val="000000" w:themeColor="text1"/>
                <w:highlight w:val="none"/>
                <w14:textFill>
                  <w14:solidFill>
                    <w14:schemeClr w14:val="tx1"/>
                  </w14:solidFill>
                </w14:textFill>
              </w:rPr>
            </w:pPr>
            <w:r>
              <w:rPr>
                <w:rStyle w:val="23"/>
                <w:rFonts w:hint="eastAsia" w:cs="宋体" w:asciiTheme="minorEastAsia" w:hAnsiTheme="minorEastAsia"/>
                <w:color w:val="000000" w:themeColor="text1"/>
                <w:highlight w:val="none"/>
                <w14:textFill>
                  <w14:solidFill>
                    <w14:schemeClr w14:val="tx1"/>
                  </w14:solidFill>
                </w14:textFill>
              </w:rPr>
              <w:t>2、因落实政府采购政策进行价格调整的，以调整后的价格计算评标基准价和投标报价，详见《价格扣除》。</w:t>
            </w:r>
          </w:p>
        </w:tc>
        <w:tc>
          <w:tcPr>
            <w:tcW w:w="628" w:type="pct"/>
            <w:tcBorders>
              <w:top w:val="single" w:color="auto" w:sz="4" w:space="0"/>
              <w:left w:val="single" w:color="auto" w:sz="4" w:space="0"/>
              <w:bottom w:val="single" w:color="auto" w:sz="4" w:space="0"/>
              <w:right w:val="single" w:color="auto" w:sz="4" w:space="0"/>
            </w:tcBorders>
            <w:vAlign w:val="center"/>
          </w:tcPr>
          <w:p w14:paraId="384DEA3E">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10</w:t>
            </w:r>
          </w:p>
        </w:tc>
        <w:tc>
          <w:tcPr>
            <w:tcW w:w="725" w:type="pct"/>
            <w:tcBorders>
              <w:top w:val="single" w:color="auto" w:sz="4" w:space="0"/>
              <w:left w:val="single" w:color="auto" w:sz="4" w:space="0"/>
              <w:bottom w:val="single" w:color="auto" w:sz="4" w:space="0"/>
              <w:right w:val="single" w:color="auto" w:sz="4" w:space="0"/>
            </w:tcBorders>
            <w:vAlign w:val="center"/>
          </w:tcPr>
          <w:p w14:paraId="20201941">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10</w:t>
            </w:r>
          </w:p>
        </w:tc>
      </w:tr>
      <w:tr w14:paraId="699A08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3646" w:type="pct"/>
            <w:gridSpan w:val="3"/>
            <w:tcBorders>
              <w:top w:val="single" w:color="auto" w:sz="4" w:space="0"/>
              <w:left w:val="single" w:color="auto" w:sz="4" w:space="0"/>
              <w:bottom w:val="single" w:color="auto" w:sz="4" w:space="0"/>
              <w:right w:val="single" w:color="auto" w:sz="4" w:space="0"/>
            </w:tcBorders>
            <w:vAlign w:val="center"/>
          </w:tcPr>
          <w:p w14:paraId="59A5F207">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合计</w:t>
            </w:r>
          </w:p>
        </w:tc>
        <w:tc>
          <w:tcPr>
            <w:tcW w:w="628" w:type="pct"/>
            <w:tcBorders>
              <w:top w:val="single" w:color="auto" w:sz="4" w:space="0"/>
              <w:left w:val="single" w:color="auto" w:sz="4" w:space="0"/>
              <w:bottom w:val="single" w:color="auto" w:sz="4" w:space="0"/>
              <w:right w:val="single" w:color="auto" w:sz="4" w:space="0"/>
            </w:tcBorders>
            <w:vAlign w:val="center"/>
          </w:tcPr>
          <w:p w14:paraId="4E42CFEF">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100</w:t>
            </w:r>
          </w:p>
        </w:tc>
        <w:tc>
          <w:tcPr>
            <w:tcW w:w="725" w:type="pct"/>
            <w:tcBorders>
              <w:top w:val="single" w:color="auto" w:sz="4" w:space="0"/>
              <w:left w:val="single" w:color="auto" w:sz="4" w:space="0"/>
              <w:bottom w:val="single" w:color="auto" w:sz="4" w:space="0"/>
              <w:right w:val="single" w:color="auto" w:sz="4" w:space="0"/>
            </w:tcBorders>
            <w:vAlign w:val="center"/>
          </w:tcPr>
          <w:p w14:paraId="742FD20C">
            <w:pPr>
              <w:keepNext w:val="0"/>
              <w:keepLines w:val="0"/>
              <w:suppressLineNumbers w:val="0"/>
              <w:spacing w:before="0" w:beforeAutospacing="0" w:after="0" w:afterAutospacing="0"/>
              <w:ind w:left="0" w:right="0"/>
              <w:jc w:val="center"/>
              <w:rPr>
                <w:rFonts w:hint="default" w:cs="宋体" w:asciiTheme="minorEastAsia" w:hAnsiTheme="minorEastAsia"/>
                <w:color w:val="000000" w:themeColor="text1"/>
                <w:szCs w:val="21"/>
                <w14:textFill>
                  <w14:solidFill>
                    <w14:schemeClr w14:val="tx1"/>
                  </w14:solidFill>
                </w14:textFill>
              </w:rPr>
            </w:pPr>
            <w:r>
              <w:rPr>
                <w:rFonts w:hint="eastAsia" w:cs="宋体" w:asciiTheme="minorEastAsia" w:hAnsiTheme="minorEastAsia"/>
                <w:color w:val="000000" w:themeColor="text1"/>
                <w:szCs w:val="21"/>
                <w14:textFill>
                  <w14:solidFill>
                    <w14:schemeClr w14:val="tx1"/>
                  </w14:solidFill>
                </w14:textFill>
              </w:rPr>
              <w:t>100</w:t>
            </w:r>
          </w:p>
        </w:tc>
      </w:tr>
    </w:tbl>
    <w:p w14:paraId="7EC6F29F">
      <w:pPr>
        <w:spacing w:line="360" w:lineRule="auto"/>
        <w:ind w:firstLine="480" w:firstLineChars="200"/>
        <w:jc w:val="left"/>
        <w:rPr>
          <w:rFonts w:ascii="宋体" w:hAnsi="宋体"/>
          <w:sz w:val="24"/>
        </w:rPr>
        <w:sectPr>
          <w:pgSz w:w="11906" w:h="16838"/>
          <w:pgMar w:top="1418" w:right="1474" w:bottom="1418" w:left="1474" w:header="851" w:footer="992" w:gutter="0"/>
          <w:cols w:space="425" w:num="1"/>
          <w:docGrid w:type="lines" w:linePitch="312" w:charSpace="0"/>
        </w:sectPr>
      </w:pPr>
    </w:p>
    <w:bookmarkEnd w:id="9"/>
    <w:bookmarkEnd w:id="10"/>
    <w:p w14:paraId="38E41DA7">
      <w:pPr>
        <w:pStyle w:val="2"/>
      </w:pPr>
      <w:bookmarkStart w:id="11" w:name="_Toc61880306"/>
      <w:bookmarkStart w:id="12" w:name="_Toc61539110"/>
      <w:r>
        <w:rPr>
          <w:rFonts w:hint="eastAsia"/>
        </w:rPr>
        <w:t>第三章  投标人须知</w:t>
      </w:r>
      <w:bookmarkEnd w:id="11"/>
      <w:bookmarkEnd w:id="12"/>
    </w:p>
    <w:p w14:paraId="4F04929E">
      <w:pPr>
        <w:pStyle w:val="5"/>
        <w:ind w:firstLine="482"/>
      </w:pPr>
      <w:bookmarkStart w:id="13" w:name="_Toc55548492"/>
      <w:r>
        <w:t>一、说明</w:t>
      </w:r>
      <w:bookmarkEnd w:id="13"/>
    </w:p>
    <w:p w14:paraId="31367706">
      <w:pPr>
        <w:pStyle w:val="4"/>
        <w:spacing w:line="360" w:lineRule="auto"/>
        <w:ind w:firstLine="482"/>
      </w:pPr>
      <w:bookmarkStart w:id="14" w:name="_Toc55548493"/>
      <w:bookmarkStart w:id="15" w:name="_Toc18091"/>
      <w:r>
        <w:t>招标人及资金来源</w:t>
      </w:r>
      <w:bookmarkEnd w:id="14"/>
      <w:bookmarkEnd w:id="15"/>
    </w:p>
    <w:p w14:paraId="3787679F">
      <w:pPr>
        <w:spacing w:line="360" w:lineRule="auto"/>
        <w:ind w:firstLine="420" w:firstLineChars="200"/>
        <w:rPr>
          <w:rFonts w:asciiTheme="minorEastAsia" w:hAnsiTheme="minorEastAsia"/>
          <w:szCs w:val="21"/>
        </w:rPr>
      </w:pPr>
      <w:bookmarkStart w:id="16" w:name="_Ref179620507"/>
      <w:r>
        <w:rPr>
          <w:rFonts w:asciiTheme="minorEastAsia" w:hAnsiTheme="minorEastAsia"/>
          <w:szCs w:val="21"/>
        </w:rPr>
        <w:t>招标人已拥有一笔资金/</w:t>
      </w:r>
      <w:r>
        <w:rPr>
          <w:rFonts w:hint="eastAsia" w:asciiTheme="minorEastAsia" w:hAnsiTheme="minorEastAsia"/>
          <w:szCs w:val="21"/>
        </w:rPr>
        <w:t>货</w:t>
      </w:r>
      <w:r>
        <w:rPr>
          <w:rFonts w:asciiTheme="minorEastAsia" w:hAnsiTheme="minorEastAsia"/>
          <w:szCs w:val="21"/>
        </w:rPr>
        <w:t>款。招标人计划将一部分资金/贷款用于支付本次招标后所签订合同项下的款项，资金来源</w:t>
      </w:r>
      <w:r>
        <w:rPr>
          <w:rFonts w:hint="eastAsia" w:asciiTheme="minorEastAsia" w:hAnsiTheme="minorEastAsia"/>
          <w:szCs w:val="21"/>
        </w:rPr>
        <w:t>为：</w:t>
      </w:r>
      <w:r>
        <w:rPr>
          <w:rFonts w:asciiTheme="minorEastAsia" w:hAnsiTheme="minorEastAsia"/>
          <w:szCs w:val="21"/>
        </w:rPr>
        <w:t>财政资金。</w:t>
      </w:r>
      <w:bookmarkEnd w:id="16"/>
    </w:p>
    <w:p w14:paraId="234442F0">
      <w:pPr>
        <w:pStyle w:val="4"/>
        <w:spacing w:line="360" w:lineRule="auto"/>
        <w:ind w:firstLine="482"/>
      </w:pPr>
      <w:bookmarkStart w:id="17" w:name="_Toc55548494"/>
      <w:bookmarkStart w:id="18" w:name="_Toc29370"/>
      <w:r>
        <w:t>合格的投标人</w:t>
      </w:r>
      <w:bookmarkEnd w:id="17"/>
      <w:bookmarkEnd w:id="18"/>
    </w:p>
    <w:p w14:paraId="5A8E12BB">
      <w:pPr>
        <w:spacing w:line="360" w:lineRule="auto"/>
        <w:ind w:firstLine="420" w:firstLineChars="200"/>
        <w:rPr>
          <w:rFonts w:asciiTheme="minorEastAsia" w:hAnsiTheme="minorEastAsia"/>
          <w:szCs w:val="21"/>
        </w:rPr>
      </w:pPr>
      <w:bookmarkStart w:id="19" w:name="_Ref179620057"/>
      <w:r>
        <w:rPr>
          <w:rFonts w:asciiTheme="minorEastAsia" w:hAnsiTheme="minorEastAsia"/>
          <w:szCs w:val="21"/>
        </w:rPr>
        <w:t>合格的投标人</w:t>
      </w:r>
      <w:bookmarkEnd w:id="19"/>
    </w:p>
    <w:p w14:paraId="463FE8BF">
      <w:pPr>
        <w:spacing w:line="360" w:lineRule="auto"/>
        <w:ind w:firstLine="420" w:firstLineChars="200"/>
        <w:rPr>
          <w:rFonts w:asciiTheme="minorEastAsia" w:hAnsiTheme="minorEastAsia"/>
          <w:szCs w:val="21"/>
        </w:rPr>
      </w:pPr>
      <w:r>
        <w:rPr>
          <w:rFonts w:asciiTheme="minorEastAsia" w:hAnsiTheme="minorEastAsia"/>
          <w:szCs w:val="21"/>
        </w:rPr>
        <w:t>除非下文另有规定，凡是在中华人民共和国境内注册且为人民币流通区域内的供货人均可投标。</w:t>
      </w:r>
    </w:p>
    <w:p w14:paraId="6EA2AFAA">
      <w:pPr>
        <w:spacing w:line="360" w:lineRule="auto"/>
        <w:ind w:firstLine="420" w:firstLineChars="200"/>
        <w:rPr>
          <w:rFonts w:asciiTheme="minorEastAsia" w:hAnsiTheme="minorEastAsia"/>
          <w:szCs w:val="21"/>
        </w:rPr>
      </w:pPr>
      <w:r>
        <w:rPr>
          <w:rFonts w:asciiTheme="minorEastAsia" w:hAnsiTheme="minorEastAsia"/>
          <w:szCs w:val="21"/>
        </w:rPr>
        <w:t>只有在法律上和财务上独立、合法运作并独立于招标人的供货人才能参加投标。</w:t>
      </w:r>
    </w:p>
    <w:p w14:paraId="77ABD3C9">
      <w:pPr>
        <w:spacing w:line="360" w:lineRule="auto"/>
        <w:ind w:firstLine="420" w:firstLineChars="200"/>
        <w:rPr>
          <w:rFonts w:asciiTheme="minorEastAsia" w:hAnsiTheme="minorEastAsia"/>
          <w:szCs w:val="21"/>
        </w:rPr>
      </w:pPr>
      <w:r>
        <w:rPr>
          <w:rFonts w:asciiTheme="minorEastAsia" w:hAnsiTheme="minorEastAsia"/>
          <w:szCs w:val="21"/>
        </w:rPr>
        <w:t>投标人不得直接或间接地与招标人为采购本次招标的货物进行设计、编制规范和其他文件所委托的咨询公司或其附属机构有任何关联。</w:t>
      </w:r>
    </w:p>
    <w:p w14:paraId="29AA69A9">
      <w:pPr>
        <w:pStyle w:val="4"/>
        <w:spacing w:line="360" w:lineRule="auto"/>
        <w:ind w:firstLine="482"/>
      </w:pPr>
      <w:bookmarkStart w:id="20" w:name="_Toc55548495"/>
      <w:bookmarkStart w:id="21" w:name="_Toc12412"/>
      <w:r>
        <w:t>合格的货物和服务</w:t>
      </w:r>
      <w:bookmarkEnd w:id="20"/>
      <w:bookmarkEnd w:id="21"/>
    </w:p>
    <w:p w14:paraId="129F2A51">
      <w:pPr>
        <w:spacing w:line="360" w:lineRule="auto"/>
        <w:ind w:firstLine="420" w:firstLineChars="200"/>
        <w:rPr>
          <w:rFonts w:asciiTheme="minorEastAsia" w:hAnsiTheme="minorEastAsia"/>
          <w:szCs w:val="21"/>
        </w:rPr>
      </w:pPr>
      <w:r>
        <w:rPr>
          <w:rFonts w:asciiTheme="minorEastAsia" w:hAnsiTheme="minorEastAsia"/>
          <w:szCs w:val="21"/>
        </w:rPr>
        <w:t>必须是全新的货物，如安装或配置了软件的，须为正版软件。</w:t>
      </w:r>
    </w:p>
    <w:p w14:paraId="2DBA14FC">
      <w:pPr>
        <w:spacing w:line="360" w:lineRule="auto"/>
        <w:ind w:firstLine="420" w:firstLineChars="200"/>
        <w:rPr>
          <w:rFonts w:asciiTheme="minorEastAsia" w:hAnsiTheme="minorEastAsia"/>
          <w:szCs w:val="21"/>
        </w:rPr>
      </w:pPr>
      <w:r>
        <w:rPr>
          <w:rFonts w:asciiTheme="minorEastAsia" w:hAnsiTheme="minorEastAsia"/>
          <w:szCs w:val="21"/>
        </w:rPr>
        <w:t>产品及相关的服务必须符合中华人民共和国的设计和制造生产或行业标准。</w:t>
      </w:r>
    </w:p>
    <w:p w14:paraId="5B2FF5D7">
      <w:pPr>
        <w:spacing w:line="360" w:lineRule="auto"/>
        <w:ind w:firstLine="420" w:firstLineChars="200"/>
        <w:rPr>
          <w:rFonts w:asciiTheme="minorEastAsia" w:hAnsiTheme="minorEastAsia"/>
          <w:szCs w:val="21"/>
        </w:rPr>
      </w:pPr>
      <w:r>
        <w:rPr>
          <w:rFonts w:asciiTheme="minorEastAsia" w:hAnsiTheme="minorEastAsia"/>
          <w:szCs w:val="21"/>
        </w:rPr>
        <w:t>进口的货物必须是具有合法的进口手续和途径并通过了中华人民共和国商检部门检验。</w:t>
      </w:r>
    </w:p>
    <w:p w14:paraId="00E9CCDA">
      <w:pPr>
        <w:spacing w:line="360" w:lineRule="auto"/>
        <w:ind w:firstLine="420" w:firstLineChars="200"/>
        <w:rPr>
          <w:rFonts w:asciiTheme="minorEastAsia" w:hAnsiTheme="minorEastAsia"/>
          <w:szCs w:val="21"/>
        </w:rPr>
      </w:pPr>
      <w:r>
        <w:rPr>
          <w:rFonts w:asciiTheme="minorEastAsia" w:hAnsiTheme="minorEastAsia"/>
          <w:szCs w:val="21"/>
        </w:rPr>
        <w:t>投标人应保证，采购人在中华人民共和国使用该产品的任何一部分时，免受第三方提出的包括但不限于侵犯其专利权、商标权或工业设计权等知识产权和抵押权在内的担保物权的起诉。</w:t>
      </w:r>
    </w:p>
    <w:p w14:paraId="1C0A75ED">
      <w:pPr>
        <w:spacing w:line="360" w:lineRule="auto"/>
        <w:ind w:firstLine="420" w:firstLineChars="200"/>
        <w:rPr>
          <w:rFonts w:asciiTheme="minorEastAsia" w:hAnsiTheme="minorEastAsia"/>
          <w:szCs w:val="21"/>
        </w:rPr>
      </w:pPr>
      <w:r>
        <w:rPr>
          <w:rFonts w:asciiTheme="minorEastAsia" w:hAnsiTheme="minorEastAsia"/>
          <w:szCs w:val="21"/>
        </w:rPr>
        <w:t>投标人应保证，其所提供的货物应具有行政主管部门颁发的资质证书或国家质量监督部门的产品《检验报告》。设备到货验收时，还必须提供设备的产品合格证、质量保证文件。若中标后，除非另有约定，必须按合同规定完成设备的安装，并达到验收标准。</w:t>
      </w:r>
    </w:p>
    <w:p w14:paraId="3D25837E">
      <w:pPr>
        <w:pStyle w:val="4"/>
        <w:spacing w:line="360" w:lineRule="auto"/>
        <w:ind w:firstLine="482"/>
      </w:pPr>
      <w:bookmarkStart w:id="22" w:name="_Toc25686"/>
      <w:bookmarkStart w:id="23" w:name="_Toc55548496"/>
      <w:r>
        <w:t>投标费用</w:t>
      </w:r>
      <w:bookmarkEnd w:id="22"/>
      <w:bookmarkEnd w:id="23"/>
    </w:p>
    <w:p w14:paraId="703B9CF6">
      <w:pPr>
        <w:spacing w:line="360" w:lineRule="auto"/>
        <w:ind w:firstLine="420" w:firstLineChars="200"/>
        <w:rPr>
          <w:rFonts w:asciiTheme="minorEastAsia" w:hAnsiTheme="minorEastAsia"/>
          <w:szCs w:val="21"/>
        </w:rPr>
      </w:pPr>
      <w:r>
        <w:rPr>
          <w:rFonts w:asciiTheme="minorEastAsia" w:hAnsiTheme="minorEastAsia"/>
          <w:szCs w:val="21"/>
        </w:rPr>
        <w:t>投标人应承担所有与准备和参加投标有关的费用。不论投标的结果如何，招标人均无义务和责任承担这些费用。</w:t>
      </w:r>
    </w:p>
    <w:p w14:paraId="0893EA32">
      <w:pPr>
        <w:pStyle w:val="4"/>
        <w:spacing w:line="360" w:lineRule="auto"/>
        <w:ind w:firstLine="482"/>
      </w:pPr>
      <w:bookmarkStart w:id="24" w:name="_Toc10390"/>
      <w:bookmarkStart w:id="25" w:name="_Toc55548497"/>
      <w:r>
        <w:t>踏勘现场</w:t>
      </w:r>
      <w:bookmarkEnd w:id="24"/>
      <w:bookmarkEnd w:id="25"/>
    </w:p>
    <w:p w14:paraId="3CFF8099">
      <w:pPr>
        <w:spacing w:line="360" w:lineRule="auto"/>
        <w:ind w:firstLine="420" w:firstLineChars="200"/>
        <w:rPr>
          <w:rFonts w:asciiTheme="minorEastAsia" w:hAnsiTheme="minorEastAsia"/>
          <w:szCs w:val="21"/>
        </w:rPr>
      </w:pPr>
      <w:bookmarkStart w:id="26" w:name="_Ref179620557"/>
      <w:r>
        <w:rPr>
          <w:rFonts w:asciiTheme="minorEastAsia" w:hAnsiTheme="minorEastAsia"/>
          <w:szCs w:val="21"/>
        </w:rPr>
        <w:t>如有必要，</w:t>
      </w:r>
      <w:r>
        <w:rPr>
          <w:rFonts w:hint="eastAsia" w:asciiTheme="minorEastAsia" w:hAnsiTheme="minorEastAsia"/>
          <w:szCs w:val="21"/>
        </w:rPr>
        <w:t>本中心</w:t>
      </w:r>
      <w:r>
        <w:rPr>
          <w:rFonts w:asciiTheme="minorEastAsia" w:hAnsiTheme="minorEastAsia"/>
          <w:szCs w:val="21"/>
        </w:rPr>
        <w:t>将组织投标人对项目现场及周围环境进行踏勘，以便投标人获取须自己负责的有关编制投标文件和签署合同所需的所有资料。踏勘现场所发生的费用由投标人自己承担。</w:t>
      </w:r>
      <w:bookmarkEnd w:id="26"/>
    </w:p>
    <w:p w14:paraId="3804655B">
      <w:pPr>
        <w:spacing w:line="360" w:lineRule="auto"/>
        <w:ind w:firstLine="420" w:firstLineChars="200"/>
        <w:rPr>
          <w:rFonts w:asciiTheme="minorEastAsia" w:hAnsiTheme="minorEastAsia"/>
          <w:szCs w:val="21"/>
        </w:rPr>
      </w:pPr>
      <w:r>
        <w:rPr>
          <w:rFonts w:asciiTheme="minorEastAsia" w:hAnsiTheme="minorEastAsia"/>
          <w:szCs w:val="21"/>
        </w:rPr>
        <w:t>招标人向投标人提供的有关现场的资料和数据，是招标人现有的能使投标人利用的资料。招标人对投标人由此而做出的推论、理解和结论概不负责。</w:t>
      </w:r>
    </w:p>
    <w:p w14:paraId="4F98EF45">
      <w:pPr>
        <w:spacing w:line="360" w:lineRule="auto"/>
        <w:ind w:firstLine="420" w:firstLineChars="200"/>
        <w:rPr>
          <w:rFonts w:asciiTheme="minorEastAsia" w:hAnsiTheme="minorEastAsia"/>
          <w:szCs w:val="21"/>
        </w:rPr>
      </w:pPr>
      <w:r>
        <w:rPr>
          <w:rFonts w:asciiTheme="minorEastAsia" w:hAnsiTheme="minorEastAsia"/>
          <w:szCs w:val="21"/>
        </w:rPr>
        <w:t>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14:paraId="71E9CEF5">
      <w:pPr>
        <w:spacing w:line="360" w:lineRule="auto"/>
        <w:ind w:firstLine="420" w:firstLineChars="200"/>
        <w:rPr>
          <w:rFonts w:asciiTheme="minorEastAsia" w:hAnsiTheme="minorEastAsia"/>
          <w:szCs w:val="21"/>
        </w:rPr>
      </w:pPr>
      <w:r>
        <w:rPr>
          <w:rFonts w:asciiTheme="minorEastAsia" w:hAnsiTheme="minorEastAsia"/>
          <w:szCs w:val="21"/>
        </w:rPr>
        <w:t>如果投标人认为需要再次进行现场踏勘，招标人将予以支持，费用自理。</w:t>
      </w:r>
    </w:p>
    <w:p w14:paraId="5BDF5F9C">
      <w:pPr>
        <w:pStyle w:val="5"/>
        <w:ind w:firstLine="482"/>
      </w:pPr>
      <w:bookmarkStart w:id="27" w:name="_Toc6043"/>
      <w:bookmarkStart w:id="28" w:name="_Toc1751"/>
      <w:bookmarkStart w:id="29" w:name="_Toc55548498"/>
      <w:r>
        <w:t>二、招标文件</w:t>
      </w:r>
      <w:bookmarkEnd w:id="27"/>
      <w:bookmarkEnd w:id="28"/>
      <w:bookmarkEnd w:id="29"/>
    </w:p>
    <w:p w14:paraId="776EDB93">
      <w:pPr>
        <w:pStyle w:val="4"/>
        <w:spacing w:line="360" w:lineRule="auto"/>
        <w:ind w:firstLine="482"/>
      </w:pPr>
      <w:bookmarkStart w:id="30" w:name="_Toc55548499"/>
      <w:bookmarkStart w:id="31" w:name="_Toc19397"/>
      <w:r>
        <w:t>招标文件的构成</w:t>
      </w:r>
      <w:bookmarkEnd w:id="30"/>
      <w:bookmarkEnd w:id="31"/>
    </w:p>
    <w:p w14:paraId="1FA675C2">
      <w:pPr>
        <w:spacing w:line="360" w:lineRule="auto"/>
        <w:ind w:firstLine="420" w:firstLineChars="200"/>
        <w:rPr>
          <w:rFonts w:asciiTheme="minorEastAsia" w:hAnsiTheme="minorEastAsia"/>
          <w:szCs w:val="21"/>
        </w:rPr>
      </w:pPr>
      <w:r>
        <w:rPr>
          <w:rFonts w:asciiTheme="minorEastAsia" w:hAnsiTheme="minorEastAsia"/>
          <w:szCs w:val="21"/>
        </w:rPr>
        <w:t>第</w:t>
      </w:r>
      <w:r>
        <w:rPr>
          <w:rFonts w:hint="eastAsia" w:asciiTheme="minorEastAsia" w:hAnsiTheme="minorEastAsia"/>
          <w:szCs w:val="21"/>
        </w:rPr>
        <w:t>一</w:t>
      </w:r>
      <w:r>
        <w:rPr>
          <w:rFonts w:asciiTheme="minorEastAsia" w:hAnsiTheme="minorEastAsia"/>
          <w:szCs w:val="21"/>
        </w:rPr>
        <w:t xml:space="preserve">章 </w:t>
      </w:r>
      <w:r>
        <w:rPr>
          <w:rFonts w:hint="eastAsia" w:asciiTheme="minorEastAsia" w:hAnsiTheme="minorEastAsia"/>
          <w:szCs w:val="21"/>
        </w:rPr>
        <w:t>招标公告</w:t>
      </w:r>
    </w:p>
    <w:p w14:paraId="19108E8E">
      <w:pPr>
        <w:spacing w:line="360" w:lineRule="auto"/>
        <w:ind w:firstLine="420" w:firstLineChars="200"/>
        <w:rPr>
          <w:rFonts w:asciiTheme="minorEastAsia" w:hAnsiTheme="minorEastAsia"/>
          <w:szCs w:val="21"/>
        </w:rPr>
      </w:pPr>
      <w:r>
        <w:rPr>
          <w:rFonts w:asciiTheme="minorEastAsia" w:hAnsiTheme="minorEastAsia"/>
          <w:szCs w:val="21"/>
        </w:rPr>
        <w:t>第</w:t>
      </w:r>
      <w:r>
        <w:rPr>
          <w:rFonts w:hint="eastAsia" w:asciiTheme="minorEastAsia" w:hAnsiTheme="minorEastAsia"/>
          <w:szCs w:val="21"/>
        </w:rPr>
        <w:t>二</w:t>
      </w:r>
      <w:r>
        <w:rPr>
          <w:rFonts w:asciiTheme="minorEastAsia" w:hAnsiTheme="minorEastAsia"/>
          <w:szCs w:val="21"/>
        </w:rPr>
        <w:t>章 用户需求书</w:t>
      </w:r>
    </w:p>
    <w:p w14:paraId="1E499C65">
      <w:pPr>
        <w:spacing w:line="360" w:lineRule="auto"/>
        <w:ind w:firstLine="420" w:firstLineChars="200"/>
        <w:rPr>
          <w:rFonts w:asciiTheme="minorEastAsia" w:hAnsiTheme="minorEastAsia"/>
          <w:szCs w:val="21"/>
        </w:rPr>
      </w:pPr>
      <w:r>
        <w:rPr>
          <w:rFonts w:hint="eastAsia" w:asciiTheme="minorEastAsia" w:hAnsiTheme="minorEastAsia"/>
          <w:szCs w:val="21"/>
        </w:rPr>
        <w:t>第三章 投标人须知</w:t>
      </w:r>
    </w:p>
    <w:p w14:paraId="4B590FAD">
      <w:pPr>
        <w:spacing w:line="360" w:lineRule="auto"/>
        <w:ind w:firstLine="420" w:firstLineChars="200"/>
        <w:rPr>
          <w:rFonts w:asciiTheme="minorEastAsia" w:hAnsiTheme="minorEastAsia"/>
          <w:szCs w:val="21"/>
        </w:rPr>
      </w:pPr>
      <w:r>
        <w:rPr>
          <w:rFonts w:hint="eastAsia" w:asciiTheme="minorEastAsia" w:hAnsiTheme="minorEastAsia"/>
          <w:szCs w:val="21"/>
        </w:rPr>
        <w:t>第四章 附件-</w:t>
      </w:r>
      <w:r>
        <w:rPr>
          <w:rFonts w:asciiTheme="minorEastAsia" w:hAnsiTheme="minorEastAsia"/>
          <w:szCs w:val="21"/>
        </w:rPr>
        <w:t>投标文件格式</w:t>
      </w:r>
    </w:p>
    <w:p w14:paraId="2CD8DFFB">
      <w:pPr>
        <w:spacing w:line="360" w:lineRule="auto"/>
        <w:ind w:firstLine="420" w:firstLineChars="200"/>
        <w:rPr>
          <w:rFonts w:asciiTheme="minorEastAsia" w:hAnsiTheme="minorEastAsia"/>
          <w:szCs w:val="21"/>
        </w:rPr>
      </w:pPr>
      <w:r>
        <w:rPr>
          <w:rFonts w:asciiTheme="minorEastAsia" w:hAnsiTheme="minorEastAsia"/>
          <w:szCs w:val="21"/>
        </w:rPr>
        <w:t>投标人应认真阅读招标文件中所有的事项、格式、条款和技术规格等。投标人没有按照招标文件要求提交全部资料，或者投标没有对招标文件在各方面都作出实质性响应是投标人的风险，并可能导致其投标被拒绝。</w:t>
      </w:r>
    </w:p>
    <w:p w14:paraId="6993B9F4">
      <w:pPr>
        <w:pStyle w:val="4"/>
        <w:spacing w:line="360" w:lineRule="auto"/>
        <w:ind w:firstLine="482"/>
      </w:pPr>
      <w:bookmarkStart w:id="32" w:name="_Toc31711"/>
      <w:bookmarkStart w:id="33" w:name="_Toc55548500"/>
      <w:r>
        <w:t>招标文件的澄清</w:t>
      </w:r>
      <w:bookmarkEnd w:id="32"/>
      <w:bookmarkEnd w:id="33"/>
    </w:p>
    <w:p w14:paraId="7D5FA6E5">
      <w:pPr>
        <w:spacing w:line="360" w:lineRule="auto"/>
        <w:ind w:firstLine="420" w:firstLineChars="200"/>
        <w:rPr>
          <w:rFonts w:asciiTheme="minorEastAsia" w:hAnsiTheme="minorEastAsia"/>
          <w:szCs w:val="21"/>
        </w:rPr>
      </w:pPr>
      <w:r>
        <w:rPr>
          <w:rFonts w:asciiTheme="minorEastAsia" w:hAnsiTheme="minorEastAsia"/>
          <w:szCs w:val="21"/>
        </w:rPr>
        <w:t>任何要求对招标文件进行澄清的潜在投标人，均应以书面形式通知招标人。</w:t>
      </w:r>
      <w:r>
        <w:rPr>
          <w:rFonts w:hint="eastAsia" w:asciiTheme="minorEastAsia" w:hAnsiTheme="minorEastAsia"/>
          <w:szCs w:val="21"/>
        </w:rPr>
        <w:t>本中心</w:t>
      </w:r>
      <w:r>
        <w:rPr>
          <w:rFonts w:asciiTheme="minorEastAsia" w:hAnsiTheme="minorEastAsia"/>
          <w:szCs w:val="21"/>
        </w:rPr>
        <w:t>对其在投标截止期五日以前收到的对招标文件的澄清要求均以书面形式予以答复，同时将书面答复方式发给每个购买招标文件的潜在投标人(答复中不包括问题的来源)。</w:t>
      </w:r>
    </w:p>
    <w:p w14:paraId="3EA76CAB">
      <w:pPr>
        <w:pStyle w:val="4"/>
        <w:spacing w:line="360" w:lineRule="auto"/>
        <w:ind w:firstLine="482"/>
      </w:pPr>
      <w:bookmarkStart w:id="34" w:name="_Toc21781"/>
      <w:bookmarkStart w:id="35" w:name="_Toc55548501"/>
      <w:bookmarkStart w:id="36" w:name="_Ref179619612"/>
      <w:r>
        <w:t>招标文件的修改</w:t>
      </w:r>
      <w:bookmarkEnd w:id="34"/>
      <w:bookmarkEnd w:id="35"/>
      <w:bookmarkEnd w:id="36"/>
    </w:p>
    <w:p w14:paraId="09FFEAC6">
      <w:pPr>
        <w:spacing w:line="360" w:lineRule="auto"/>
        <w:ind w:firstLine="420" w:firstLineChars="200"/>
        <w:rPr>
          <w:rFonts w:asciiTheme="minorEastAsia" w:hAnsiTheme="minorEastAsia"/>
          <w:szCs w:val="21"/>
        </w:rPr>
      </w:pPr>
      <w:r>
        <w:rPr>
          <w:rFonts w:asciiTheme="minorEastAsia" w:hAnsiTheme="minorEastAsia"/>
          <w:szCs w:val="21"/>
        </w:rPr>
        <w:t>在投标截止时间三日前，招标人可主动地或在解答潜在投标人提出的澄清问题时对招标文件进行修改。澄清或修改时间不足三日的，</w:t>
      </w:r>
      <w:r>
        <w:rPr>
          <w:rFonts w:hint="eastAsia" w:asciiTheme="minorEastAsia" w:hAnsiTheme="minorEastAsia"/>
          <w:szCs w:val="21"/>
        </w:rPr>
        <w:t>本中心</w:t>
      </w:r>
      <w:r>
        <w:rPr>
          <w:rFonts w:asciiTheme="minorEastAsia" w:hAnsiTheme="minorEastAsia"/>
          <w:szCs w:val="21"/>
        </w:rPr>
        <w:t>在征得已获取招标文件的供应商同意并书面确认后，可不改变投标截至时间。</w:t>
      </w:r>
    </w:p>
    <w:p w14:paraId="51C3E332">
      <w:pPr>
        <w:spacing w:line="360" w:lineRule="auto"/>
        <w:ind w:firstLine="420" w:firstLineChars="200"/>
        <w:rPr>
          <w:rFonts w:asciiTheme="minorEastAsia" w:hAnsiTheme="minorEastAsia"/>
          <w:szCs w:val="21"/>
        </w:rPr>
      </w:pPr>
      <w:bookmarkStart w:id="37" w:name="_Ref179619147"/>
      <w:r>
        <w:rPr>
          <w:rFonts w:asciiTheme="minorEastAsia" w:hAnsiTheme="minorEastAsia"/>
          <w:szCs w:val="21"/>
        </w:rPr>
        <w:t>招标文件的修改是招标文件的组成部分，招标文件的修改均在</w:t>
      </w:r>
      <w:r>
        <w:rPr>
          <w:rFonts w:hint="eastAsia" w:asciiTheme="minorEastAsia" w:hAnsiTheme="minorEastAsia"/>
          <w:kern w:val="0"/>
          <w:szCs w:val="21"/>
        </w:rPr>
        <w:t>(深圳市宝安区疾病预防控制中心官网)</w:t>
      </w:r>
      <w:r>
        <w:rPr>
          <w:rFonts w:asciiTheme="minorEastAsia" w:hAnsiTheme="minorEastAsia"/>
          <w:szCs w:val="21"/>
        </w:rPr>
        <w:t>以网上公告形式发布，并对投标人具有约束力，招标期间，投标人有义务上网查看，公告一经上网发布，即视为送达。</w:t>
      </w:r>
      <w:bookmarkEnd w:id="37"/>
    </w:p>
    <w:p w14:paraId="7F3CB7A2">
      <w:pPr>
        <w:spacing w:line="360" w:lineRule="auto"/>
        <w:ind w:firstLine="420" w:firstLineChars="200"/>
        <w:rPr>
          <w:rFonts w:asciiTheme="minorEastAsia" w:hAnsiTheme="minorEastAsia"/>
          <w:szCs w:val="21"/>
        </w:rPr>
      </w:pPr>
      <w:r>
        <w:rPr>
          <w:rFonts w:asciiTheme="minorEastAsia" w:hAnsiTheme="minorEastAsia"/>
          <w:szCs w:val="21"/>
        </w:rPr>
        <w:t>为使投标人准备投标时有充分时间对招标文件的修改部分进行研究，招标人可适当推迟投标截止期。</w:t>
      </w:r>
    </w:p>
    <w:p w14:paraId="11D4584F">
      <w:pPr>
        <w:pStyle w:val="5"/>
        <w:ind w:firstLine="482"/>
      </w:pPr>
      <w:bookmarkStart w:id="38" w:name="_Toc6740"/>
      <w:bookmarkStart w:id="39" w:name="_Toc20164"/>
      <w:bookmarkStart w:id="40" w:name="_Toc55548502"/>
      <w:r>
        <w:t>三、投标文件的编制</w:t>
      </w:r>
      <w:bookmarkEnd w:id="38"/>
      <w:bookmarkEnd w:id="39"/>
      <w:bookmarkEnd w:id="40"/>
    </w:p>
    <w:p w14:paraId="6A2278E6">
      <w:pPr>
        <w:pStyle w:val="4"/>
        <w:spacing w:line="360" w:lineRule="auto"/>
        <w:ind w:firstLine="482"/>
      </w:pPr>
      <w:bookmarkStart w:id="41" w:name="_Toc55548503"/>
      <w:bookmarkStart w:id="42" w:name="_Toc28578"/>
      <w:r>
        <w:t>投标的语言</w:t>
      </w:r>
      <w:bookmarkEnd w:id="41"/>
      <w:bookmarkEnd w:id="42"/>
    </w:p>
    <w:p w14:paraId="11ACD2DD">
      <w:pPr>
        <w:spacing w:line="360" w:lineRule="auto"/>
        <w:ind w:firstLine="420" w:firstLineChars="200"/>
        <w:rPr>
          <w:rFonts w:asciiTheme="minorEastAsia" w:hAnsiTheme="minorEastAsia"/>
          <w:szCs w:val="21"/>
        </w:rPr>
      </w:pPr>
      <w:bookmarkStart w:id="43" w:name="_Ref179620571"/>
      <w:r>
        <w:rPr>
          <w:rFonts w:asciiTheme="minorEastAsia" w:hAnsiTheme="minorEastAsia"/>
          <w:szCs w:val="21"/>
        </w:rPr>
        <w:t>投标人提交的投标文件以及投标人与招标人就有关投标的所有来往函电均应使用</w:t>
      </w:r>
      <w:r>
        <w:rPr>
          <w:rFonts w:hint="eastAsia" w:asciiTheme="minorEastAsia" w:hAnsiTheme="minorEastAsia"/>
          <w:b/>
          <w:szCs w:val="21"/>
        </w:rPr>
        <w:t>中文</w:t>
      </w:r>
      <w:r>
        <w:rPr>
          <w:rFonts w:asciiTheme="minorEastAsia" w:hAnsiTheme="minorEastAsia"/>
          <w:szCs w:val="21"/>
        </w:rPr>
        <w:t>书写。投标人提交的支持资料和已印刷的文献可以用另一种语言，但相应内容应附有</w:t>
      </w:r>
      <w:r>
        <w:rPr>
          <w:rFonts w:hint="eastAsia" w:asciiTheme="minorEastAsia" w:hAnsiTheme="minorEastAsia"/>
          <w:b/>
          <w:szCs w:val="21"/>
        </w:rPr>
        <w:t>中文</w:t>
      </w:r>
      <w:r>
        <w:rPr>
          <w:rFonts w:asciiTheme="minorEastAsia" w:hAnsiTheme="minorEastAsia"/>
          <w:szCs w:val="21"/>
        </w:rPr>
        <w:t>的翻译本，在解释投标文件时以翻译本为准。</w:t>
      </w:r>
      <w:bookmarkEnd w:id="43"/>
    </w:p>
    <w:p w14:paraId="2AE8796F">
      <w:pPr>
        <w:pStyle w:val="4"/>
        <w:spacing w:line="360" w:lineRule="auto"/>
        <w:ind w:firstLine="482"/>
      </w:pPr>
      <w:bookmarkStart w:id="44" w:name="_Toc55548504"/>
      <w:bookmarkStart w:id="45" w:name="_Toc31114"/>
      <w:r>
        <w:t>投标范围及投标文件中计量单位的使用</w:t>
      </w:r>
      <w:bookmarkEnd w:id="44"/>
      <w:bookmarkEnd w:id="45"/>
    </w:p>
    <w:p w14:paraId="7F41EDA4">
      <w:pPr>
        <w:spacing w:line="360" w:lineRule="auto"/>
        <w:ind w:firstLine="420" w:firstLineChars="200"/>
        <w:rPr>
          <w:rFonts w:asciiTheme="minorEastAsia" w:hAnsiTheme="minorEastAsia"/>
          <w:szCs w:val="21"/>
        </w:rPr>
      </w:pPr>
      <w:r>
        <w:rPr>
          <w:rFonts w:asciiTheme="minorEastAsia" w:hAnsiTheme="minorEastAsia"/>
          <w:szCs w:val="21"/>
        </w:rPr>
        <w:t>投标人可对招标文件中“用户需求书”中所述的所有货物</w:t>
      </w:r>
      <w:r>
        <w:rPr>
          <w:rFonts w:hint="eastAsia" w:asciiTheme="minorEastAsia" w:hAnsiTheme="minorEastAsia"/>
          <w:szCs w:val="21"/>
        </w:rPr>
        <w:t>或者</w:t>
      </w:r>
      <w:r>
        <w:rPr>
          <w:rFonts w:asciiTheme="minorEastAsia" w:hAnsiTheme="minorEastAsia"/>
          <w:szCs w:val="21"/>
        </w:rPr>
        <w:t>服务进行投标，也可以只对其中一包或几包货物进行投标，但不得将一包中的内容拆开投标。</w:t>
      </w:r>
    </w:p>
    <w:p w14:paraId="59E736F5">
      <w:pPr>
        <w:spacing w:line="360" w:lineRule="auto"/>
        <w:ind w:firstLine="420" w:firstLineChars="200"/>
        <w:rPr>
          <w:rFonts w:asciiTheme="minorEastAsia" w:hAnsiTheme="minorEastAsia"/>
          <w:szCs w:val="21"/>
        </w:rPr>
      </w:pPr>
      <w:r>
        <w:rPr>
          <w:rFonts w:asciiTheme="minorEastAsia" w:hAnsiTheme="minorEastAsia"/>
          <w:szCs w:val="21"/>
        </w:rPr>
        <w:t>投标文件中所使用的计量单位，除招标文件中有特殊要求外，应采用中华人民共和国法定计量单位。</w:t>
      </w:r>
    </w:p>
    <w:p w14:paraId="439A47C0">
      <w:pPr>
        <w:spacing w:line="360" w:lineRule="auto"/>
        <w:ind w:firstLine="420" w:firstLineChars="200"/>
        <w:rPr>
          <w:rFonts w:asciiTheme="minorEastAsia" w:hAnsiTheme="minorEastAsia"/>
          <w:szCs w:val="21"/>
        </w:rPr>
      </w:pPr>
      <w:r>
        <w:rPr>
          <w:rFonts w:asciiTheme="minorEastAsia" w:hAnsiTheme="minorEastAsia"/>
          <w:szCs w:val="21"/>
        </w:rPr>
        <w:t>除非另有说明，本招标文件中所称“日”均指日历日，投标文件中需以日历日对招标文件作出响应。评审时，对投标中出现的“工作日”按五个工作日折合七个日历日计算，且评标委员会可能会就有关日期作出对该投标人不利的折算或量化，投标人不得对此提出异议，否则其投标将被拒绝。</w:t>
      </w:r>
    </w:p>
    <w:p w14:paraId="387F25D0">
      <w:pPr>
        <w:pStyle w:val="4"/>
        <w:spacing w:line="360" w:lineRule="auto"/>
        <w:ind w:firstLine="482"/>
      </w:pPr>
      <w:bookmarkStart w:id="46" w:name="_Toc4999"/>
      <w:bookmarkStart w:id="47" w:name="_Toc55548505"/>
      <w:r>
        <w:t>投标文件的构成</w:t>
      </w:r>
      <w:bookmarkEnd w:id="46"/>
      <w:bookmarkEnd w:id="47"/>
    </w:p>
    <w:p w14:paraId="3EEC42B1">
      <w:pPr>
        <w:spacing w:line="360" w:lineRule="auto"/>
        <w:ind w:firstLine="420" w:firstLineChars="200"/>
        <w:rPr>
          <w:rFonts w:asciiTheme="minorEastAsia" w:hAnsiTheme="minorEastAsia"/>
          <w:szCs w:val="21"/>
        </w:rPr>
      </w:pPr>
      <w:r>
        <w:rPr>
          <w:rFonts w:asciiTheme="minorEastAsia" w:hAnsiTheme="minorEastAsia"/>
          <w:szCs w:val="21"/>
        </w:rPr>
        <w:t>投标人应完整地按招标文件提供的投标文件格式制作投标文件。</w:t>
      </w:r>
    </w:p>
    <w:p w14:paraId="18671161">
      <w:pPr>
        <w:pStyle w:val="4"/>
        <w:spacing w:line="360" w:lineRule="auto"/>
        <w:ind w:firstLine="482"/>
      </w:pPr>
      <w:bookmarkStart w:id="48" w:name="_Toc55548506"/>
      <w:bookmarkStart w:id="49" w:name="_Toc24290"/>
      <w:r>
        <w:t>投标文件电子文档</w:t>
      </w:r>
      <w:bookmarkEnd w:id="48"/>
      <w:bookmarkEnd w:id="49"/>
    </w:p>
    <w:p w14:paraId="2690F036">
      <w:pPr>
        <w:spacing w:line="360" w:lineRule="auto"/>
        <w:ind w:firstLine="420" w:firstLineChars="200"/>
        <w:rPr>
          <w:rFonts w:hint="default" w:asciiTheme="minorEastAsia" w:hAnsiTheme="minorEastAsia" w:eastAsiaTheme="minorEastAsia"/>
          <w:szCs w:val="21"/>
          <w:lang w:val="en-US" w:eastAsia="zh-CN"/>
        </w:rPr>
      </w:pPr>
      <w:r>
        <w:rPr>
          <w:rFonts w:asciiTheme="minorEastAsia" w:hAnsiTheme="minorEastAsia"/>
          <w:szCs w:val="21"/>
          <w:highlight w:val="yellow"/>
        </w:rPr>
        <w:t>投标人在提交书面投标文件的同时，</w:t>
      </w:r>
      <w:r>
        <w:fldChar w:fldCharType="begin"/>
      </w:r>
      <w:r>
        <w:instrText xml:space="preserve"> HYPERLINK "mailto:应提交该投标文件的电子文档（格式为盖章版扫描件）于指定时间发送至568711397@qq.com" </w:instrText>
      </w:r>
      <w:r>
        <w:fldChar w:fldCharType="separate"/>
      </w:r>
      <w:r>
        <w:rPr>
          <w:rStyle w:val="22"/>
          <w:rFonts w:asciiTheme="minorEastAsia" w:hAnsiTheme="minorEastAsia"/>
          <w:szCs w:val="21"/>
          <w:highlight w:val="yellow"/>
        </w:rPr>
        <w:t>应提交该投标文件的电子文档于指定时间发送至</w:t>
      </w:r>
      <w:r>
        <w:rPr>
          <w:rStyle w:val="22"/>
          <w:rFonts w:hint="eastAsia" w:eastAsia="宋体" w:cs="Times New Roman" w:asciiTheme="minorEastAsia" w:hAnsiTheme="minorEastAsia"/>
          <w:szCs w:val="21"/>
          <w:highlight w:val="yellow"/>
        </w:rPr>
        <w:t>bacdcxxk@baoan.gov.cn</w:t>
      </w:r>
      <w:r>
        <w:rPr>
          <w:rStyle w:val="22"/>
          <w:rFonts w:hint="eastAsia" w:eastAsia="宋体" w:cs="Times New Roman" w:asciiTheme="minorEastAsia" w:hAnsiTheme="minorEastAsia"/>
          <w:szCs w:val="21"/>
          <w:highlight w:val="yellow"/>
        </w:rPr>
        <w:fldChar w:fldCharType="end"/>
      </w:r>
      <w:r>
        <w:rPr>
          <w:rFonts w:hint="eastAsia" w:asciiTheme="minorEastAsia" w:hAnsiTheme="minorEastAsia"/>
          <w:szCs w:val="21"/>
          <w:highlight w:val="yellow"/>
        </w:rPr>
        <w:t>邮箱</w:t>
      </w:r>
      <w:r>
        <w:rPr>
          <w:rFonts w:hint="eastAsia" w:asciiTheme="minorEastAsia" w:hAnsiTheme="minorEastAsia"/>
          <w:szCs w:val="21"/>
          <w:highlight w:val="yellow"/>
          <w:lang w:val="en-US" w:eastAsia="zh-CN"/>
        </w:rPr>
        <w:t>或</w:t>
      </w:r>
      <w:r>
        <w:rPr>
          <w:rStyle w:val="22"/>
          <w:rFonts w:asciiTheme="minorEastAsia" w:hAnsiTheme="minorEastAsia"/>
          <w:szCs w:val="21"/>
          <w:highlight w:val="yellow"/>
        </w:rPr>
        <w:t>投标文件的电子文档</w:t>
      </w:r>
      <w:r>
        <w:rPr>
          <w:rStyle w:val="22"/>
          <w:rFonts w:hint="eastAsia" w:asciiTheme="minorEastAsia" w:hAnsiTheme="minorEastAsia"/>
          <w:szCs w:val="21"/>
          <w:highlight w:val="yellow"/>
          <w:lang w:val="en-US" w:eastAsia="zh-CN"/>
        </w:rPr>
        <w:t>U盘附于投标文件档案内。</w:t>
      </w:r>
    </w:p>
    <w:p w14:paraId="2623EC98">
      <w:pPr>
        <w:spacing w:line="360" w:lineRule="auto"/>
        <w:ind w:firstLine="420" w:firstLineChars="200"/>
        <w:rPr>
          <w:rFonts w:asciiTheme="minorEastAsia" w:hAnsiTheme="minorEastAsia"/>
          <w:szCs w:val="21"/>
        </w:rPr>
      </w:pPr>
      <w:r>
        <w:rPr>
          <w:rFonts w:asciiTheme="minorEastAsia" w:hAnsiTheme="minorEastAsia"/>
          <w:szCs w:val="21"/>
        </w:rPr>
        <w:t>电子文档的格式要求：投标文件电子文档应统一</w:t>
      </w:r>
      <w:r>
        <w:rPr>
          <w:rFonts w:hint="eastAsia" w:asciiTheme="minorEastAsia" w:hAnsiTheme="minorEastAsia"/>
          <w:szCs w:val="21"/>
        </w:rPr>
        <w:t>为投标文件盖章后扫描件</w:t>
      </w:r>
      <w:r>
        <w:rPr>
          <w:rFonts w:asciiTheme="minorEastAsia" w:hAnsiTheme="minorEastAsia"/>
          <w:szCs w:val="21"/>
        </w:rPr>
        <w:t>。</w:t>
      </w:r>
    </w:p>
    <w:p w14:paraId="45E806E5">
      <w:pPr>
        <w:spacing w:line="360" w:lineRule="auto"/>
        <w:ind w:firstLine="420" w:firstLineChars="200"/>
        <w:rPr>
          <w:rFonts w:asciiTheme="minorEastAsia" w:hAnsiTheme="minorEastAsia"/>
          <w:szCs w:val="21"/>
        </w:rPr>
      </w:pPr>
      <w:r>
        <w:rPr>
          <w:rFonts w:asciiTheme="minorEastAsia" w:hAnsiTheme="minorEastAsia"/>
          <w:szCs w:val="21"/>
        </w:rPr>
        <w:t>投标人提交的书面投标文件的实质内容应与提交的电子文档的实质内容完全一致。如果评标委员会发现两者的实质内容不一致，将按不利于投标人的原则予以处置。因此产生的一切责任均由投标人承担。</w:t>
      </w:r>
    </w:p>
    <w:p w14:paraId="0DACE8CE">
      <w:pPr>
        <w:pStyle w:val="4"/>
        <w:spacing w:line="360" w:lineRule="auto"/>
        <w:ind w:firstLine="482"/>
      </w:pPr>
      <w:bookmarkStart w:id="50" w:name="_Toc55548507"/>
      <w:bookmarkStart w:id="51" w:name="_Toc12177"/>
      <w:r>
        <w:t>投标文件的编写</w:t>
      </w:r>
      <w:bookmarkEnd w:id="50"/>
      <w:bookmarkEnd w:id="51"/>
    </w:p>
    <w:p w14:paraId="56323769">
      <w:pPr>
        <w:spacing w:line="360" w:lineRule="auto"/>
        <w:ind w:firstLine="420" w:firstLineChars="200"/>
        <w:rPr>
          <w:rFonts w:asciiTheme="minorEastAsia" w:hAnsiTheme="minorEastAsia"/>
          <w:szCs w:val="21"/>
        </w:rPr>
      </w:pPr>
      <w:r>
        <w:rPr>
          <w:rFonts w:asciiTheme="minorEastAsia" w:hAnsiTheme="minorEastAsia"/>
          <w:szCs w:val="21"/>
        </w:rPr>
        <w:t>投标人应按招标文件的规定，及附件要求的内容和格式完整地填写和提供资料，并保证所提供的全部资料的真实性。</w:t>
      </w:r>
    </w:p>
    <w:p w14:paraId="46B0D6F5">
      <w:pPr>
        <w:pStyle w:val="4"/>
        <w:spacing w:line="360" w:lineRule="auto"/>
        <w:ind w:firstLine="482"/>
      </w:pPr>
      <w:bookmarkStart w:id="52" w:name="_Toc26930"/>
      <w:bookmarkStart w:id="53" w:name="_Toc55548508"/>
      <w:r>
        <w:t>投标报价</w:t>
      </w:r>
      <w:bookmarkEnd w:id="52"/>
      <w:bookmarkEnd w:id="53"/>
    </w:p>
    <w:p w14:paraId="0C9B5D62">
      <w:pPr>
        <w:spacing w:line="360" w:lineRule="auto"/>
        <w:ind w:firstLine="420" w:firstLineChars="200"/>
        <w:rPr>
          <w:rFonts w:asciiTheme="minorEastAsia" w:hAnsiTheme="minorEastAsia"/>
          <w:szCs w:val="21"/>
        </w:rPr>
      </w:pPr>
      <w:r>
        <w:rPr>
          <w:rFonts w:asciiTheme="minorEastAsia" w:hAnsiTheme="minorEastAsia"/>
          <w:szCs w:val="21"/>
        </w:rPr>
        <w:t>所有投标均以人民币报价。投标人的投标报价应符合《中华人民共和国价格法》的有关规定。</w:t>
      </w:r>
    </w:p>
    <w:p w14:paraId="6BE628E3">
      <w:pPr>
        <w:spacing w:line="360" w:lineRule="auto"/>
        <w:ind w:firstLine="420" w:firstLineChars="200"/>
        <w:rPr>
          <w:rFonts w:asciiTheme="minorEastAsia" w:hAnsiTheme="minorEastAsia"/>
          <w:szCs w:val="21"/>
        </w:rPr>
      </w:pPr>
      <w:bookmarkStart w:id="54" w:name="_Ref179619251"/>
      <w:r>
        <w:rPr>
          <w:rFonts w:asciiTheme="minorEastAsia" w:hAnsiTheme="minorEastAsia"/>
          <w:szCs w:val="21"/>
        </w:rPr>
        <w:t>投标人应在投标分项报价表上标明投标货物及相关服务的单价(如适用)和总价，并由法定代表人或其授权代表签署。投标总价中不得包含招标文件要求以外的内容，否则，在评标时不予核减。</w:t>
      </w:r>
      <w:bookmarkEnd w:id="54"/>
    </w:p>
    <w:p w14:paraId="59D57023">
      <w:pPr>
        <w:spacing w:line="360" w:lineRule="auto"/>
        <w:ind w:firstLine="420" w:firstLineChars="200"/>
        <w:rPr>
          <w:rFonts w:asciiTheme="minorEastAsia" w:hAnsiTheme="minorEastAsia"/>
          <w:szCs w:val="21"/>
        </w:rPr>
      </w:pPr>
      <w:bookmarkStart w:id="55" w:name="_Ref179620595"/>
      <w:r>
        <w:rPr>
          <w:rFonts w:asciiTheme="minorEastAsia" w:hAnsiTheme="minorEastAsia"/>
          <w:szCs w:val="21"/>
        </w:rPr>
        <w:t>投标人的投标报价，应完整的包含所有采购内容，且不得以任何理由重复，每一项目只允许有一个报价，任何有选择的报价将不予接受。</w:t>
      </w:r>
      <w:bookmarkEnd w:id="55"/>
    </w:p>
    <w:p w14:paraId="45900059">
      <w:pPr>
        <w:spacing w:line="360" w:lineRule="auto"/>
        <w:ind w:firstLine="420" w:firstLineChars="200"/>
        <w:rPr>
          <w:rFonts w:asciiTheme="minorEastAsia" w:hAnsiTheme="minorEastAsia"/>
          <w:szCs w:val="21"/>
        </w:rPr>
      </w:pPr>
      <w:r>
        <w:rPr>
          <w:rFonts w:asciiTheme="minorEastAsia" w:hAnsiTheme="minorEastAsia"/>
          <w:szCs w:val="21"/>
        </w:rPr>
        <w:t>投标分项报价上的价格应按下列方式填写：</w:t>
      </w:r>
    </w:p>
    <w:p w14:paraId="0E1D5F5E">
      <w:pPr>
        <w:spacing w:line="360" w:lineRule="auto"/>
        <w:ind w:firstLine="420" w:firstLineChars="200"/>
        <w:rPr>
          <w:rFonts w:asciiTheme="minorEastAsia" w:hAnsiTheme="minorEastAsia"/>
          <w:szCs w:val="21"/>
        </w:rPr>
      </w:pPr>
      <w:r>
        <w:rPr>
          <w:rFonts w:asciiTheme="minorEastAsia" w:hAnsiTheme="minorEastAsia"/>
          <w:szCs w:val="21"/>
        </w:rPr>
        <w:t>投标货物</w:t>
      </w:r>
      <w:r>
        <w:rPr>
          <w:rFonts w:hint="eastAsia" w:asciiTheme="minorEastAsia" w:hAnsiTheme="minorEastAsia"/>
          <w:szCs w:val="21"/>
        </w:rPr>
        <w:t>或</w:t>
      </w:r>
      <w:r>
        <w:rPr>
          <w:rFonts w:asciiTheme="minorEastAsia" w:hAnsiTheme="minorEastAsia"/>
          <w:szCs w:val="21"/>
        </w:rPr>
        <w:t>服务包括标准附件、备品备件、专用工具等的出厂价(包括已在中国国内的进口货物完税后的仓库交货价、展室交货价或货架交货价)，投标货物安装、调试、检验、技术服务和培训等费用；</w:t>
      </w:r>
    </w:p>
    <w:p w14:paraId="1B57D206">
      <w:pPr>
        <w:spacing w:line="360" w:lineRule="auto"/>
        <w:ind w:firstLine="420" w:firstLineChars="200"/>
        <w:rPr>
          <w:rFonts w:asciiTheme="minorEastAsia" w:hAnsiTheme="minorEastAsia"/>
          <w:szCs w:val="21"/>
        </w:rPr>
      </w:pPr>
      <w:r>
        <w:rPr>
          <w:rFonts w:asciiTheme="minorEastAsia" w:hAnsiTheme="minorEastAsia"/>
          <w:szCs w:val="21"/>
        </w:rPr>
        <w:t>货物运至最终目的地并安装调试完毕的运输费和保险费用和伴随货物交运的有关费用；</w:t>
      </w:r>
    </w:p>
    <w:p w14:paraId="6CF80BC4">
      <w:pPr>
        <w:spacing w:line="360" w:lineRule="auto"/>
        <w:ind w:firstLine="420" w:firstLineChars="200"/>
        <w:rPr>
          <w:rFonts w:asciiTheme="minorEastAsia" w:hAnsiTheme="minorEastAsia"/>
          <w:szCs w:val="21"/>
        </w:rPr>
      </w:pPr>
      <w:bookmarkStart w:id="56" w:name="_Ref179620755"/>
      <w:r>
        <w:rPr>
          <w:rFonts w:asciiTheme="minorEastAsia" w:hAnsiTheme="minorEastAsia"/>
          <w:szCs w:val="21"/>
        </w:rPr>
        <w:t>其他伴随服务的费用(如有)。</w:t>
      </w:r>
      <w:bookmarkEnd w:id="56"/>
    </w:p>
    <w:p w14:paraId="525C2370">
      <w:pPr>
        <w:spacing w:line="360" w:lineRule="auto"/>
        <w:ind w:firstLine="420" w:firstLineChars="200"/>
        <w:rPr>
          <w:rFonts w:asciiTheme="minorEastAsia" w:hAnsiTheme="minorEastAsia"/>
          <w:szCs w:val="21"/>
        </w:rPr>
      </w:pPr>
      <w:r>
        <w:rPr>
          <w:rFonts w:asciiTheme="minorEastAsia" w:hAnsiTheme="minorEastAsia"/>
          <w:szCs w:val="21"/>
        </w:rPr>
        <w:t xml:space="preserve">投标人根据本须知的规定将投标价分成几部分，只是为了方便招标人对投标文件进行比较，并不限制招标人以上述任何条件订立合同的权力。 </w:t>
      </w:r>
    </w:p>
    <w:p w14:paraId="070003BC">
      <w:pPr>
        <w:spacing w:line="360" w:lineRule="auto"/>
        <w:ind w:firstLine="420" w:firstLineChars="200"/>
        <w:rPr>
          <w:rFonts w:asciiTheme="minorEastAsia" w:hAnsiTheme="minorEastAsia"/>
          <w:szCs w:val="21"/>
        </w:rPr>
      </w:pPr>
      <w:r>
        <w:rPr>
          <w:rFonts w:asciiTheme="minorEastAsia" w:hAnsiTheme="minorEastAsia"/>
          <w:szCs w:val="21"/>
        </w:rPr>
        <w:t>投标人所报的投标价在合同执行过程中是固定不变的，不得以任何理由予以变更。任何包含价格调整要求的投标，被认为是非实质性响应投标而予以拒绝。</w:t>
      </w:r>
    </w:p>
    <w:p w14:paraId="022459EA">
      <w:pPr>
        <w:pStyle w:val="4"/>
        <w:spacing w:line="360" w:lineRule="auto"/>
        <w:ind w:firstLine="482"/>
      </w:pPr>
      <w:bookmarkStart w:id="57" w:name="_Toc11635"/>
      <w:bookmarkStart w:id="58" w:name="_Toc55548509"/>
      <w:r>
        <w:t>证明投标人合格和资格的文件</w:t>
      </w:r>
      <w:bookmarkEnd w:id="57"/>
      <w:bookmarkEnd w:id="58"/>
      <w:r>
        <w:t xml:space="preserve"> </w:t>
      </w:r>
    </w:p>
    <w:p w14:paraId="2D12E1F0">
      <w:pPr>
        <w:spacing w:line="360" w:lineRule="auto"/>
        <w:ind w:firstLine="420" w:firstLineChars="200"/>
        <w:rPr>
          <w:rFonts w:asciiTheme="minorEastAsia" w:hAnsiTheme="minorEastAsia"/>
          <w:szCs w:val="21"/>
        </w:rPr>
      </w:pPr>
      <w:r>
        <w:rPr>
          <w:rFonts w:asciiTheme="minorEastAsia" w:hAnsiTheme="minorEastAsia"/>
          <w:szCs w:val="21"/>
        </w:rPr>
        <w:t>投标人应提交证明其有资格参加投标和中标后有能力履行合同的文件。</w:t>
      </w:r>
    </w:p>
    <w:p w14:paraId="1807A2A9">
      <w:pPr>
        <w:spacing w:line="360" w:lineRule="auto"/>
        <w:ind w:firstLine="420" w:firstLineChars="200"/>
        <w:rPr>
          <w:rFonts w:asciiTheme="minorEastAsia" w:hAnsiTheme="minorEastAsia"/>
          <w:szCs w:val="21"/>
        </w:rPr>
      </w:pPr>
      <w:r>
        <w:rPr>
          <w:rFonts w:asciiTheme="minorEastAsia" w:hAnsiTheme="minorEastAsia"/>
          <w:szCs w:val="21"/>
        </w:rPr>
        <w:t>招标文件允许联合体投标时，投标人始得组建联合体。联合体投标时，应提交各方的资格证明文件、联合体协议并注明主办人；联合体各方签订共同投标协议后，不得再以自己的名义单独在同一项目中投标，也不得组成新的联合体参加同一项目投标。违反上述规定的联合体投标将导致其投标被拒绝。</w:t>
      </w:r>
    </w:p>
    <w:p w14:paraId="2FCF63CA">
      <w:pPr>
        <w:spacing w:line="360" w:lineRule="auto"/>
        <w:ind w:firstLine="420" w:firstLineChars="200"/>
        <w:rPr>
          <w:rFonts w:asciiTheme="minorEastAsia" w:hAnsiTheme="minorEastAsia"/>
          <w:szCs w:val="21"/>
        </w:rPr>
      </w:pPr>
      <w:r>
        <w:rPr>
          <w:rFonts w:asciiTheme="minorEastAsia" w:hAnsiTheme="minorEastAsia"/>
          <w:szCs w:val="21"/>
        </w:rPr>
        <w:t xml:space="preserve">投标人提交的证明其中标后能履行合同的资格证明文件应包括下列文件： </w:t>
      </w:r>
    </w:p>
    <w:p w14:paraId="09AD9E82">
      <w:pPr>
        <w:spacing w:line="360" w:lineRule="auto"/>
        <w:ind w:firstLine="420" w:firstLineChars="200"/>
        <w:rPr>
          <w:rFonts w:asciiTheme="minorEastAsia" w:hAnsiTheme="minorEastAsia"/>
          <w:szCs w:val="21"/>
        </w:rPr>
      </w:pPr>
      <w:r>
        <w:rPr>
          <w:rFonts w:asciiTheme="minorEastAsia" w:hAnsiTheme="minorEastAsia"/>
          <w:szCs w:val="21"/>
        </w:rPr>
        <w:t>证明投标人销售资格的证明文件：制造商参加投标时，需在投标文件中注明其制造商身份；代理商参加投标时则须提交相应授权文件，授权文件包括制造商或上级代理商授权（上级代理商授权文件应可追溯至制造商授权文件，并有完整的证明资料）；招标文件对授权文件有特殊要求的，从其规定；</w:t>
      </w:r>
    </w:p>
    <w:p w14:paraId="0F4027D4">
      <w:pPr>
        <w:spacing w:line="360" w:lineRule="auto"/>
        <w:ind w:firstLine="420" w:firstLineChars="200"/>
        <w:rPr>
          <w:rFonts w:asciiTheme="minorEastAsia" w:hAnsiTheme="minorEastAsia"/>
          <w:szCs w:val="21"/>
        </w:rPr>
      </w:pPr>
      <w:r>
        <w:rPr>
          <w:rFonts w:asciiTheme="minorEastAsia" w:hAnsiTheme="minorEastAsia"/>
          <w:szCs w:val="21"/>
        </w:rPr>
        <w:t xml:space="preserve">证明投标人已具备履行合同所需的财务、技术和生产能力的文件； </w:t>
      </w:r>
    </w:p>
    <w:p w14:paraId="2F0683BC">
      <w:pPr>
        <w:spacing w:line="360" w:lineRule="auto"/>
        <w:ind w:firstLine="420" w:firstLineChars="200"/>
        <w:rPr>
          <w:rFonts w:asciiTheme="minorEastAsia" w:hAnsiTheme="minorEastAsia"/>
          <w:szCs w:val="21"/>
        </w:rPr>
      </w:pPr>
      <w:r>
        <w:rPr>
          <w:rFonts w:asciiTheme="minorEastAsia" w:hAnsiTheme="minorEastAsia"/>
          <w:szCs w:val="21"/>
        </w:rPr>
        <w:t>证明投标人满足招标文件业绩要求的文件；</w:t>
      </w:r>
    </w:p>
    <w:p w14:paraId="0E51FB5A">
      <w:pPr>
        <w:spacing w:line="360" w:lineRule="auto"/>
        <w:ind w:firstLine="420" w:firstLineChars="200"/>
        <w:rPr>
          <w:rFonts w:asciiTheme="minorEastAsia" w:hAnsiTheme="minorEastAsia"/>
          <w:szCs w:val="21"/>
        </w:rPr>
      </w:pPr>
      <w:bookmarkStart w:id="59" w:name="_Ref179620846"/>
      <w:r>
        <w:rPr>
          <w:rFonts w:asciiTheme="minorEastAsia" w:hAnsiTheme="minorEastAsia"/>
          <w:szCs w:val="21"/>
        </w:rPr>
        <w:t>投标资料表要求的其它资格证明文件。</w:t>
      </w:r>
      <w:bookmarkEnd w:id="59"/>
    </w:p>
    <w:p w14:paraId="7A33CFD6">
      <w:pPr>
        <w:pStyle w:val="4"/>
        <w:spacing w:line="360" w:lineRule="auto"/>
        <w:ind w:firstLine="482"/>
      </w:pPr>
      <w:bookmarkStart w:id="60" w:name="_Toc28857"/>
      <w:bookmarkStart w:id="61" w:name="_Toc55548510"/>
      <w:r>
        <w:t>证明货物的合格性和符合招标文件规定的文件</w:t>
      </w:r>
      <w:bookmarkEnd w:id="60"/>
      <w:bookmarkEnd w:id="61"/>
    </w:p>
    <w:p w14:paraId="7B108F5F">
      <w:pPr>
        <w:spacing w:line="360" w:lineRule="auto"/>
        <w:ind w:firstLine="420" w:firstLineChars="200"/>
        <w:rPr>
          <w:rFonts w:asciiTheme="minorEastAsia" w:hAnsiTheme="minorEastAsia"/>
          <w:szCs w:val="21"/>
        </w:rPr>
      </w:pPr>
      <w:r>
        <w:rPr>
          <w:rFonts w:asciiTheme="minorEastAsia" w:hAnsiTheme="minorEastAsia"/>
          <w:szCs w:val="21"/>
        </w:rPr>
        <w:t>投标人应提交证明文件，证明其拟供的合同项下的货物和服务的合格性符合招标文件规定。该证明文件作为投标文件的一部分。</w:t>
      </w:r>
    </w:p>
    <w:p w14:paraId="42A91C1D">
      <w:pPr>
        <w:spacing w:line="360" w:lineRule="auto"/>
        <w:ind w:firstLine="420" w:firstLineChars="200"/>
        <w:rPr>
          <w:rFonts w:asciiTheme="minorEastAsia" w:hAnsiTheme="minorEastAsia"/>
          <w:szCs w:val="21"/>
        </w:rPr>
      </w:pPr>
      <w:r>
        <w:rPr>
          <w:rFonts w:asciiTheme="minorEastAsia" w:hAnsiTheme="minorEastAsia"/>
          <w:szCs w:val="21"/>
        </w:rPr>
        <w:t>上述所述的证明文件，可以是文字资料、图纸和数据，它包括：</w:t>
      </w:r>
    </w:p>
    <w:p w14:paraId="19820C77">
      <w:pPr>
        <w:spacing w:line="360" w:lineRule="auto"/>
        <w:ind w:firstLine="420" w:firstLineChars="200"/>
        <w:rPr>
          <w:rFonts w:asciiTheme="minorEastAsia" w:hAnsiTheme="minorEastAsia"/>
          <w:szCs w:val="21"/>
        </w:rPr>
      </w:pPr>
      <w:r>
        <w:rPr>
          <w:rFonts w:asciiTheme="minorEastAsia" w:hAnsiTheme="minorEastAsia"/>
          <w:szCs w:val="21"/>
        </w:rPr>
        <w:t>货物主要技术指标和性能的详细说明；</w:t>
      </w:r>
    </w:p>
    <w:p w14:paraId="2613B8C9">
      <w:pPr>
        <w:spacing w:line="360" w:lineRule="auto"/>
        <w:ind w:firstLine="420" w:firstLineChars="200"/>
        <w:rPr>
          <w:rFonts w:asciiTheme="minorEastAsia" w:hAnsiTheme="minorEastAsia"/>
          <w:szCs w:val="21"/>
        </w:rPr>
      </w:pPr>
      <w:r>
        <w:rPr>
          <w:rFonts w:asciiTheme="minorEastAsia" w:hAnsiTheme="minorEastAsia"/>
          <w:szCs w:val="21"/>
        </w:rPr>
        <w:t>货物从招标人验收后开始使用至招标文件规定的保质期内正常、连续地使用所必须的备件和专用工具清单，包括备件和专用工具的货源及现行价格；</w:t>
      </w:r>
    </w:p>
    <w:p w14:paraId="442DBCCE">
      <w:pPr>
        <w:spacing w:line="360" w:lineRule="auto"/>
        <w:ind w:firstLine="420" w:firstLineChars="200"/>
        <w:rPr>
          <w:rFonts w:asciiTheme="minorEastAsia" w:hAnsiTheme="minorEastAsia"/>
          <w:szCs w:val="21"/>
        </w:rPr>
      </w:pPr>
      <w:r>
        <w:rPr>
          <w:rFonts w:asciiTheme="minorEastAsia" w:hAnsiTheme="minorEastAsia"/>
          <w:szCs w:val="21"/>
        </w:rPr>
        <w:t>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702E926F">
      <w:pPr>
        <w:spacing w:line="360" w:lineRule="auto"/>
        <w:ind w:firstLine="420" w:firstLineChars="200"/>
        <w:rPr>
          <w:rFonts w:asciiTheme="minorEastAsia" w:hAnsiTheme="minorEastAsia"/>
          <w:szCs w:val="21"/>
        </w:rPr>
      </w:pPr>
      <w:r>
        <w:rPr>
          <w:rFonts w:asciiTheme="minorEastAsia" w:hAnsiTheme="minorEastAsia"/>
          <w:szCs w:val="21"/>
        </w:rPr>
        <w:t>投标人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05253BF3">
      <w:pPr>
        <w:pStyle w:val="4"/>
        <w:spacing w:line="360" w:lineRule="auto"/>
        <w:ind w:firstLine="482"/>
      </w:pPr>
      <w:bookmarkStart w:id="62" w:name="_Toc1901"/>
      <w:bookmarkStart w:id="63" w:name="_Toc55548511"/>
      <w:r>
        <w:t>投标有效期</w:t>
      </w:r>
      <w:bookmarkEnd w:id="62"/>
      <w:bookmarkEnd w:id="63"/>
    </w:p>
    <w:p w14:paraId="2FA842E1">
      <w:pPr>
        <w:spacing w:line="360" w:lineRule="auto"/>
        <w:ind w:firstLine="420" w:firstLineChars="200"/>
        <w:rPr>
          <w:rFonts w:asciiTheme="minorEastAsia" w:hAnsiTheme="minorEastAsia"/>
          <w:szCs w:val="21"/>
        </w:rPr>
      </w:pPr>
      <w:bookmarkStart w:id="64" w:name="_Ref179620893"/>
      <w:r>
        <w:rPr>
          <w:rFonts w:asciiTheme="minorEastAsia" w:hAnsiTheme="minorEastAsia"/>
          <w:szCs w:val="21"/>
        </w:rPr>
        <w:t>投标有效期不足的投标将被视为非实质性响应，并予以拒绝。</w:t>
      </w:r>
      <w:bookmarkEnd w:id="64"/>
    </w:p>
    <w:p w14:paraId="0BDE098B">
      <w:pPr>
        <w:spacing w:line="360" w:lineRule="auto"/>
        <w:ind w:firstLine="420" w:firstLineChars="200"/>
        <w:rPr>
          <w:rFonts w:asciiTheme="minorEastAsia" w:hAnsiTheme="minorEastAsia"/>
          <w:szCs w:val="21"/>
        </w:rPr>
      </w:pPr>
      <w:r>
        <w:rPr>
          <w:rFonts w:asciiTheme="minorEastAsia" w:hAnsiTheme="minorEastAsia"/>
          <w:szCs w:val="21"/>
        </w:rPr>
        <w:t>特殊情况下，在原投标有效期截止之前，招标</w:t>
      </w:r>
      <w:r>
        <w:rPr>
          <w:rFonts w:hint="eastAsia" w:asciiTheme="minorEastAsia" w:hAnsiTheme="minorEastAsia"/>
          <w:szCs w:val="21"/>
        </w:rPr>
        <w:t>人</w:t>
      </w:r>
      <w:r>
        <w:rPr>
          <w:rFonts w:asciiTheme="minorEastAsia" w:hAnsiTheme="minorEastAsia"/>
          <w:szCs w:val="21"/>
        </w:rPr>
        <w:t>可要求投标人延长投标有效期。该要求与答复均应以书面形式提交。投标人可拒绝</w:t>
      </w:r>
      <w:r>
        <w:rPr>
          <w:rFonts w:hint="eastAsia" w:asciiTheme="minorEastAsia" w:hAnsiTheme="minorEastAsia"/>
          <w:szCs w:val="21"/>
        </w:rPr>
        <w:t>招标人</w:t>
      </w:r>
      <w:r>
        <w:rPr>
          <w:rFonts w:asciiTheme="minorEastAsia" w:hAnsiTheme="minorEastAsia"/>
          <w:szCs w:val="21"/>
        </w:rPr>
        <w:t>的这种要求，其投标保证金将不会被没收，但其投标在原投标有效期期满后将不再有效。同意延长投标有效期的投标人将不会被要求和允许修正其投标，而只会被要求相应地延长其投标保证金的有效期。且本须知有关投标保证金要求将在延长了的有效期内继续有效。</w:t>
      </w:r>
    </w:p>
    <w:p w14:paraId="23195359">
      <w:pPr>
        <w:pStyle w:val="4"/>
        <w:spacing w:line="360" w:lineRule="auto"/>
        <w:ind w:firstLine="482"/>
      </w:pPr>
      <w:bookmarkStart w:id="65" w:name="_Toc28446"/>
      <w:bookmarkStart w:id="66" w:name="_Toc55548512"/>
      <w:r>
        <w:t>投标文件的式样和签署</w:t>
      </w:r>
      <w:bookmarkEnd w:id="65"/>
      <w:bookmarkEnd w:id="66"/>
    </w:p>
    <w:p w14:paraId="1A14888E">
      <w:pPr>
        <w:spacing w:line="360" w:lineRule="auto"/>
        <w:ind w:firstLine="420" w:firstLineChars="200"/>
        <w:rPr>
          <w:rFonts w:asciiTheme="minorEastAsia" w:hAnsiTheme="minorEastAsia"/>
          <w:szCs w:val="21"/>
          <w:highlight w:val="yellow"/>
        </w:rPr>
      </w:pPr>
      <w:bookmarkStart w:id="67" w:name="_Ref179620912"/>
      <w:r>
        <w:rPr>
          <w:rFonts w:asciiTheme="minorEastAsia" w:hAnsiTheme="minorEastAsia"/>
          <w:szCs w:val="21"/>
          <w:highlight w:val="yellow"/>
        </w:rPr>
        <w:t>投标人应准备</w:t>
      </w:r>
      <w:r>
        <w:rPr>
          <w:rFonts w:asciiTheme="minorEastAsia" w:hAnsiTheme="minorEastAsia"/>
          <w:b/>
          <w:szCs w:val="21"/>
          <w:highlight w:val="yellow"/>
        </w:rPr>
        <w:t>一份</w:t>
      </w:r>
      <w:r>
        <w:rPr>
          <w:rFonts w:asciiTheme="minorEastAsia" w:hAnsiTheme="minorEastAsia"/>
          <w:szCs w:val="21"/>
          <w:highlight w:val="yellow"/>
        </w:rPr>
        <w:t>投标文件正本和</w:t>
      </w:r>
      <w:r>
        <w:rPr>
          <w:rFonts w:hint="eastAsia" w:asciiTheme="minorEastAsia" w:hAnsiTheme="minorEastAsia"/>
          <w:b/>
          <w:szCs w:val="21"/>
          <w:highlight w:val="yellow"/>
        </w:rPr>
        <w:t>两份</w:t>
      </w:r>
      <w:r>
        <w:rPr>
          <w:rFonts w:asciiTheme="minorEastAsia" w:hAnsiTheme="minorEastAsia"/>
          <w:szCs w:val="21"/>
          <w:highlight w:val="yellow"/>
        </w:rPr>
        <w:t>副本，每套投标文件须清楚地标明“正本”或“副本”。若副本与正本不符，以正本为准。</w:t>
      </w:r>
      <w:bookmarkEnd w:id="67"/>
    </w:p>
    <w:p w14:paraId="203C7AB1">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投标文件的正本需打印或用不褪色墨水书写，并由法定代表人或经其正式授权的代表签字并加盖单位印章。授权代表须持有书面的《法定代表人授权书》，并将其附在投标文件中。投标文件的副本可采用正本的复印件。</w:t>
      </w:r>
    </w:p>
    <w:p w14:paraId="478225DE">
      <w:pPr>
        <w:spacing w:line="360" w:lineRule="auto"/>
        <w:ind w:firstLine="420" w:firstLineChars="200"/>
        <w:rPr>
          <w:rFonts w:asciiTheme="minorEastAsia" w:hAnsiTheme="minorEastAsia"/>
          <w:szCs w:val="21"/>
        </w:rPr>
      </w:pPr>
      <w:r>
        <w:rPr>
          <w:rFonts w:asciiTheme="minorEastAsia" w:hAnsiTheme="minorEastAsia"/>
          <w:szCs w:val="21"/>
          <w:highlight w:val="yellow"/>
        </w:rPr>
        <w:t>任何行间插字、涂改和增删，必须由投标文件签字人用姓或首字母在旁边签字或由投标单位加盖公章才有效。</w:t>
      </w:r>
    </w:p>
    <w:p w14:paraId="76BA778A">
      <w:pPr>
        <w:pStyle w:val="4"/>
        <w:spacing w:line="360" w:lineRule="auto"/>
        <w:ind w:firstLine="482"/>
      </w:pPr>
      <w:bookmarkStart w:id="68" w:name="_Toc9436"/>
      <w:bookmarkStart w:id="69" w:name="_Toc55548513"/>
      <w:bookmarkStart w:id="70" w:name="_Toc26845"/>
      <w:r>
        <w:t>四、投标文件的递交</w:t>
      </w:r>
      <w:bookmarkEnd w:id="68"/>
      <w:bookmarkEnd w:id="69"/>
      <w:bookmarkEnd w:id="70"/>
    </w:p>
    <w:p w14:paraId="3145064B">
      <w:pPr>
        <w:pStyle w:val="4"/>
        <w:spacing w:line="360" w:lineRule="auto"/>
        <w:ind w:firstLine="482"/>
      </w:pPr>
      <w:bookmarkStart w:id="71" w:name="_Toc6626"/>
      <w:bookmarkStart w:id="72" w:name="_Toc55548514"/>
      <w:r>
        <w:t>投标文件的密封和标记</w:t>
      </w:r>
      <w:bookmarkEnd w:id="71"/>
      <w:bookmarkEnd w:id="72"/>
    </w:p>
    <w:p w14:paraId="2EE8B38F">
      <w:pPr>
        <w:spacing w:line="360" w:lineRule="auto"/>
        <w:ind w:firstLine="420" w:firstLineChars="200"/>
        <w:rPr>
          <w:rFonts w:asciiTheme="minorEastAsia" w:hAnsiTheme="minorEastAsia"/>
          <w:szCs w:val="21"/>
          <w:highlight w:val="yellow"/>
        </w:rPr>
      </w:pPr>
      <w:bookmarkStart w:id="73" w:name="_Ref179620969"/>
      <w:r>
        <w:rPr>
          <w:rFonts w:asciiTheme="minorEastAsia" w:hAnsiTheme="minorEastAsia"/>
          <w:szCs w:val="21"/>
          <w:highlight w:val="yellow"/>
        </w:rPr>
        <w:t>投标人应将投标文件正本和所有的副本封装在一个信封中</w:t>
      </w:r>
      <w:r>
        <w:rPr>
          <w:rFonts w:hint="eastAsia" w:asciiTheme="minorEastAsia" w:hAnsiTheme="minorEastAsia"/>
          <w:szCs w:val="21"/>
          <w:highlight w:val="yellow"/>
        </w:rPr>
        <w:t>，</w:t>
      </w:r>
      <w:r>
        <w:rPr>
          <w:rFonts w:asciiTheme="minorEastAsia" w:hAnsiTheme="minorEastAsia"/>
          <w:szCs w:val="21"/>
          <w:highlight w:val="yellow"/>
        </w:rPr>
        <w:t>信封均应：</w:t>
      </w:r>
      <w:bookmarkEnd w:id="73"/>
      <w:r>
        <w:rPr>
          <w:rFonts w:asciiTheme="minorEastAsia" w:hAnsiTheme="minorEastAsia"/>
          <w:szCs w:val="21"/>
          <w:highlight w:val="yellow"/>
        </w:rPr>
        <w:t xml:space="preserve"> </w:t>
      </w:r>
    </w:p>
    <w:p w14:paraId="585675B7">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1) 清楚标明递交至</w:t>
      </w:r>
      <w:r>
        <w:rPr>
          <w:rFonts w:hint="eastAsia" w:asciiTheme="minorEastAsia" w:hAnsiTheme="minorEastAsia"/>
          <w:b/>
          <w:szCs w:val="21"/>
          <w:highlight w:val="yellow"/>
        </w:rPr>
        <w:t>招标公告</w:t>
      </w:r>
      <w:r>
        <w:rPr>
          <w:rFonts w:asciiTheme="minorEastAsia" w:hAnsiTheme="minorEastAsia"/>
          <w:szCs w:val="21"/>
          <w:highlight w:val="yellow"/>
        </w:rPr>
        <w:t>指明的地址。</w:t>
      </w:r>
    </w:p>
    <w:p w14:paraId="61B0BE2A">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2) 清楚标明</w:t>
      </w:r>
      <w:r>
        <w:rPr>
          <w:rFonts w:hint="eastAsia" w:asciiTheme="minorEastAsia" w:hAnsiTheme="minorEastAsia"/>
          <w:b/>
          <w:szCs w:val="21"/>
          <w:highlight w:val="yellow"/>
        </w:rPr>
        <w:t>招标公告</w:t>
      </w:r>
      <w:r>
        <w:rPr>
          <w:rFonts w:asciiTheme="minorEastAsia" w:hAnsiTheme="minorEastAsia"/>
          <w:szCs w:val="21"/>
          <w:highlight w:val="yellow"/>
        </w:rPr>
        <w:t>中指明的项目名称、包号（如果分包的话）、招标编号和“在</w:t>
      </w:r>
      <w:r>
        <w:rPr>
          <w:rFonts w:asciiTheme="minorEastAsia" w:hAnsiTheme="minorEastAsia"/>
          <w:i/>
          <w:szCs w:val="21"/>
          <w:highlight w:val="yellow"/>
          <w:u w:val="single"/>
        </w:rPr>
        <w:t>(开标日期、时间)</w:t>
      </w:r>
      <w:r>
        <w:rPr>
          <w:rFonts w:asciiTheme="minorEastAsia" w:hAnsiTheme="minorEastAsia"/>
          <w:szCs w:val="21"/>
          <w:highlight w:val="yellow"/>
        </w:rPr>
        <w:t>之前不得启封”的字样，并填入</w:t>
      </w:r>
      <w:r>
        <w:rPr>
          <w:rFonts w:hint="eastAsia" w:asciiTheme="minorEastAsia" w:hAnsiTheme="minorEastAsia"/>
          <w:b/>
          <w:szCs w:val="21"/>
          <w:highlight w:val="yellow"/>
        </w:rPr>
        <w:t>招标公告</w:t>
      </w:r>
      <w:r>
        <w:rPr>
          <w:rFonts w:asciiTheme="minorEastAsia" w:hAnsiTheme="minorEastAsia"/>
          <w:szCs w:val="21"/>
          <w:highlight w:val="yellow"/>
        </w:rPr>
        <w:t>中规定的开标日期和时间。</w:t>
      </w:r>
    </w:p>
    <w:p w14:paraId="20D43801">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3) 清楚标明投标单位名称并在信封的封装处加盖投标人公章。</w:t>
      </w:r>
    </w:p>
    <w:p w14:paraId="3CBCF552">
      <w:pPr>
        <w:spacing w:line="360" w:lineRule="auto"/>
        <w:ind w:firstLine="420" w:firstLineChars="200"/>
        <w:rPr>
          <w:rFonts w:asciiTheme="minorEastAsia" w:hAnsiTheme="minorEastAsia"/>
          <w:szCs w:val="21"/>
        </w:rPr>
      </w:pPr>
      <w:r>
        <w:rPr>
          <w:rFonts w:asciiTheme="minorEastAsia" w:hAnsiTheme="minorEastAsia"/>
          <w:szCs w:val="21"/>
          <w:highlight w:val="yellow"/>
        </w:rPr>
        <w:t>内层信封应写明投标人名称和地址，以便将迟交的投标文件能原封退回。</w:t>
      </w:r>
    </w:p>
    <w:p w14:paraId="080BD6AB">
      <w:pPr>
        <w:spacing w:line="360" w:lineRule="auto"/>
        <w:ind w:firstLine="420" w:firstLineChars="200"/>
        <w:rPr>
          <w:rFonts w:asciiTheme="minorEastAsia" w:hAnsiTheme="minorEastAsia"/>
          <w:szCs w:val="21"/>
        </w:rPr>
      </w:pPr>
      <w:r>
        <w:rPr>
          <w:rFonts w:asciiTheme="minorEastAsia" w:hAnsiTheme="minorEastAsia"/>
          <w:szCs w:val="21"/>
        </w:rPr>
        <w:t>如果投标人未按本须知要求加写标记和密封，招标</w:t>
      </w:r>
      <w:r>
        <w:rPr>
          <w:rFonts w:hint="eastAsia" w:asciiTheme="minorEastAsia" w:hAnsiTheme="minorEastAsia"/>
          <w:szCs w:val="21"/>
        </w:rPr>
        <w:t>人</w:t>
      </w:r>
      <w:r>
        <w:rPr>
          <w:rFonts w:asciiTheme="minorEastAsia" w:hAnsiTheme="minorEastAsia"/>
          <w:szCs w:val="21"/>
        </w:rPr>
        <w:t>对投标文件的误投或提前启封概不负责。</w:t>
      </w:r>
    </w:p>
    <w:p w14:paraId="5968FF57">
      <w:pPr>
        <w:spacing w:line="360" w:lineRule="auto"/>
        <w:ind w:firstLine="420" w:firstLineChars="200"/>
        <w:rPr>
          <w:rFonts w:asciiTheme="minorEastAsia" w:hAnsiTheme="minorEastAsia"/>
          <w:szCs w:val="21"/>
        </w:rPr>
      </w:pPr>
      <w:r>
        <w:rPr>
          <w:rFonts w:asciiTheme="minorEastAsia" w:hAnsiTheme="minorEastAsia"/>
          <w:szCs w:val="21"/>
        </w:rPr>
        <w:t>投标人同时参加几个包投标时必须按招标文件要求按包号分别制作投标文件，分别密封递交。</w:t>
      </w:r>
    </w:p>
    <w:p w14:paraId="30D2A2B7">
      <w:pPr>
        <w:pStyle w:val="4"/>
        <w:spacing w:line="360" w:lineRule="auto"/>
        <w:ind w:firstLine="482"/>
      </w:pPr>
      <w:bookmarkStart w:id="74" w:name="_Toc8701"/>
      <w:bookmarkStart w:id="75" w:name="_Toc55548515"/>
      <w:r>
        <w:t>投标样品</w:t>
      </w:r>
      <w:bookmarkEnd w:id="74"/>
      <w:bookmarkEnd w:id="75"/>
    </w:p>
    <w:p w14:paraId="065E3659">
      <w:pPr>
        <w:spacing w:line="360" w:lineRule="auto"/>
        <w:ind w:firstLine="420" w:firstLineChars="200"/>
        <w:rPr>
          <w:rFonts w:asciiTheme="minorEastAsia" w:hAnsiTheme="minorEastAsia"/>
          <w:szCs w:val="21"/>
        </w:rPr>
      </w:pPr>
      <w:r>
        <w:rPr>
          <w:rFonts w:asciiTheme="minorEastAsia" w:hAnsiTheme="minorEastAsia"/>
          <w:szCs w:val="21"/>
        </w:rPr>
        <w:t>如有必要，招标</w:t>
      </w:r>
      <w:r>
        <w:rPr>
          <w:rFonts w:hint="eastAsia" w:asciiTheme="minorEastAsia" w:hAnsiTheme="minorEastAsia"/>
          <w:szCs w:val="21"/>
        </w:rPr>
        <w:t>人</w:t>
      </w:r>
      <w:r>
        <w:rPr>
          <w:rFonts w:asciiTheme="minorEastAsia" w:hAnsiTheme="minorEastAsia"/>
          <w:szCs w:val="21"/>
        </w:rPr>
        <w:t>可以要求投标人提供能反映货物材质或关键部分的极少部分的尺寸、价值不大的样品，投标人在投标时应提交《样品清单》。</w:t>
      </w:r>
    </w:p>
    <w:p w14:paraId="58062B83">
      <w:pPr>
        <w:spacing w:line="360" w:lineRule="auto"/>
        <w:ind w:firstLine="420" w:firstLineChars="200"/>
        <w:rPr>
          <w:rFonts w:asciiTheme="minorEastAsia" w:hAnsiTheme="minorEastAsia"/>
          <w:szCs w:val="21"/>
        </w:rPr>
      </w:pPr>
      <w:r>
        <w:rPr>
          <w:rFonts w:asciiTheme="minorEastAsia" w:hAnsiTheme="minorEastAsia"/>
          <w:szCs w:val="21"/>
        </w:rPr>
        <w:t>为方便评标，投标人在提供样品时，应使用透明的外包装或尽量少用外包装，但必须在所提供的样品表面显著位置标注投标人的名称、包号、样品名称、招标文件规定的货物编号。</w:t>
      </w:r>
    </w:p>
    <w:p w14:paraId="6AAE22CB">
      <w:pPr>
        <w:spacing w:line="360" w:lineRule="auto"/>
        <w:ind w:firstLine="420" w:firstLineChars="200"/>
        <w:rPr>
          <w:rFonts w:asciiTheme="minorEastAsia" w:hAnsiTheme="minorEastAsia"/>
          <w:szCs w:val="21"/>
        </w:rPr>
      </w:pPr>
      <w:r>
        <w:rPr>
          <w:rFonts w:asciiTheme="minorEastAsia" w:hAnsiTheme="minorEastAsia"/>
          <w:szCs w:val="21"/>
        </w:rPr>
        <w:t>样品作为投标文件的一部分，除非另有说明，中标单位的样品不再退还，未中标单位须在中标公告发布后五个工作日内，前往</w:t>
      </w:r>
      <w:r>
        <w:rPr>
          <w:rFonts w:hint="eastAsia" w:asciiTheme="minorEastAsia" w:hAnsiTheme="minorEastAsia"/>
          <w:szCs w:val="21"/>
        </w:rPr>
        <w:t>本中心</w:t>
      </w:r>
      <w:r>
        <w:rPr>
          <w:rFonts w:asciiTheme="minorEastAsia" w:hAnsiTheme="minorEastAsia"/>
          <w:szCs w:val="21"/>
        </w:rPr>
        <w:t>领取投标样品，逾期不领，</w:t>
      </w:r>
      <w:r>
        <w:rPr>
          <w:rFonts w:hint="eastAsia" w:asciiTheme="minorEastAsia" w:hAnsiTheme="minorEastAsia"/>
          <w:szCs w:val="21"/>
        </w:rPr>
        <w:t>本中心</w:t>
      </w:r>
      <w:r>
        <w:rPr>
          <w:rFonts w:asciiTheme="minorEastAsia" w:hAnsiTheme="minorEastAsia"/>
          <w:szCs w:val="21"/>
        </w:rPr>
        <w:t>将不承担样品的保管责任，由此引发的样品丢失、毁损，招标</w:t>
      </w:r>
      <w:r>
        <w:rPr>
          <w:rFonts w:hint="eastAsia" w:asciiTheme="minorEastAsia" w:hAnsiTheme="minorEastAsia"/>
          <w:szCs w:val="21"/>
        </w:rPr>
        <w:t>人</w:t>
      </w:r>
      <w:r>
        <w:rPr>
          <w:rFonts w:asciiTheme="minorEastAsia" w:hAnsiTheme="minorEastAsia"/>
          <w:szCs w:val="21"/>
        </w:rPr>
        <w:t>不予负责。</w:t>
      </w:r>
    </w:p>
    <w:p w14:paraId="4F401A2C">
      <w:pPr>
        <w:pStyle w:val="4"/>
        <w:spacing w:line="360" w:lineRule="auto"/>
        <w:ind w:firstLine="482"/>
      </w:pPr>
      <w:bookmarkStart w:id="76" w:name="_Toc55548516"/>
      <w:bookmarkStart w:id="77" w:name="_Ref179619638"/>
      <w:bookmarkStart w:id="78" w:name="_Toc5724"/>
      <w:r>
        <w:t>投标截止期</w:t>
      </w:r>
      <w:bookmarkEnd w:id="76"/>
      <w:bookmarkEnd w:id="77"/>
      <w:bookmarkEnd w:id="78"/>
    </w:p>
    <w:p w14:paraId="10D242EB">
      <w:pPr>
        <w:spacing w:line="360" w:lineRule="auto"/>
        <w:ind w:firstLine="420" w:firstLineChars="200"/>
        <w:rPr>
          <w:rFonts w:asciiTheme="minorEastAsia" w:hAnsiTheme="minorEastAsia"/>
          <w:szCs w:val="21"/>
        </w:rPr>
      </w:pPr>
      <w:bookmarkStart w:id="79" w:name="_Ref179621022"/>
      <w:r>
        <w:rPr>
          <w:rFonts w:asciiTheme="minorEastAsia" w:hAnsiTheme="minorEastAsia"/>
          <w:szCs w:val="21"/>
        </w:rPr>
        <w:t>投标人应在不迟于</w:t>
      </w:r>
      <w:r>
        <w:rPr>
          <w:rFonts w:hint="eastAsia" w:asciiTheme="minorEastAsia" w:hAnsiTheme="minorEastAsia"/>
          <w:b/>
          <w:szCs w:val="21"/>
        </w:rPr>
        <w:t>招标公告</w:t>
      </w:r>
      <w:r>
        <w:rPr>
          <w:rFonts w:asciiTheme="minorEastAsia" w:hAnsiTheme="minorEastAsia"/>
          <w:szCs w:val="21"/>
        </w:rPr>
        <w:t>中规定的截止日期和时间将投标文件递交至</w:t>
      </w:r>
      <w:r>
        <w:rPr>
          <w:rFonts w:hint="eastAsia" w:asciiTheme="minorEastAsia" w:hAnsiTheme="minorEastAsia"/>
          <w:szCs w:val="21"/>
        </w:rPr>
        <w:t>本中心</w:t>
      </w:r>
      <w:r>
        <w:rPr>
          <w:rFonts w:asciiTheme="minorEastAsia" w:hAnsiTheme="minorEastAsia"/>
          <w:szCs w:val="21"/>
        </w:rPr>
        <w:t>，递交地点应是</w:t>
      </w:r>
      <w:r>
        <w:rPr>
          <w:rFonts w:hint="eastAsia" w:asciiTheme="minorEastAsia" w:hAnsiTheme="minorEastAsia"/>
          <w:b/>
          <w:szCs w:val="21"/>
        </w:rPr>
        <w:t>招标公告</w:t>
      </w:r>
      <w:r>
        <w:rPr>
          <w:rFonts w:asciiTheme="minorEastAsia" w:hAnsiTheme="minorEastAsia"/>
          <w:szCs w:val="21"/>
        </w:rPr>
        <w:t>中指明的地址。</w:t>
      </w:r>
      <w:bookmarkEnd w:id="79"/>
    </w:p>
    <w:p w14:paraId="30D090F6">
      <w:pPr>
        <w:spacing w:line="360" w:lineRule="auto"/>
        <w:ind w:firstLine="420" w:firstLineChars="200"/>
        <w:rPr>
          <w:rFonts w:asciiTheme="minorEastAsia" w:hAnsiTheme="minorEastAsia"/>
          <w:szCs w:val="21"/>
        </w:rPr>
      </w:pPr>
      <w:r>
        <w:rPr>
          <w:rFonts w:hint="eastAsia" w:asciiTheme="minorEastAsia" w:hAnsiTheme="minorEastAsia"/>
          <w:szCs w:val="21"/>
        </w:rPr>
        <w:t>本中心</w:t>
      </w:r>
      <w:r>
        <w:rPr>
          <w:rFonts w:asciiTheme="minorEastAsia" w:hAnsiTheme="minorEastAsia"/>
          <w:szCs w:val="21"/>
        </w:rPr>
        <w:t xml:space="preserve">可以通过修改招标文件自行决定酌情推迟投标截止期。在此情况下，招标人和投标人受投标截止期制约的所有权利和义务均应延长至新的截止期。 </w:t>
      </w:r>
    </w:p>
    <w:p w14:paraId="5F01FF06">
      <w:pPr>
        <w:pStyle w:val="4"/>
        <w:spacing w:line="360" w:lineRule="auto"/>
        <w:ind w:firstLine="482"/>
      </w:pPr>
      <w:bookmarkStart w:id="80" w:name="_Toc55548517"/>
      <w:bookmarkStart w:id="81" w:name="_Toc3231"/>
      <w:bookmarkStart w:id="82" w:name="_Ref179619679"/>
      <w:r>
        <w:t>迟交的投标文件</w:t>
      </w:r>
      <w:bookmarkEnd w:id="80"/>
      <w:bookmarkEnd w:id="81"/>
      <w:bookmarkEnd w:id="82"/>
    </w:p>
    <w:p w14:paraId="54F26FC7">
      <w:pPr>
        <w:spacing w:line="360" w:lineRule="auto"/>
        <w:ind w:firstLine="420" w:firstLineChars="200"/>
        <w:rPr>
          <w:rFonts w:asciiTheme="minorEastAsia" w:hAnsiTheme="minorEastAsia"/>
          <w:szCs w:val="21"/>
        </w:rPr>
      </w:pPr>
      <w:r>
        <w:rPr>
          <w:rFonts w:hint="eastAsia" w:asciiTheme="minorEastAsia" w:hAnsiTheme="minorEastAsia"/>
          <w:szCs w:val="21"/>
        </w:rPr>
        <w:t>本中心</w:t>
      </w:r>
      <w:r>
        <w:rPr>
          <w:rFonts w:asciiTheme="minorEastAsia" w:hAnsiTheme="minorEastAsia"/>
          <w:szCs w:val="21"/>
        </w:rPr>
        <w:t>将拒绝并原封退回在</w:t>
      </w:r>
      <w:r>
        <w:rPr>
          <w:rFonts w:hint="eastAsia" w:asciiTheme="minorEastAsia" w:hAnsiTheme="minorEastAsia"/>
          <w:szCs w:val="21"/>
        </w:rPr>
        <w:t>招标公告</w:t>
      </w:r>
      <w:r>
        <w:rPr>
          <w:rFonts w:asciiTheme="minorEastAsia" w:hAnsiTheme="minorEastAsia"/>
          <w:szCs w:val="21"/>
        </w:rPr>
        <w:t>的截止期后收到的任何投标文件。</w:t>
      </w:r>
    </w:p>
    <w:p w14:paraId="774CC11D">
      <w:pPr>
        <w:pStyle w:val="4"/>
        <w:spacing w:line="360" w:lineRule="auto"/>
        <w:ind w:firstLine="482"/>
      </w:pPr>
      <w:bookmarkStart w:id="83" w:name="_Ref179619013"/>
      <w:bookmarkStart w:id="84" w:name="_Toc55548518"/>
      <w:bookmarkStart w:id="85" w:name="_Toc865"/>
      <w:r>
        <w:t>投标文件的修改与撤回</w:t>
      </w:r>
      <w:bookmarkEnd w:id="83"/>
      <w:bookmarkEnd w:id="84"/>
      <w:bookmarkEnd w:id="85"/>
    </w:p>
    <w:p w14:paraId="0817E485">
      <w:pPr>
        <w:spacing w:line="360" w:lineRule="auto"/>
        <w:ind w:firstLine="420" w:firstLineChars="200"/>
        <w:rPr>
          <w:rFonts w:asciiTheme="minorEastAsia" w:hAnsiTheme="minorEastAsia"/>
          <w:szCs w:val="21"/>
        </w:rPr>
      </w:pPr>
      <w:r>
        <w:rPr>
          <w:rFonts w:asciiTheme="minorEastAsia" w:hAnsiTheme="minorEastAsia"/>
          <w:szCs w:val="21"/>
        </w:rPr>
        <w:t>投标人在递交投标文件后，可以修改或撤回其投标，但投标人必须在规定的投标截止期之前将修改或撤回的书面通知递交到</w:t>
      </w:r>
      <w:r>
        <w:rPr>
          <w:rFonts w:hint="eastAsia" w:asciiTheme="minorEastAsia" w:hAnsiTheme="minorEastAsia"/>
          <w:szCs w:val="21"/>
        </w:rPr>
        <w:t>本中心</w:t>
      </w:r>
      <w:r>
        <w:rPr>
          <w:rFonts w:asciiTheme="minorEastAsia" w:hAnsiTheme="minorEastAsia"/>
          <w:szCs w:val="21"/>
        </w:rPr>
        <w:t>。</w:t>
      </w:r>
    </w:p>
    <w:p w14:paraId="1654E996">
      <w:pPr>
        <w:spacing w:line="360" w:lineRule="auto"/>
        <w:ind w:firstLine="420" w:firstLineChars="200"/>
        <w:rPr>
          <w:rFonts w:asciiTheme="minorEastAsia" w:hAnsiTheme="minorEastAsia"/>
          <w:szCs w:val="21"/>
        </w:rPr>
      </w:pPr>
      <w:r>
        <w:rPr>
          <w:rFonts w:asciiTheme="minorEastAsia" w:hAnsiTheme="minorEastAsia"/>
          <w:szCs w:val="21"/>
        </w:rPr>
        <w:t>投标人的修改或撤回通知应按本须知规定编制、密封、标记和递交。</w:t>
      </w:r>
    </w:p>
    <w:p w14:paraId="33A495E3">
      <w:pPr>
        <w:spacing w:line="360" w:lineRule="auto"/>
        <w:ind w:firstLine="420" w:firstLineChars="200"/>
        <w:rPr>
          <w:rFonts w:asciiTheme="minorEastAsia" w:hAnsiTheme="minorEastAsia"/>
          <w:szCs w:val="21"/>
        </w:rPr>
      </w:pPr>
      <w:r>
        <w:rPr>
          <w:rFonts w:asciiTheme="minorEastAsia" w:hAnsiTheme="minorEastAsia"/>
          <w:szCs w:val="21"/>
        </w:rPr>
        <w:t>在投标截止期之后，投标人不得对其投标做任何修改。</w:t>
      </w:r>
    </w:p>
    <w:p w14:paraId="530BE2FA">
      <w:pPr>
        <w:spacing w:line="360" w:lineRule="auto"/>
        <w:ind w:firstLine="420" w:firstLineChars="200"/>
        <w:rPr>
          <w:rFonts w:asciiTheme="minorEastAsia" w:hAnsiTheme="minorEastAsia"/>
          <w:szCs w:val="21"/>
        </w:rPr>
      </w:pPr>
      <w:r>
        <w:rPr>
          <w:rFonts w:asciiTheme="minorEastAsia" w:hAnsiTheme="minorEastAsia"/>
          <w:szCs w:val="21"/>
        </w:rPr>
        <w:t>从投标截止期至投标人在投标书中确定的投标有效期期满的这段时间内，投标人不得撤回其投标，否则其投标保证金将按照本须知的规定被没收。</w:t>
      </w:r>
    </w:p>
    <w:p w14:paraId="415F8CFD">
      <w:pPr>
        <w:pStyle w:val="4"/>
        <w:spacing w:line="360" w:lineRule="auto"/>
        <w:ind w:firstLine="482"/>
      </w:pPr>
      <w:bookmarkStart w:id="86" w:name="_Toc22375"/>
      <w:bookmarkStart w:id="87" w:name="_Toc55548519"/>
      <w:r>
        <w:t>投标文件的退还</w:t>
      </w:r>
      <w:bookmarkEnd w:id="86"/>
      <w:bookmarkEnd w:id="87"/>
    </w:p>
    <w:p w14:paraId="002C2F2A">
      <w:pPr>
        <w:spacing w:line="360" w:lineRule="auto"/>
        <w:ind w:firstLine="420" w:firstLineChars="200"/>
        <w:rPr>
          <w:rFonts w:asciiTheme="minorEastAsia" w:hAnsiTheme="minorEastAsia"/>
          <w:szCs w:val="21"/>
        </w:rPr>
      </w:pPr>
      <w:r>
        <w:rPr>
          <w:rFonts w:asciiTheme="minorEastAsia" w:hAnsiTheme="minorEastAsia"/>
          <w:szCs w:val="21"/>
        </w:rPr>
        <w:t>除非招标文件另有规定或说明，投标文件一律不予退还。</w:t>
      </w:r>
    </w:p>
    <w:p w14:paraId="162F5B8B">
      <w:pPr>
        <w:pStyle w:val="5"/>
        <w:ind w:firstLine="482"/>
      </w:pPr>
      <w:bookmarkStart w:id="88" w:name="_Toc9126"/>
      <w:bookmarkStart w:id="89" w:name="_Toc55548520"/>
      <w:bookmarkStart w:id="90" w:name="_Toc27271"/>
      <w:r>
        <w:t>五、开标与评标</w:t>
      </w:r>
      <w:bookmarkEnd w:id="88"/>
      <w:bookmarkEnd w:id="89"/>
      <w:bookmarkEnd w:id="90"/>
    </w:p>
    <w:p w14:paraId="6F0EF604">
      <w:pPr>
        <w:pStyle w:val="4"/>
        <w:spacing w:line="360" w:lineRule="auto"/>
        <w:ind w:firstLine="482"/>
      </w:pPr>
      <w:bookmarkStart w:id="91" w:name="_Toc55548521"/>
      <w:bookmarkStart w:id="92" w:name="_Toc21095"/>
      <w:r>
        <w:t>开标</w:t>
      </w:r>
      <w:bookmarkEnd w:id="91"/>
      <w:bookmarkEnd w:id="92"/>
    </w:p>
    <w:p w14:paraId="55DF3336">
      <w:pPr>
        <w:spacing w:line="360" w:lineRule="auto"/>
        <w:ind w:firstLine="420" w:firstLineChars="200"/>
        <w:rPr>
          <w:rFonts w:asciiTheme="minorEastAsia" w:hAnsiTheme="minorEastAsia"/>
          <w:szCs w:val="21"/>
        </w:rPr>
      </w:pPr>
      <w:bookmarkStart w:id="93" w:name="_Ref179621054"/>
      <w:r>
        <w:rPr>
          <w:rFonts w:hint="eastAsia" w:asciiTheme="minorEastAsia" w:hAnsiTheme="minorEastAsia"/>
          <w:szCs w:val="21"/>
        </w:rPr>
        <w:t>本中心</w:t>
      </w:r>
      <w:r>
        <w:rPr>
          <w:rFonts w:asciiTheme="minorEastAsia" w:hAnsiTheme="minorEastAsia"/>
          <w:szCs w:val="21"/>
        </w:rPr>
        <w:t>在</w:t>
      </w:r>
      <w:r>
        <w:rPr>
          <w:rFonts w:hint="eastAsia" w:asciiTheme="minorEastAsia" w:hAnsiTheme="minorEastAsia"/>
          <w:b/>
          <w:szCs w:val="21"/>
        </w:rPr>
        <w:t>招标公告</w:t>
      </w:r>
      <w:r>
        <w:rPr>
          <w:rFonts w:asciiTheme="minorEastAsia" w:hAnsiTheme="minorEastAsia"/>
          <w:szCs w:val="21"/>
        </w:rPr>
        <w:t>中规定的日期、时间和地点组织公开开标。投标人代表均须按时参加开标会。参加开标的投标人代表应签名报到以证明其出席。</w:t>
      </w:r>
      <w:bookmarkEnd w:id="93"/>
    </w:p>
    <w:p w14:paraId="1A186C7A">
      <w:pPr>
        <w:spacing w:line="360" w:lineRule="auto"/>
        <w:ind w:firstLine="420" w:firstLineChars="200"/>
        <w:rPr>
          <w:rFonts w:asciiTheme="minorEastAsia" w:hAnsiTheme="minorEastAsia"/>
          <w:szCs w:val="21"/>
        </w:rPr>
      </w:pPr>
      <w:r>
        <w:rPr>
          <w:rFonts w:asciiTheme="minorEastAsia" w:hAnsiTheme="minorEastAsia"/>
          <w:szCs w:val="21"/>
        </w:rPr>
        <w:t>开标时，招标</w:t>
      </w:r>
      <w:r>
        <w:rPr>
          <w:rFonts w:hint="eastAsia" w:asciiTheme="minorEastAsia" w:hAnsiTheme="minorEastAsia"/>
          <w:szCs w:val="21"/>
        </w:rPr>
        <w:t>人</w:t>
      </w:r>
      <w:r>
        <w:rPr>
          <w:rFonts w:asciiTheme="minorEastAsia" w:hAnsiTheme="minorEastAsia"/>
          <w:szCs w:val="21"/>
        </w:rPr>
        <w:t>当众宣读投标人名称、修改和撤回投标的通知、投标价格、是否提交了投标保证金，以及招标</w:t>
      </w:r>
      <w:r>
        <w:rPr>
          <w:rFonts w:hint="eastAsia" w:asciiTheme="minorEastAsia" w:hAnsiTheme="minorEastAsia"/>
          <w:szCs w:val="21"/>
        </w:rPr>
        <w:t>人</w:t>
      </w:r>
      <w:r>
        <w:rPr>
          <w:rFonts w:asciiTheme="minorEastAsia" w:hAnsiTheme="minorEastAsia"/>
          <w:szCs w:val="21"/>
        </w:rPr>
        <w:t>认为合适的其他内容。除了按照本须知的规定原封退回迟到的投标之外，开标时将不得拒绝任何已购买招标文件的投标人的投标。</w:t>
      </w:r>
    </w:p>
    <w:p w14:paraId="5AE18406">
      <w:pPr>
        <w:pStyle w:val="4"/>
        <w:spacing w:line="360" w:lineRule="auto"/>
        <w:ind w:firstLine="482"/>
      </w:pPr>
      <w:bookmarkStart w:id="94" w:name="_Toc1622"/>
      <w:bookmarkStart w:id="95" w:name="_Toc55548522"/>
      <w:r>
        <w:t>资格核查</w:t>
      </w:r>
      <w:bookmarkEnd w:id="94"/>
      <w:bookmarkEnd w:id="95"/>
    </w:p>
    <w:p w14:paraId="1C9AF257">
      <w:pPr>
        <w:spacing w:line="360" w:lineRule="auto"/>
        <w:ind w:firstLine="420" w:firstLineChars="200"/>
        <w:rPr>
          <w:rFonts w:asciiTheme="minorEastAsia" w:hAnsiTheme="minorEastAsia"/>
          <w:szCs w:val="21"/>
        </w:rPr>
      </w:pPr>
      <w:r>
        <w:rPr>
          <w:rFonts w:asciiTheme="minorEastAsia" w:hAnsiTheme="minorEastAsia"/>
          <w:szCs w:val="21"/>
        </w:rPr>
        <w:t>开标后，招标</w:t>
      </w:r>
      <w:r>
        <w:rPr>
          <w:rFonts w:hint="eastAsia" w:asciiTheme="minorEastAsia" w:hAnsiTheme="minorEastAsia"/>
          <w:szCs w:val="21"/>
        </w:rPr>
        <w:t>人</w:t>
      </w:r>
      <w:r>
        <w:rPr>
          <w:rFonts w:asciiTheme="minorEastAsia" w:hAnsiTheme="minorEastAsia"/>
          <w:szCs w:val="21"/>
        </w:rPr>
        <w:t>就投标文件中的资格证明等内容对投标供应商进行资格核查，核查不合格的，认定其投标无效。核查合格的投标文件提交评标委员会进行评审。</w:t>
      </w:r>
    </w:p>
    <w:p w14:paraId="5D70CF71">
      <w:pPr>
        <w:spacing w:line="360" w:lineRule="auto"/>
        <w:ind w:firstLine="422" w:firstLineChars="200"/>
        <w:rPr>
          <w:rFonts w:asciiTheme="minorEastAsia" w:hAnsiTheme="minorEastAsia"/>
          <w:b/>
          <w:szCs w:val="21"/>
        </w:rPr>
      </w:pPr>
      <w:r>
        <w:rPr>
          <w:rFonts w:asciiTheme="minorEastAsia" w:hAnsiTheme="minorEastAsia"/>
          <w:b/>
          <w:szCs w:val="21"/>
        </w:rPr>
        <w:t>1) 资格瑕疵</w:t>
      </w:r>
    </w:p>
    <w:p w14:paraId="6DBA6969">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资格证明文件未提供或不符合招标文件要求的；</w:t>
      </w:r>
      <w:r>
        <w:rPr>
          <w:rFonts w:hint="eastAsia" w:cs="宋体" w:asciiTheme="minorEastAsia" w:hAnsiTheme="minorEastAsia"/>
          <w:szCs w:val="21"/>
        </w:rPr>
        <w:t>②</w:t>
      </w:r>
      <w:r>
        <w:rPr>
          <w:rFonts w:asciiTheme="minorEastAsia" w:hAnsiTheme="minorEastAsia"/>
          <w:szCs w:val="21"/>
        </w:rPr>
        <w:t>投标人及其制造商与招标人有利害关系的。</w:t>
      </w:r>
    </w:p>
    <w:p w14:paraId="6CC2A1FF">
      <w:pPr>
        <w:pStyle w:val="4"/>
        <w:spacing w:line="360" w:lineRule="auto"/>
        <w:ind w:firstLine="482"/>
      </w:pPr>
      <w:bookmarkStart w:id="96" w:name="_Toc55548523"/>
      <w:bookmarkStart w:id="97" w:name="_Toc31201"/>
      <w:r>
        <w:t>评标委员会和评标方法</w:t>
      </w:r>
      <w:bookmarkEnd w:id="96"/>
      <w:bookmarkEnd w:id="97"/>
    </w:p>
    <w:p w14:paraId="75771317">
      <w:pPr>
        <w:spacing w:line="360" w:lineRule="auto"/>
        <w:ind w:firstLine="420" w:firstLineChars="200"/>
        <w:rPr>
          <w:rFonts w:asciiTheme="minorEastAsia" w:hAnsiTheme="minorEastAsia"/>
          <w:szCs w:val="21"/>
        </w:rPr>
      </w:pPr>
      <w:r>
        <w:rPr>
          <w:rFonts w:asciiTheme="minorEastAsia" w:hAnsiTheme="minorEastAsia"/>
          <w:szCs w:val="21"/>
        </w:rPr>
        <w:t>评标委员会根据招标项目的特点进行组建，并负责评标工作。评标委员会由招标人代表和有关技术、经济等方面的专家组成，成员人数为五人或五人以上单数。其中技术、经济等方面的专家不少于成员总数的三分之二。</w:t>
      </w:r>
    </w:p>
    <w:p w14:paraId="1147D4B1">
      <w:pPr>
        <w:spacing w:line="360" w:lineRule="auto"/>
        <w:ind w:firstLine="420" w:firstLineChars="200"/>
        <w:rPr>
          <w:rFonts w:asciiTheme="minorEastAsia" w:hAnsiTheme="minorEastAsia"/>
          <w:szCs w:val="21"/>
        </w:rPr>
      </w:pPr>
      <w:bookmarkStart w:id="98" w:name="_Ref179621079"/>
      <w:r>
        <w:rPr>
          <w:rFonts w:asciiTheme="minorEastAsia" w:hAnsiTheme="minorEastAsia"/>
          <w:szCs w:val="21"/>
        </w:rPr>
        <w:t>依照有关规定，货物或服务招标采购的评标方法分为最低评标价法、综合评分法和性价比法三种基本方法。评标委员会将按照</w:t>
      </w:r>
      <w:r>
        <w:rPr>
          <w:rFonts w:hint="eastAsia" w:asciiTheme="minorEastAsia" w:hAnsiTheme="minorEastAsia"/>
          <w:b/>
          <w:szCs w:val="21"/>
        </w:rPr>
        <w:t>招标公告</w:t>
      </w:r>
      <w:r>
        <w:rPr>
          <w:rFonts w:asciiTheme="minorEastAsia" w:hAnsiTheme="minorEastAsia"/>
          <w:szCs w:val="21"/>
        </w:rPr>
        <w:t>中所确定的评标方法进行评审。</w:t>
      </w:r>
      <w:bookmarkEnd w:id="98"/>
    </w:p>
    <w:p w14:paraId="0BF3107C">
      <w:pPr>
        <w:spacing w:line="360" w:lineRule="auto"/>
        <w:ind w:firstLine="420" w:firstLineChars="200"/>
        <w:rPr>
          <w:rFonts w:asciiTheme="minorEastAsia" w:hAnsiTheme="minorEastAsia"/>
          <w:szCs w:val="21"/>
        </w:rPr>
      </w:pPr>
      <w:r>
        <w:rPr>
          <w:rFonts w:asciiTheme="minorEastAsia" w:hAnsiTheme="minorEastAsia"/>
          <w:szCs w:val="21"/>
        </w:rPr>
        <w:t>评标委员会对投标文件的评审内容，分为商务评议、技术评议和价格评议/综合评议。评审流程包括资格性检查、符合性检查、澄清问题、比较与评价、推荐中标候选人或确定中标人、编写评标报告等步骤。</w:t>
      </w:r>
    </w:p>
    <w:p w14:paraId="5A61B5BB">
      <w:pPr>
        <w:spacing w:line="360" w:lineRule="auto"/>
        <w:ind w:firstLine="420" w:firstLineChars="200"/>
        <w:rPr>
          <w:rFonts w:asciiTheme="minorEastAsia" w:hAnsiTheme="minorEastAsia"/>
          <w:szCs w:val="21"/>
        </w:rPr>
      </w:pPr>
      <w:bookmarkStart w:id="99" w:name="_Ref179619857"/>
      <w:r>
        <w:rPr>
          <w:rFonts w:asciiTheme="minorEastAsia" w:hAnsiTheme="minorEastAsia"/>
          <w:szCs w:val="21"/>
        </w:rPr>
        <w:t>在评标期间，评标委员会可要求投标人对其投标文件进行澄清，但不得寻求、提供或允许对投标价格等实质性内容做任何更改。有关澄清的要求和答复均应以书面形式提交。</w:t>
      </w:r>
      <w:bookmarkEnd w:id="99"/>
    </w:p>
    <w:p w14:paraId="20F42E82">
      <w:pPr>
        <w:spacing w:line="360" w:lineRule="auto"/>
        <w:ind w:firstLine="420" w:firstLineChars="200"/>
        <w:rPr>
          <w:rFonts w:asciiTheme="minorEastAsia" w:hAnsiTheme="minorEastAsia"/>
          <w:szCs w:val="21"/>
        </w:rPr>
      </w:pPr>
      <w:bookmarkStart w:id="100" w:name="_Toc10952"/>
      <w:bookmarkStart w:id="101" w:name="_Toc16749"/>
      <w:bookmarkStart w:id="102" w:name="_Toc3712"/>
      <w:bookmarkStart w:id="103" w:name="_Toc27507"/>
      <w:r>
        <w:rPr>
          <w:rFonts w:hint="eastAsia" w:asciiTheme="minorEastAsia" w:hAnsiTheme="minorEastAsia"/>
          <w:szCs w:val="21"/>
        </w:rPr>
        <w:t>不同投标人提供相同品牌产品</w:t>
      </w:r>
      <w:bookmarkEnd w:id="100"/>
      <w:bookmarkEnd w:id="101"/>
      <w:bookmarkEnd w:id="102"/>
      <w:bookmarkEnd w:id="103"/>
    </w:p>
    <w:p w14:paraId="74C09FAA">
      <w:pPr>
        <w:spacing w:line="360" w:lineRule="auto"/>
        <w:ind w:firstLine="420" w:firstLineChars="200"/>
        <w:rPr>
          <w:rFonts w:asciiTheme="minorEastAsia" w:hAnsiTheme="minorEastAsia"/>
          <w:szCs w:val="21"/>
        </w:rPr>
      </w:pPr>
      <w:r>
        <w:rPr>
          <w:rFonts w:hint="eastAsia" w:asciiTheme="minorEastAsia" w:hAnsiTheme="minorEastAsia"/>
          <w:szCs w:val="21"/>
        </w:rPr>
        <w:t>采用最低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5997DC7B">
      <w:pPr>
        <w:spacing w:line="360" w:lineRule="auto"/>
        <w:ind w:firstLine="420" w:firstLineChars="200"/>
        <w:rPr>
          <w:rFonts w:asciiTheme="minorEastAsia" w:hAnsiTheme="minorEastAsia"/>
          <w:szCs w:val="21"/>
        </w:rPr>
      </w:pPr>
      <w:r>
        <w:rPr>
          <w:rFonts w:hint="eastAsia" w:asciiTheme="minorEastAsia" w:hAnsiTheme="minorEastAsia"/>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574A82E">
      <w:pPr>
        <w:spacing w:line="360" w:lineRule="auto"/>
        <w:ind w:firstLine="420" w:firstLineChars="200"/>
        <w:rPr>
          <w:rFonts w:asciiTheme="minorEastAsia" w:hAnsiTheme="minorEastAsia"/>
          <w:szCs w:val="21"/>
        </w:rPr>
      </w:pPr>
      <w:r>
        <w:rPr>
          <w:rFonts w:hint="eastAsia" w:asciiTheme="minorEastAsia" w:hAnsiTheme="minorEastAsia"/>
          <w:szCs w:val="21"/>
        </w:rPr>
        <w:t>非单一产品采购项目，采购人应当根据采购项目技术构成、产品价格比重等合理确定核心产品，多家投标人提供的核心产品品牌完全相同的，按本条规定处理。</w:t>
      </w:r>
    </w:p>
    <w:p w14:paraId="57708FBF">
      <w:pPr>
        <w:pStyle w:val="4"/>
        <w:spacing w:line="360" w:lineRule="auto"/>
        <w:ind w:firstLine="482"/>
      </w:pPr>
      <w:bookmarkStart w:id="104" w:name="_Toc55548524"/>
      <w:bookmarkStart w:id="105" w:name="_Toc21426"/>
      <w:r>
        <w:rPr>
          <w:rFonts w:hint="eastAsia"/>
        </w:rPr>
        <w:t>投标文件的初审</w:t>
      </w:r>
      <w:bookmarkEnd w:id="104"/>
      <w:bookmarkEnd w:id="105"/>
    </w:p>
    <w:p w14:paraId="565F4363">
      <w:pPr>
        <w:spacing w:line="360" w:lineRule="auto"/>
        <w:ind w:firstLine="420" w:firstLineChars="200"/>
        <w:rPr>
          <w:rFonts w:asciiTheme="minorEastAsia" w:hAnsiTheme="minorEastAsia"/>
          <w:szCs w:val="21"/>
        </w:rPr>
      </w:pPr>
      <w:r>
        <w:rPr>
          <w:rFonts w:asciiTheme="minorEastAsia" w:hAnsiTheme="minorEastAsia"/>
          <w:szCs w:val="21"/>
        </w:rPr>
        <w:t>评标委员会将审查投标文件是否完整、总体编排是否有序、文件签署是否合格等。</w:t>
      </w:r>
    </w:p>
    <w:p w14:paraId="2A6CB6BF">
      <w:pPr>
        <w:spacing w:line="360" w:lineRule="auto"/>
        <w:ind w:firstLine="420" w:firstLineChars="200"/>
        <w:rPr>
          <w:rFonts w:asciiTheme="minorEastAsia" w:hAnsiTheme="minorEastAsia"/>
          <w:szCs w:val="21"/>
        </w:rPr>
      </w:pPr>
      <w:r>
        <w:rPr>
          <w:rFonts w:asciiTheme="minorEastAsia" w:hAnsiTheme="minorEastAsia"/>
          <w:szCs w:val="21"/>
        </w:rPr>
        <w:t>算术错误将按以下方法更正：若开标一览表中单价和总价相矛盾，以投标单价为准修改总价；若开标一览表内容与投标文件中明细表内容不相符的，以开标一览表为准；若用文字表示的数值与用数字表示的数值不一致，以文字表示的数值为准。如果投标人不接受对其错误的更正，其投标将被拒绝。</w:t>
      </w:r>
    </w:p>
    <w:p w14:paraId="767AE1B7">
      <w:pPr>
        <w:spacing w:line="360" w:lineRule="auto"/>
        <w:ind w:firstLine="420" w:firstLineChars="200"/>
        <w:rPr>
          <w:rFonts w:asciiTheme="minorEastAsia" w:hAnsiTheme="minorEastAsia"/>
          <w:szCs w:val="21"/>
        </w:rPr>
      </w:pPr>
      <w:r>
        <w:rPr>
          <w:rFonts w:asciiTheme="minorEastAsia" w:hAnsiTheme="minorEastAsia"/>
          <w:szCs w:val="21"/>
        </w:rPr>
        <w:t>投标文件中的缺漏项将按以下方法更正：以所有投标报价中该项最高报价核算其缺漏项金额，缺漏项金额大于或等于其投标总价的1%时，视为重大投标漏项，该投标作</w:t>
      </w:r>
      <w:r>
        <w:rPr>
          <w:rFonts w:hint="eastAsia" w:asciiTheme="minorEastAsia" w:hAnsiTheme="minorEastAsia"/>
          <w:szCs w:val="21"/>
        </w:rPr>
        <w:t>投标无效</w:t>
      </w:r>
      <w:r>
        <w:rPr>
          <w:rFonts w:asciiTheme="minorEastAsia" w:hAnsiTheme="minorEastAsia"/>
          <w:szCs w:val="21"/>
        </w:rPr>
        <w:t>处理；缺漏项金额小于其投标总价的1%时，评标委员会将视为其投标总价已包括缺漏项内容，若其中标，有关该内容的合同价格不予调整，但评标时将对该投标作不利的评标价调整或评审分数量化。如果投标人不接受对其错误的更正，其投标将被拒绝。</w:t>
      </w:r>
    </w:p>
    <w:p w14:paraId="0EB6FFA9">
      <w:pPr>
        <w:spacing w:line="360" w:lineRule="auto"/>
        <w:ind w:firstLine="420" w:firstLineChars="200"/>
        <w:rPr>
          <w:rFonts w:asciiTheme="minorEastAsia" w:hAnsiTheme="minorEastAsia"/>
          <w:szCs w:val="21"/>
        </w:rPr>
      </w:pPr>
      <w:r>
        <w:rPr>
          <w:rFonts w:asciiTheme="minorEastAsia" w:hAnsiTheme="minorEastAsia"/>
          <w:szCs w:val="21"/>
        </w:rPr>
        <w:t>对于投标文件中不构成实质性偏差的不正规、不一致或不规则，评标委员会可以接受，但这种接受不能损害或影响任何投标人的相对排序。</w:t>
      </w:r>
    </w:p>
    <w:p w14:paraId="304FAD74">
      <w:pPr>
        <w:spacing w:line="360" w:lineRule="auto"/>
        <w:ind w:firstLine="420" w:firstLineChars="200"/>
        <w:rPr>
          <w:rFonts w:asciiTheme="minorEastAsia" w:hAnsiTheme="minorEastAsia"/>
          <w:szCs w:val="21"/>
        </w:rPr>
      </w:pPr>
      <w:r>
        <w:rPr>
          <w:rFonts w:asciiTheme="minorEastAsia" w:hAnsiTheme="minorEastAsia"/>
          <w:szCs w:val="21"/>
        </w:rPr>
        <w:t>在详细评审之前，评标委员将会审查每份投标文件是否实质上响应了招标文件的要求。实质上响应的投标是与招标文件要求的关键条款、条件和规格相符，没有重大偏离的投标。例如关于投标保证金、投标人资格要求、关键技术指标要求、投标报价要求和评标标准等。评标委员会审查投标的响应性只根据投标文件本身的内容，而不寻求外部的证据。</w:t>
      </w:r>
    </w:p>
    <w:p w14:paraId="03BE7DD1">
      <w:pPr>
        <w:spacing w:line="360" w:lineRule="auto"/>
        <w:ind w:firstLine="420" w:firstLineChars="200"/>
        <w:rPr>
          <w:rFonts w:asciiTheme="minorEastAsia" w:hAnsiTheme="minorEastAsia"/>
          <w:szCs w:val="21"/>
        </w:rPr>
      </w:pPr>
      <w:bookmarkStart w:id="106" w:name="_Ref179619330"/>
      <w:r>
        <w:rPr>
          <w:rFonts w:asciiTheme="minorEastAsia" w:hAnsiTheme="minorEastAsia"/>
          <w:szCs w:val="21"/>
        </w:rPr>
        <w:t>实质上没有响应招标文件要求的投标将被作</w:t>
      </w:r>
      <w:r>
        <w:rPr>
          <w:rFonts w:hint="eastAsia" w:asciiTheme="minorEastAsia" w:hAnsiTheme="minorEastAsia"/>
          <w:szCs w:val="21"/>
        </w:rPr>
        <w:t>投标无效</w:t>
      </w:r>
      <w:r>
        <w:rPr>
          <w:rFonts w:asciiTheme="minorEastAsia" w:hAnsiTheme="minorEastAsia"/>
          <w:szCs w:val="21"/>
        </w:rPr>
        <w:t>处理。投标人不得通过修正或撤销不合要求的偏离或保留从而使其投标成为实质上响应的投标。评标委员会评审中，发现下列情况之一的，其投标将作</w:t>
      </w:r>
      <w:r>
        <w:rPr>
          <w:rFonts w:hint="eastAsia" w:asciiTheme="minorEastAsia" w:hAnsiTheme="minorEastAsia"/>
          <w:szCs w:val="21"/>
        </w:rPr>
        <w:t>投标无效</w:t>
      </w:r>
      <w:r>
        <w:rPr>
          <w:rFonts w:asciiTheme="minorEastAsia" w:hAnsiTheme="minorEastAsia"/>
          <w:szCs w:val="21"/>
        </w:rPr>
        <w:t>处理：</w:t>
      </w:r>
      <w:bookmarkEnd w:id="106"/>
    </w:p>
    <w:p w14:paraId="6AA742B6">
      <w:pPr>
        <w:spacing w:line="360" w:lineRule="auto"/>
        <w:ind w:firstLine="420" w:firstLineChars="200"/>
        <w:rPr>
          <w:rFonts w:asciiTheme="minorEastAsia" w:hAnsiTheme="minorEastAsia"/>
          <w:szCs w:val="21"/>
        </w:rPr>
      </w:pPr>
      <w:bookmarkStart w:id="107" w:name="_Ref179621189"/>
      <w:r>
        <w:rPr>
          <w:rFonts w:asciiTheme="minorEastAsia" w:hAnsiTheme="minorEastAsia"/>
          <w:szCs w:val="21"/>
        </w:rPr>
        <w:t>符合性检查</w:t>
      </w:r>
      <w:bookmarkEnd w:id="107"/>
    </w:p>
    <w:p w14:paraId="0D00C659">
      <w:pPr>
        <w:spacing w:line="360" w:lineRule="auto"/>
        <w:ind w:firstLine="422" w:firstLineChars="200"/>
        <w:rPr>
          <w:rFonts w:asciiTheme="minorEastAsia" w:hAnsiTheme="minorEastAsia"/>
          <w:b/>
          <w:szCs w:val="21"/>
        </w:rPr>
      </w:pPr>
      <w:bookmarkStart w:id="108" w:name="_Toc32392"/>
      <w:bookmarkStart w:id="109" w:name="_Toc25993"/>
      <w:bookmarkStart w:id="110" w:name="_Toc385"/>
      <w:bookmarkStart w:id="111" w:name="_Toc5963"/>
      <w:bookmarkStart w:id="112" w:name="_Toc2459"/>
      <w:bookmarkStart w:id="113" w:name="_Toc13273"/>
      <w:bookmarkStart w:id="114" w:name="_Toc1347"/>
      <w:r>
        <w:rPr>
          <w:rFonts w:asciiTheme="minorEastAsia" w:hAnsiTheme="minorEastAsia"/>
          <w:b/>
          <w:szCs w:val="21"/>
        </w:rPr>
        <w:t>1) 投标文件的有效性、完整性瑕疵</w:t>
      </w:r>
      <w:bookmarkEnd w:id="108"/>
      <w:bookmarkEnd w:id="109"/>
      <w:bookmarkEnd w:id="110"/>
      <w:bookmarkEnd w:id="111"/>
      <w:bookmarkEnd w:id="112"/>
      <w:bookmarkEnd w:id="113"/>
      <w:bookmarkEnd w:id="114"/>
    </w:p>
    <w:p w14:paraId="2182E545">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投标文件的数量、制作、密封、标记不符合要求；</w:t>
      </w:r>
      <w:r>
        <w:rPr>
          <w:rFonts w:hint="eastAsia" w:cs="宋体" w:asciiTheme="minorEastAsia" w:hAnsiTheme="minorEastAsia"/>
          <w:szCs w:val="21"/>
        </w:rPr>
        <w:t>②</w:t>
      </w:r>
      <w:r>
        <w:rPr>
          <w:rFonts w:asciiTheme="minorEastAsia" w:hAnsiTheme="minorEastAsia"/>
          <w:szCs w:val="21"/>
        </w:rPr>
        <w:t>投标文件无法定代表人或其授权代表签字，或签字人无法定代表人有效授权的；</w:t>
      </w:r>
      <w:r>
        <w:rPr>
          <w:rFonts w:hint="eastAsia" w:cs="宋体" w:asciiTheme="minorEastAsia" w:hAnsiTheme="minorEastAsia"/>
          <w:szCs w:val="21"/>
        </w:rPr>
        <w:t>③</w:t>
      </w:r>
      <w:r>
        <w:rPr>
          <w:rFonts w:asciiTheme="minorEastAsia" w:hAnsiTheme="minorEastAsia"/>
          <w:szCs w:val="21"/>
        </w:rPr>
        <w:t>签字盖章不符合招标文件要求的；</w:t>
      </w:r>
      <w:r>
        <w:rPr>
          <w:rFonts w:hint="eastAsia" w:cs="宋体" w:asciiTheme="minorEastAsia" w:hAnsiTheme="minorEastAsia"/>
          <w:szCs w:val="21"/>
        </w:rPr>
        <w:t>④</w:t>
      </w:r>
      <w:r>
        <w:rPr>
          <w:rFonts w:asciiTheme="minorEastAsia" w:hAnsiTheme="minorEastAsia"/>
          <w:szCs w:val="21"/>
        </w:rPr>
        <w:t>投标文件内容有严重缺漏项的；</w:t>
      </w:r>
      <w:r>
        <w:rPr>
          <w:rFonts w:hint="eastAsia" w:cs="宋体" w:asciiTheme="minorEastAsia" w:hAnsiTheme="minorEastAsia"/>
          <w:szCs w:val="21"/>
        </w:rPr>
        <w:t>⑤</w:t>
      </w:r>
      <w:r>
        <w:rPr>
          <w:rFonts w:asciiTheme="minorEastAsia" w:hAnsiTheme="minorEastAsia"/>
          <w:szCs w:val="21"/>
        </w:rPr>
        <w:t>投标报价有严重缺漏项的；</w:t>
      </w:r>
      <w:r>
        <w:rPr>
          <w:rFonts w:hint="eastAsia" w:cs="宋体" w:asciiTheme="minorEastAsia" w:hAnsiTheme="minorEastAsia"/>
          <w:szCs w:val="21"/>
        </w:rPr>
        <w:t>⑥</w:t>
      </w:r>
      <w:r>
        <w:rPr>
          <w:rFonts w:asciiTheme="minorEastAsia" w:hAnsiTheme="minorEastAsia"/>
          <w:szCs w:val="21"/>
        </w:rPr>
        <w:t>投标文件的关键内容字迹模糊、无法辨认的</w:t>
      </w:r>
      <w:r>
        <w:rPr>
          <w:rFonts w:hint="eastAsia" w:asciiTheme="minorEastAsia" w:hAnsiTheme="minorEastAsia"/>
          <w:szCs w:val="21"/>
        </w:rPr>
        <w:t>；</w:t>
      </w:r>
      <w:r>
        <w:rPr>
          <w:rFonts w:hint="eastAsia" w:cs="宋体" w:asciiTheme="minorEastAsia" w:hAnsiTheme="minorEastAsia"/>
          <w:szCs w:val="21"/>
        </w:rPr>
        <w:t>⑦</w:t>
      </w:r>
      <w:r>
        <w:rPr>
          <w:rFonts w:hint="eastAsia" w:asciiTheme="minorEastAsia" w:hAnsiTheme="minorEastAsia"/>
          <w:szCs w:val="21"/>
        </w:rPr>
        <w:t>未按招标文件要求编制。</w:t>
      </w:r>
    </w:p>
    <w:p w14:paraId="7ABDDDED">
      <w:pPr>
        <w:spacing w:line="360" w:lineRule="auto"/>
        <w:ind w:firstLine="422" w:firstLineChars="200"/>
        <w:rPr>
          <w:rFonts w:asciiTheme="minorEastAsia" w:hAnsiTheme="minorEastAsia"/>
          <w:b/>
          <w:szCs w:val="21"/>
        </w:rPr>
      </w:pPr>
      <w:bookmarkStart w:id="115" w:name="_Toc30904"/>
      <w:bookmarkStart w:id="116" w:name="_Toc31066"/>
      <w:bookmarkStart w:id="117" w:name="_Toc4787"/>
      <w:bookmarkStart w:id="118" w:name="_Toc17493"/>
      <w:bookmarkStart w:id="119" w:name="_Toc6513"/>
      <w:bookmarkStart w:id="120" w:name="_Toc24825"/>
      <w:bookmarkStart w:id="121" w:name="_Toc29078"/>
      <w:r>
        <w:rPr>
          <w:rFonts w:asciiTheme="minorEastAsia" w:hAnsiTheme="minorEastAsia"/>
          <w:b/>
          <w:szCs w:val="21"/>
        </w:rPr>
        <w:t>2) 技术响应瑕疵</w:t>
      </w:r>
      <w:bookmarkEnd w:id="115"/>
      <w:bookmarkEnd w:id="116"/>
      <w:bookmarkEnd w:id="117"/>
      <w:bookmarkEnd w:id="118"/>
      <w:bookmarkEnd w:id="119"/>
      <w:bookmarkEnd w:id="120"/>
      <w:bookmarkEnd w:id="121"/>
    </w:p>
    <w:p w14:paraId="469C9986">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投标文件不满足招标文件中加注星号（</w:t>
      </w:r>
      <w:r>
        <w:rPr>
          <w:rFonts w:hint="eastAsia" w:cs="宋体" w:asciiTheme="minorEastAsia" w:hAnsiTheme="minorEastAsia"/>
          <w:szCs w:val="21"/>
        </w:rPr>
        <w:t>※</w:t>
      </w:r>
      <w:r>
        <w:rPr>
          <w:rFonts w:asciiTheme="minorEastAsia" w:hAnsiTheme="minorEastAsia"/>
          <w:szCs w:val="21"/>
        </w:rPr>
        <w:t>）的主要参数要求或加注星号的主要参数无技术资料支持的；</w:t>
      </w:r>
      <w:r>
        <w:rPr>
          <w:rFonts w:hint="eastAsia" w:cs="宋体" w:asciiTheme="minorEastAsia" w:hAnsiTheme="minorEastAsia"/>
          <w:szCs w:val="21"/>
        </w:rPr>
        <w:t>②</w:t>
      </w:r>
      <w:r>
        <w:rPr>
          <w:rFonts w:asciiTheme="minorEastAsia" w:hAnsiTheme="minorEastAsia"/>
          <w:szCs w:val="21"/>
        </w:rPr>
        <w:t>一般参数超出允许偏离的最大范围或最高项数的；</w:t>
      </w:r>
      <w:r>
        <w:rPr>
          <w:rFonts w:hint="eastAsia" w:cs="宋体" w:asciiTheme="minorEastAsia" w:hAnsiTheme="minorEastAsia"/>
          <w:szCs w:val="21"/>
        </w:rPr>
        <w:t>③</w:t>
      </w:r>
      <w:r>
        <w:rPr>
          <w:rFonts w:asciiTheme="minorEastAsia" w:hAnsiTheme="minorEastAsia"/>
          <w:szCs w:val="21"/>
        </w:rPr>
        <w:t>投标文件技术响应与事实不符或虚假投标的；</w:t>
      </w:r>
      <w:r>
        <w:rPr>
          <w:rFonts w:hint="eastAsia" w:cs="宋体" w:asciiTheme="minorEastAsia" w:hAnsiTheme="minorEastAsia"/>
          <w:szCs w:val="21"/>
        </w:rPr>
        <w:t>④</w:t>
      </w:r>
      <w:r>
        <w:rPr>
          <w:rFonts w:asciiTheme="minorEastAsia" w:hAnsiTheme="minorEastAsia"/>
          <w:szCs w:val="21"/>
        </w:rPr>
        <w:t>投标人复制招标文件的技术规格相关部分内容作为其投标文件的一部分的；</w:t>
      </w:r>
      <w:r>
        <w:rPr>
          <w:rFonts w:hint="eastAsia" w:cs="宋体" w:asciiTheme="minorEastAsia" w:hAnsiTheme="minorEastAsia"/>
          <w:szCs w:val="21"/>
        </w:rPr>
        <w:t>⑤</w:t>
      </w:r>
      <w:r>
        <w:rPr>
          <w:rFonts w:asciiTheme="minorEastAsia" w:hAnsiTheme="minorEastAsia"/>
          <w:szCs w:val="21"/>
        </w:rPr>
        <w:t>《技术规格偏离表》填写不明或不实的；</w:t>
      </w:r>
      <w:r>
        <w:rPr>
          <w:rFonts w:hint="eastAsia" w:cs="宋体" w:asciiTheme="minorEastAsia" w:hAnsiTheme="minorEastAsia"/>
          <w:szCs w:val="21"/>
        </w:rPr>
        <w:t>⑥</w:t>
      </w:r>
      <w:r>
        <w:rPr>
          <w:rFonts w:asciiTheme="minorEastAsia" w:hAnsiTheme="minorEastAsia"/>
          <w:szCs w:val="21"/>
        </w:rPr>
        <w:t>将一个包中的内容拆开投标的；</w:t>
      </w:r>
      <w:r>
        <w:rPr>
          <w:rFonts w:hint="eastAsia" w:cs="宋体" w:asciiTheme="minorEastAsia" w:hAnsiTheme="minorEastAsia"/>
          <w:szCs w:val="21"/>
        </w:rPr>
        <w:t>⑦</w:t>
      </w:r>
      <w:r>
        <w:rPr>
          <w:rFonts w:asciiTheme="minorEastAsia" w:hAnsiTheme="minorEastAsia"/>
          <w:szCs w:val="21"/>
        </w:rPr>
        <w:t>投标人对同一货物或服务投标时，同时提供两套或两套以上的投标方案的；</w:t>
      </w:r>
      <w:r>
        <w:rPr>
          <w:rFonts w:hint="eastAsia" w:cs="宋体" w:asciiTheme="minorEastAsia" w:hAnsiTheme="minorEastAsia"/>
          <w:szCs w:val="21"/>
        </w:rPr>
        <w:t>⑧</w:t>
      </w:r>
      <w:r>
        <w:rPr>
          <w:rFonts w:asciiTheme="minorEastAsia" w:hAnsiTheme="minorEastAsia"/>
          <w:szCs w:val="21"/>
        </w:rPr>
        <w:t>明显不符合技术规格、技术标准要求的；</w:t>
      </w:r>
      <w:r>
        <w:rPr>
          <w:rFonts w:hint="eastAsia" w:cs="宋体" w:asciiTheme="minorEastAsia" w:hAnsiTheme="minorEastAsia"/>
          <w:szCs w:val="21"/>
        </w:rPr>
        <w:t>⑨</w:t>
      </w:r>
      <w:r>
        <w:rPr>
          <w:rFonts w:asciiTheme="minorEastAsia" w:hAnsiTheme="minorEastAsia"/>
          <w:szCs w:val="21"/>
        </w:rPr>
        <w:t>其他未实质性响应招标文件技术要求的。</w:t>
      </w:r>
    </w:p>
    <w:p w14:paraId="2F84BAC2">
      <w:pPr>
        <w:spacing w:line="360" w:lineRule="auto"/>
        <w:ind w:firstLine="422" w:firstLineChars="200"/>
        <w:rPr>
          <w:rFonts w:asciiTheme="minorEastAsia" w:hAnsiTheme="minorEastAsia"/>
          <w:b/>
          <w:szCs w:val="21"/>
        </w:rPr>
      </w:pPr>
      <w:bookmarkStart w:id="122" w:name="_Toc6987"/>
      <w:bookmarkStart w:id="123" w:name="_Toc16856"/>
      <w:bookmarkStart w:id="124" w:name="_Toc32692"/>
      <w:bookmarkStart w:id="125" w:name="_Toc19531"/>
      <w:bookmarkStart w:id="126" w:name="_Toc9317"/>
      <w:bookmarkStart w:id="127" w:name="_Toc13742"/>
      <w:bookmarkStart w:id="128" w:name="_Toc27147"/>
      <w:r>
        <w:rPr>
          <w:rFonts w:asciiTheme="minorEastAsia" w:hAnsiTheme="minorEastAsia"/>
          <w:b/>
          <w:szCs w:val="21"/>
        </w:rPr>
        <w:t>3) 商务响应瑕疵</w:t>
      </w:r>
      <w:bookmarkEnd w:id="122"/>
      <w:bookmarkEnd w:id="123"/>
      <w:bookmarkEnd w:id="124"/>
      <w:bookmarkEnd w:id="125"/>
      <w:bookmarkEnd w:id="126"/>
      <w:bookmarkEnd w:id="127"/>
      <w:bookmarkEnd w:id="128"/>
    </w:p>
    <w:p w14:paraId="48D4872F">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招标文件加注星号（</w:t>
      </w:r>
      <w:r>
        <w:rPr>
          <w:rFonts w:hint="eastAsia" w:cs="宋体" w:asciiTheme="minorEastAsia" w:hAnsiTheme="minorEastAsia"/>
          <w:szCs w:val="21"/>
        </w:rPr>
        <w:t>※</w:t>
      </w:r>
      <w:r>
        <w:rPr>
          <w:rFonts w:asciiTheme="minorEastAsia" w:hAnsiTheme="minorEastAsia"/>
          <w:szCs w:val="21"/>
        </w:rPr>
        <w:t>）的商务要求负偏离的；</w:t>
      </w:r>
      <w:r>
        <w:rPr>
          <w:rFonts w:hint="eastAsia" w:cs="宋体" w:asciiTheme="minorEastAsia" w:hAnsiTheme="minorEastAsia"/>
          <w:szCs w:val="21"/>
        </w:rPr>
        <w:t>②</w:t>
      </w:r>
      <w:r>
        <w:rPr>
          <w:rFonts w:asciiTheme="minorEastAsia" w:hAnsiTheme="minorEastAsia"/>
          <w:szCs w:val="21"/>
        </w:rPr>
        <w:t>招标项目完成期未满足招标文件要求的；</w:t>
      </w:r>
      <w:r>
        <w:rPr>
          <w:rFonts w:hint="eastAsia" w:cs="宋体" w:asciiTheme="minorEastAsia" w:hAnsiTheme="minorEastAsia"/>
          <w:szCs w:val="21"/>
        </w:rPr>
        <w:t>③</w:t>
      </w:r>
      <w:r>
        <w:rPr>
          <w:rFonts w:asciiTheme="minorEastAsia" w:hAnsiTheme="minorEastAsia"/>
          <w:szCs w:val="21"/>
        </w:rPr>
        <w:t>投标文件载明的货物包装方式、检验标准和方法不符合招标文件要求的；</w:t>
      </w:r>
      <w:r>
        <w:rPr>
          <w:rFonts w:hint="eastAsia" w:cs="宋体" w:asciiTheme="minorEastAsia" w:hAnsiTheme="minorEastAsia"/>
          <w:szCs w:val="21"/>
        </w:rPr>
        <w:t>④</w:t>
      </w:r>
      <w:r>
        <w:rPr>
          <w:rFonts w:asciiTheme="minorEastAsia" w:hAnsiTheme="minorEastAsia"/>
          <w:szCs w:val="21"/>
        </w:rPr>
        <w:t>《商务条款偏离表》填写不明或不实的；</w:t>
      </w:r>
      <w:r>
        <w:rPr>
          <w:rFonts w:hint="eastAsia" w:cs="宋体" w:asciiTheme="minorEastAsia" w:hAnsiTheme="minorEastAsia"/>
          <w:szCs w:val="21"/>
        </w:rPr>
        <w:t>⑤</w:t>
      </w:r>
      <w:r>
        <w:rPr>
          <w:rFonts w:asciiTheme="minorEastAsia" w:hAnsiTheme="minorEastAsia"/>
          <w:szCs w:val="21"/>
        </w:rPr>
        <w:t>投标文件附有招标人不能接受的条件的；</w:t>
      </w:r>
      <w:r>
        <w:rPr>
          <w:rFonts w:hint="eastAsia" w:cs="宋体" w:asciiTheme="minorEastAsia" w:hAnsiTheme="minorEastAsia"/>
          <w:szCs w:val="21"/>
        </w:rPr>
        <w:t>⑥</w:t>
      </w:r>
      <w:r>
        <w:rPr>
          <w:rFonts w:hint="eastAsia" w:asciiTheme="minorEastAsia" w:hAnsiTheme="minorEastAsia"/>
          <w:szCs w:val="21"/>
        </w:rPr>
        <w:t>投标文件中附有招标人不能接受的条件；</w:t>
      </w:r>
      <w:r>
        <w:rPr>
          <w:rFonts w:hint="eastAsia" w:cs="宋体" w:asciiTheme="minorEastAsia" w:hAnsiTheme="minorEastAsia"/>
          <w:szCs w:val="21"/>
        </w:rPr>
        <w:t>⑦</w:t>
      </w:r>
      <w:r>
        <w:rPr>
          <w:rFonts w:asciiTheme="minorEastAsia" w:hAnsiTheme="minorEastAsia"/>
          <w:szCs w:val="21"/>
        </w:rPr>
        <w:t>其他未实质性响应招标文件商务要求的。</w:t>
      </w:r>
    </w:p>
    <w:p w14:paraId="526FD488">
      <w:pPr>
        <w:spacing w:line="360" w:lineRule="auto"/>
        <w:ind w:firstLine="422" w:firstLineChars="200"/>
        <w:rPr>
          <w:rFonts w:asciiTheme="minorEastAsia" w:hAnsiTheme="minorEastAsia"/>
          <w:b/>
          <w:szCs w:val="21"/>
        </w:rPr>
      </w:pPr>
      <w:r>
        <w:rPr>
          <w:rFonts w:asciiTheme="minorEastAsia" w:hAnsiTheme="minorEastAsia"/>
          <w:b/>
          <w:szCs w:val="21"/>
        </w:rPr>
        <w:t>4）违规行为</w:t>
      </w:r>
    </w:p>
    <w:p w14:paraId="69B0EDEA">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以他人的名义投标、串通投标、以行贿手段谋取中标或者以其他弄虚作假方式投标的；</w:t>
      </w:r>
      <w:r>
        <w:rPr>
          <w:rFonts w:hint="eastAsia" w:cs="宋体" w:asciiTheme="minorEastAsia" w:hAnsiTheme="minorEastAsia"/>
          <w:szCs w:val="21"/>
        </w:rPr>
        <w:t>②</w:t>
      </w:r>
      <w:r>
        <w:rPr>
          <w:rFonts w:asciiTheme="minorEastAsia" w:hAnsiTheme="minorEastAsia"/>
          <w:szCs w:val="21"/>
        </w:rPr>
        <w:t>拒不按照要求对投标文件进行澄清、说明或者补正的；</w:t>
      </w:r>
      <w:r>
        <w:rPr>
          <w:rFonts w:hint="eastAsia" w:cs="宋体" w:asciiTheme="minorEastAsia" w:hAnsiTheme="minorEastAsia"/>
          <w:szCs w:val="21"/>
        </w:rPr>
        <w:t>③</w:t>
      </w:r>
      <w:r>
        <w:rPr>
          <w:rFonts w:asciiTheme="minorEastAsia" w:hAnsiTheme="minorEastAsia"/>
          <w:szCs w:val="21"/>
        </w:rPr>
        <w:t>扰乱开标、评标秩序，干扰招标工作正常进行的。</w:t>
      </w:r>
    </w:p>
    <w:p w14:paraId="4A5C7CA7">
      <w:pPr>
        <w:spacing w:line="360" w:lineRule="auto"/>
        <w:ind w:firstLine="422" w:firstLineChars="200"/>
        <w:rPr>
          <w:rFonts w:asciiTheme="minorEastAsia" w:hAnsiTheme="minorEastAsia"/>
          <w:b/>
          <w:szCs w:val="21"/>
        </w:rPr>
      </w:pPr>
      <w:r>
        <w:rPr>
          <w:rFonts w:hint="eastAsia" w:asciiTheme="minorEastAsia" w:hAnsiTheme="minorEastAsia"/>
          <w:b/>
          <w:szCs w:val="21"/>
        </w:rPr>
        <w:t>投标报价</w:t>
      </w:r>
    </w:p>
    <w:p w14:paraId="2657A5AB">
      <w:pPr>
        <w:spacing w:line="360" w:lineRule="auto"/>
        <w:ind w:firstLine="420" w:firstLineChars="200"/>
        <w:rPr>
          <w:rFonts w:asciiTheme="minorEastAsia" w:hAnsiTheme="minorEastAsia"/>
          <w:szCs w:val="21"/>
        </w:rPr>
      </w:pPr>
      <w:r>
        <w:rPr>
          <w:rFonts w:hint="eastAsia" w:asciiTheme="minorEastAsia" w:hAnsiTheme="minorEastAsia"/>
          <w:bCs/>
          <w:szCs w:val="21"/>
        </w:rPr>
        <w:t>包括但不限于：</w:t>
      </w:r>
      <w:r>
        <w:rPr>
          <w:rFonts w:hint="eastAsia" w:cs="宋体" w:asciiTheme="minorEastAsia" w:hAnsiTheme="minorEastAsia"/>
          <w:szCs w:val="21"/>
        </w:rPr>
        <w:t>①</w:t>
      </w:r>
      <w:r>
        <w:rPr>
          <w:rFonts w:hint="eastAsia" w:asciiTheme="minorEastAsia" w:hAnsiTheme="minorEastAsia"/>
          <w:szCs w:val="21"/>
        </w:rPr>
        <w:t>投标报价超出预算控制金额上限，或超过招标文件规定的最高投标限价</w:t>
      </w:r>
      <w:r>
        <w:rPr>
          <w:rFonts w:hint="eastAsia" w:cs="宋体" w:asciiTheme="minorEastAsia" w:hAnsiTheme="minorEastAsia"/>
          <w:szCs w:val="21"/>
        </w:rPr>
        <w:t>②</w:t>
      </w:r>
      <w:r>
        <w:rPr>
          <w:rFonts w:hint="eastAsia" w:asciiTheme="minorEastAsia" w:hAnsiTheme="minorEastAsia"/>
          <w:szCs w:val="21"/>
        </w:rPr>
        <w:t>选择性报价或可变动报价</w:t>
      </w:r>
      <w:r>
        <w:rPr>
          <w:rFonts w:hint="eastAsia" w:cs="宋体" w:asciiTheme="minorEastAsia" w:hAnsiTheme="minorEastAsia"/>
          <w:szCs w:val="21"/>
        </w:rPr>
        <w:t>③</w:t>
      </w:r>
      <w:r>
        <w:rPr>
          <w:rFonts w:asciiTheme="minorEastAsia" w:hAnsiTheme="minorEastAsia"/>
          <w:szCs w:val="21"/>
        </w:rPr>
        <w:t>投标人低于成本报价竞标的</w:t>
      </w:r>
    </w:p>
    <w:p w14:paraId="7D267B46">
      <w:pPr>
        <w:spacing w:line="360" w:lineRule="auto"/>
        <w:ind w:firstLine="422" w:firstLineChars="200"/>
        <w:rPr>
          <w:rFonts w:asciiTheme="minorEastAsia" w:hAnsiTheme="minorEastAsia"/>
          <w:b/>
          <w:bCs/>
          <w:szCs w:val="21"/>
        </w:rPr>
      </w:pPr>
      <w:r>
        <w:rPr>
          <w:rFonts w:hint="eastAsia" w:asciiTheme="minorEastAsia" w:hAnsiTheme="minorEastAsia"/>
          <w:b/>
          <w:bCs/>
          <w:szCs w:val="21"/>
        </w:rPr>
        <w:t>6</w:t>
      </w:r>
      <w:r>
        <w:rPr>
          <w:rFonts w:asciiTheme="minorEastAsia" w:hAnsiTheme="minorEastAsia"/>
          <w:b/>
          <w:bCs/>
          <w:szCs w:val="21"/>
        </w:rPr>
        <w:t>）法律法规及招标文件中规定的其它情形。</w:t>
      </w:r>
    </w:p>
    <w:p w14:paraId="672F18C5">
      <w:pPr>
        <w:spacing w:line="360" w:lineRule="auto"/>
        <w:ind w:firstLine="420" w:firstLineChars="200"/>
        <w:rPr>
          <w:rFonts w:asciiTheme="minorEastAsia" w:hAnsiTheme="minorEastAsia"/>
          <w:szCs w:val="21"/>
        </w:rPr>
      </w:pPr>
      <w:r>
        <w:rPr>
          <w:rFonts w:asciiTheme="minorEastAsia" w:hAnsiTheme="minorEastAsia"/>
          <w:szCs w:val="21"/>
        </w:rPr>
        <w:t>根据项目情况，评标委员会有权决定招标文件中“可能导致</w:t>
      </w:r>
      <w:r>
        <w:rPr>
          <w:rFonts w:hint="eastAsia" w:asciiTheme="minorEastAsia" w:hAnsiTheme="minorEastAsia"/>
          <w:szCs w:val="21"/>
        </w:rPr>
        <w:t>投标无效</w:t>
      </w:r>
      <w:r>
        <w:rPr>
          <w:rFonts w:asciiTheme="minorEastAsia" w:hAnsiTheme="minorEastAsia"/>
          <w:szCs w:val="21"/>
        </w:rPr>
        <w:t>”或“可能导致其投标被拒绝”等具体条款是否实施“</w:t>
      </w:r>
      <w:r>
        <w:rPr>
          <w:rFonts w:hint="eastAsia" w:asciiTheme="minorEastAsia" w:hAnsiTheme="minorEastAsia"/>
          <w:szCs w:val="21"/>
        </w:rPr>
        <w:t>投标无效</w:t>
      </w:r>
      <w:r>
        <w:rPr>
          <w:rFonts w:asciiTheme="minorEastAsia" w:hAnsiTheme="minorEastAsia"/>
          <w:szCs w:val="21"/>
        </w:rPr>
        <w:t>”或“投标被拒绝”，但对同一条款的裁决应适用于每个投标人。</w:t>
      </w:r>
    </w:p>
    <w:p w14:paraId="593B03BB">
      <w:pPr>
        <w:pStyle w:val="4"/>
        <w:spacing w:line="360" w:lineRule="auto"/>
        <w:ind w:firstLine="482"/>
      </w:pPr>
      <w:bookmarkStart w:id="129" w:name="_Toc55548525"/>
      <w:bookmarkStart w:id="130" w:name="_Toc7255"/>
      <w:r>
        <w:rPr>
          <w:rFonts w:hint="eastAsia"/>
        </w:rPr>
        <w:t>评标方法和定标原则</w:t>
      </w:r>
      <w:bookmarkEnd w:id="129"/>
      <w:bookmarkEnd w:id="130"/>
    </w:p>
    <w:p w14:paraId="6CD238DB">
      <w:pPr>
        <w:spacing w:line="360" w:lineRule="auto"/>
        <w:ind w:firstLine="420" w:firstLineChars="200"/>
        <w:rPr>
          <w:rFonts w:asciiTheme="minorEastAsia" w:hAnsiTheme="minorEastAsia"/>
          <w:szCs w:val="21"/>
        </w:rPr>
      </w:pPr>
      <w:r>
        <w:rPr>
          <w:rFonts w:asciiTheme="minorEastAsia" w:hAnsiTheme="minorEastAsia"/>
          <w:szCs w:val="21"/>
        </w:rPr>
        <w:t>最低评标价法</w:t>
      </w:r>
    </w:p>
    <w:p w14:paraId="16160DB9">
      <w:pPr>
        <w:spacing w:line="360" w:lineRule="auto"/>
        <w:ind w:firstLine="420" w:firstLineChars="200"/>
        <w:rPr>
          <w:rFonts w:asciiTheme="minorEastAsia" w:hAnsiTheme="minorEastAsia"/>
          <w:szCs w:val="21"/>
        </w:rPr>
      </w:pPr>
      <w:r>
        <w:rPr>
          <w:rFonts w:asciiTheme="minorEastAsia" w:hAnsiTheme="minorEastAsia"/>
          <w:szCs w:val="21"/>
        </w:rPr>
        <w:t>最低评标价法，是指以价格因素确定中标候选人的评标方法，即在满足招标文件实质性要求前提下，以报价最低的投标供应商作为中标候选人或中标人。完全满足招标文件的实质性要求，按照报价由低到高的顺序，依据招标文件中规定的数量或者比例推荐候选中标供应商。</w:t>
      </w:r>
    </w:p>
    <w:p w14:paraId="3D89A152">
      <w:pPr>
        <w:spacing w:line="360" w:lineRule="auto"/>
        <w:ind w:firstLine="420" w:firstLineChars="200"/>
        <w:rPr>
          <w:rFonts w:asciiTheme="minorEastAsia" w:hAnsiTheme="minorEastAsia"/>
          <w:szCs w:val="21"/>
        </w:rPr>
      </w:pPr>
      <w:r>
        <w:rPr>
          <w:rFonts w:asciiTheme="minorEastAsia" w:hAnsiTheme="minorEastAsia"/>
          <w:szCs w:val="21"/>
        </w:rPr>
        <w:t>中标人的投标应当符合招标文件规定的资质、技术要求和标准，但评标委员会无需对投标文件的技术部分进行价格折算。</w:t>
      </w:r>
    </w:p>
    <w:p w14:paraId="389A00D9">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79CDB9C2">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评标委员会同时将参照本须知规定，只对确定为实质上响应招标文件要求的投标进行下一步评定。</w:t>
      </w:r>
    </w:p>
    <w:p w14:paraId="7FF0A1AF">
      <w:pPr>
        <w:spacing w:line="360" w:lineRule="auto"/>
        <w:ind w:firstLine="420" w:firstLineChars="200"/>
        <w:rPr>
          <w:rFonts w:asciiTheme="minorEastAsia" w:hAnsiTheme="minorEastAsia"/>
          <w:szCs w:val="21"/>
        </w:rPr>
      </w:pPr>
      <w:r>
        <w:rPr>
          <w:rFonts w:asciiTheme="minorEastAsia" w:hAnsiTheme="minorEastAsia"/>
          <w:szCs w:val="21"/>
        </w:rPr>
        <w:t>定标原则</w:t>
      </w:r>
    </w:p>
    <w:p w14:paraId="6FEB842F">
      <w:pPr>
        <w:spacing w:line="360" w:lineRule="auto"/>
        <w:ind w:firstLine="420" w:firstLineChars="200"/>
        <w:rPr>
          <w:rFonts w:asciiTheme="minorEastAsia" w:hAnsiTheme="minorEastAsia"/>
          <w:szCs w:val="21"/>
        </w:rPr>
      </w:pPr>
      <w:r>
        <w:rPr>
          <w:rFonts w:asciiTheme="minorEastAsia" w:hAnsiTheme="minorEastAsia"/>
          <w:szCs w:val="21"/>
        </w:rPr>
        <w:t>通过资格性检查和符合性审查且报价不超过预算控制金额并同时具备以下条件的投标人应当确定为中标候选供应商或中标供应商：</w:t>
      </w:r>
    </w:p>
    <w:p w14:paraId="2232724E">
      <w:pPr>
        <w:spacing w:line="360" w:lineRule="auto"/>
        <w:ind w:firstLine="420" w:firstLineChars="200"/>
        <w:rPr>
          <w:rFonts w:asciiTheme="minorEastAsia" w:hAnsiTheme="minorEastAsia"/>
          <w:szCs w:val="21"/>
        </w:rPr>
      </w:pPr>
      <w:r>
        <w:rPr>
          <w:rFonts w:asciiTheme="minorEastAsia" w:hAnsiTheme="minorEastAsia"/>
          <w:szCs w:val="21"/>
        </w:rPr>
        <w:t>（一）满足招标文件实质性要求；</w:t>
      </w:r>
    </w:p>
    <w:p w14:paraId="52007068">
      <w:pPr>
        <w:spacing w:line="360" w:lineRule="auto"/>
        <w:ind w:firstLine="420" w:firstLineChars="200"/>
        <w:rPr>
          <w:rFonts w:asciiTheme="minorEastAsia" w:hAnsiTheme="minorEastAsia"/>
          <w:szCs w:val="21"/>
        </w:rPr>
      </w:pPr>
      <w:r>
        <w:rPr>
          <w:rFonts w:asciiTheme="minorEastAsia" w:hAnsiTheme="minorEastAsia"/>
          <w:szCs w:val="21"/>
        </w:rPr>
        <w:t>（二）投标的价格最低。</w:t>
      </w:r>
    </w:p>
    <w:p w14:paraId="639D4225">
      <w:pPr>
        <w:spacing w:line="360" w:lineRule="auto"/>
        <w:ind w:firstLine="420" w:firstLineChars="200"/>
        <w:rPr>
          <w:rFonts w:asciiTheme="minorEastAsia" w:hAnsiTheme="minorEastAsia"/>
          <w:szCs w:val="21"/>
        </w:rPr>
      </w:pPr>
      <w:r>
        <w:rPr>
          <w:rFonts w:asciiTheme="minorEastAsia" w:hAnsiTheme="minorEastAsia"/>
          <w:szCs w:val="21"/>
        </w:rPr>
        <w:t>按投标报价由低到高顺序排列。投标报价相同的，按技术指标优劣顺序排列。评标委员会认为，排在前面的供应商的最低投标报价或者某些分项报价明显不合理或者低于成本，有可能影响商品质量和不能诚信履约的，评标委员会应当要求其在规定的期限内提供书面文件予以解释说明，并提交相关证明材料；否则，评标委员会可以取消该投标供应商的中标资格，按顺序由排在后面的供应商递补，以此类推。</w:t>
      </w:r>
    </w:p>
    <w:p w14:paraId="3A18EDE9">
      <w:pPr>
        <w:spacing w:line="360" w:lineRule="auto"/>
        <w:ind w:firstLine="420" w:firstLineChars="200"/>
        <w:rPr>
          <w:rFonts w:asciiTheme="minorEastAsia" w:hAnsiTheme="minorEastAsia"/>
          <w:szCs w:val="21"/>
        </w:rPr>
      </w:pPr>
      <w:r>
        <w:rPr>
          <w:rFonts w:asciiTheme="minorEastAsia" w:hAnsiTheme="minorEastAsia"/>
          <w:szCs w:val="21"/>
        </w:rPr>
        <w:t>综合评分法</w:t>
      </w:r>
    </w:p>
    <w:p w14:paraId="571B2529">
      <w:pPr>
        <w:spacing w:line="360" w:lineRule="auto"/>
        <w:ind w:firstLine="420" w:firstLineChars="200"/>
        <w:rPr>
          <w:rFonts w:asciiTheme="minorEastAsia" w:hAnsiTheme="minorEastAsia"/>
          <w:szCs w:val="21"/>
        </w:rPr>
      </w:pPr>
      <w:r>
        <w:rPr>
          <w:rFonts w:asciiTheme="minorEastAsia" w:hAnsiTheme="minorEastAsia"/>
          <w:szCs w:val="21"/>
        </w:rPr>
        <w:t>综合评分法是指在最大限度满足招标文件实质性要求前提下，按照招标文件规定的各项评价因素进行量化打分，每个投标供应商的总得分应以全体评委评分加权汇总后的算术平均值确定，以评标总得分最高的投标供应商作为中标候选供应商或中标供应商的评标方法。除另有规定外，评标委员会在评标报告中，按照“N+2”的数量推荐中标候选供应商，其中N为需要的中标供应商数量。当有效供应商少于“N+2”时，全部推荐。</w:t>
      </w:r>
    </w:p>
    <w:p w14:paraId="330BF9C9">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49982A19">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评标委员会同时将参照本须知规定，只对确定为实质上响应招标文件要求的投标进行下一步评定。</w:t>
      </w:r>
    </w:p>
    <w:p w14:paraId="04B8A5A6">
      <w:pPr>
        <w:spacing w:line="360" w:lineRule="auto"/>
        <w:ind w:firstLine="420" w:firstLineChars="200"/>
        <w:rPr>
          <w:rFonts w:asciiTheme="minorEastAsia" w:hAnsiTheme="minorEastAsia"/>
          <w:szCs w:val="21"/>
        </w:rPr>
      </w:pPr>
      <w:bookmarkStart w:id="131" w:name="_Ref179621304"/>
      <w:r>
        <w:rPr>
          <w:rFonts w:asciiTheme="minorEastAsia" w:hAnsiTheme="minorEastAsia"/>
          <w:szCs w:val="21"/>
        </w:rPr>
        <w:t>综合评审：评标委员会按照下述公式对每个通过资格性检查和符合性检查且报价不超过预算控制金额的投标供应商进行评审、打分，然后汇总每个投标供应商每项评分因素的得分。综合评分的各项因素主要包括技术、价格和商务等内容，根据招标项目要求的不同，本项目的评分因素和权重分值见招标文件。</w:t>
      </w:r>
      <w:bookmarkEnd w:id="131"/>
    </w:p>
    <w:p w14:paraId="78F17213">
      <w:pPr>
        <w:spacing w:line="360" w:lineRule="auto"/>
        <w:ind w:firstLine="420" w:firstLineChars="200"/>
        <w:rPr>
          <w:rFonts w:asciiTheme="minorEastAsia" w:hAnsiTheme="minorEastAsia"/>
          <w:szCs w:val="21"/>
        </w:rPr>
      </w:pPr>
      <w:r>
        <w:rPr>
          <w:rFonts w:asciiTheme="minorEastAsia" w:hAnsiTheme="minorEastAsia"/>
          <w:szCs w:val="21"/>
        </w:rPr>
        <w:t>评标总得分＝（A1×J+A2×S+…An×X）；</w:t>
      </w:r>
    </w:p>
    <w:p w14:paraId="6C01CF00">
      <w:pPr>
        <w:spacing w:line="360" w:lineRule="auto"/>
        <w:ind w:firstLine="420" w:firstLineChars="200"/>
        <w:rPr>
          <w:rFonts w:asciiTheme="minorEastAsia" w:hAnsiTheme="minorEastAsia"/>
          <w:szCs w:val="21"/>
        </w:rPr>
      </w:pPr>
      <w:r>
        <w:rPr>
          <w:rFonts w:asciiTheme="minorEastAsia" w:hAnsiTheme="minorEastAsia"/>
          <w:szCs w:val="21"/>
        </w:rPr>
        <w:t>J、S、……X分别为各项评分因素，各因素满分均为100分；</w:t>
      </w:r>
    </w:p>
    <w:p w14:paraId="3A5F8E15">
      <w:pPr>
        <w:spacing w:line="360" w:lineRule="auto"/>
        <w:ind w:firstLine="420" w:firstLineChars="200"/>
        <w:rPr>
          <w:rFonts w:asciiTheme="minorEastAsia" w:hAnsiTheme="minorEastAsia"/>
          <w:szCs w:val="21"/>
        </w:rPr>
      </w:pPr>
      <w:r>
        <w:rPr>
          <w:rFonts w:asciiTheme="minorEastAsia" w:hAnsiTheme="minorEastAsia"/>
          <w:szCs w:val="21"/>
        </w:rPr>
        <w:t>A1 、A2、A3、...An分别是各项评分因素所占的权重（A1＋A2＋A3＋…＋An＝1）；</w:t>
      </w:r>
    </w:p>
    <w:p w14:paraId="173E9A36">
      <w:pPr>
        <w:spacing w:line="360" w:lineRule="auto"/>
        <w:ind w:firstLine="420" w:firstLineChars="200"/>
        <w:rPr>
          <w:rFonts w:asciiTheme="minorEastAsia" w:hAnsiTheme="minorEastAsia"/>
          <w:szCs w:val="21"/>
        </w:rPr>
      </w:pPr>
      <w:r>
        <w:rPr>
          <w:rFonts w:asciiTheme="minorEastAsia" w:hAnsiTheme="minorEastAsia"/>
          <w:szCs w:val="21"/>
        </w:rPr>
        <w:t>价格分计算方法：满足招标文件要求且投标价格最低的投标报价为评标基准价，其价格分为满分。其他投标人的价格分统一按照下列公式计算：</w:t>
      </w:r>
    </w:p>
    <w:p w14:paraId="0221683B">
      <w:pPr>
        <w:spacing w:line="360" w:lineRule="auto"/>
        <w:ind w:firstLine="420" w:firstLineChars="200"/>
        <w:rPr>
          <w:rFonts w:asciiTheme="minorEastAsia" w:hAnsiTheme="minorEastAsia"/>
          <w:szCs w:val="21"/>
        </w:rPr>
      </w:pPr>
      <w:r>
        <w:rPr>
          <w:rFonts w:asciiTheme="minorEastAsia" w:hAnsiTheme="minorEastAsia"/>
          <w:szCs w:val="21"/>
        </w:rPr>
        <w:t>投标报价得分=(评标基准价／投标报价)×价格权重×100</w:t>
      </w:r>
    </w:p>
    <w:p w14:paraId="3453B7C6">
      <w:pPr>
        <w:spacing w:line="360" w:lineRule="auto"/>
        <w:ind w:firstLine="420" w:firstLineChars="200"/>
        <w:rPr>
          <w:rFonts w:asciiTheme="minorEastAsia" w:hAnsiTheme="minorEastAsia"/>
          <w:szCs w:val="21"/>
        </w:rPr>
      </w:pPr>
      <w:r>
        <w:rPr>
          <w:rFonts w:asciiTheme="minorEastAsia" w:hAnsiTheme="minorEastAsia"/>
          <w:szCs w:val="21"/>
        </w:rPr>
        <w:t>定标原则：按评审后得分由高到低顺序排序。得分最高的投标供应商作为中标候选供应商或中标供应商。得分相同的，按投标报价由低到高排列。得分且投标报价相同的，按技术指标优劣顺序排列。</w:t>
      </w:r>
    </w:p>
    <w:p w14:paraId="7E8DACC9">
      <w:pPr>
        <w:spacing w:line="360" w:lineRule="auto"/>
        <w:ind w:firstLine="420" w:firstLineChars="200"/>
        <w:rPr>
          <w:rFonts w:asciiTheme="minorEastAsia" w:hAnsiTheme="minorEastAsia"/>
          <w:szCs w:val="21"/>
        </w:rPr>
      </w:pPr>
      <w:r>
        <w:rPr>
          <w:rFonts w:asciiTheme="minorEastAsia" w:hAnsiTheme="minorEastAsia"/>
          <w:szCs w:val="21"/>
        </w:rPr>
        <w:t>性价比法</w:t>
      </w:r>
    </w:p>
    <w:p w14:paraId="53F708B7">
      <w:pPr>
        <w:spacing w:line="360" w:lineRule="auto"/>
        <w:ind w:firstLine="420" w:firstLineChars="200"/>
        <w:rPr>
          <w:rFonts w:asciiTheme="minorEastAsia" w:hAnsiTheme="minorEastAsia"/>
          <w:szCs w:val="21"/>
        </w:rPr>
      </w:pPr>
      <w:r>
        <w:rPr>
          <w:rFonts w:asciiTheme="minorEastAsia" w:hAnsiTheme="minorEastAsia"/>
          <w:szCs w:val="21"/>
        </w:rPr>
        <w:t>性价比法，是指除价格因素外，经对投标文件进行评审，计算出各评分因素的总分，除以投标报价，以商数最高的投标供应商作为中标候选供应商或中标供应商的评标方法。</w:t>
      </w:r>
    </w:p>
    <w:p w14:paraId="76544B8E">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7A917F5B">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评标委员会同时将参照本须知第</w:t>
      </w:r>
      <w:r>
        <w:rPr>
          <w:rFonts w:asciiTheme="minorEastAsia" w:hAnsiTheme="minorEastAsia"/>
          <w:szCs w:val="21"/>
        </w:rPr>
        <w:fldChar w:fldCharType="begin"/>
      </w:r>
      <w:r>
        <w:rPr>
          <w:rFonts w:asciiTheme="minorEastAsia" w:hAnsiTheme="minorEastAsia"/>
          <w:szCs w:val="21"/>
        </w:rPr>
        <w:instrText xml:space="preserve"> REF _Ref179619330 \r \h  \* MERGEFORMAT </w:instrText>
      </w:r>
      <w:r>
        <w:rPr>
          <w:rFonts w:asciiTheme="minorEastAsia" w:hAnsiTheme="minorEastAsia"/>
          <w:szCs w:val="21"/>
        </w:rPr>
        <w:fldChar w:fldCharType="separate"/>
      </w:r>
      <w:r>
        <w:rPr>
          <w:rFonts w:asciiTheme="minorEastAsia" w:hAnsiTheme="minorEastAsia"/>
          <w:b/>
          <w:szCs w:val="21"/>
        </w:rPr>
        <w:t>29.6</w:t>
      </w:r>
      <w:r>
        <w:rPr>
          <w:rFonts w:asciiTheme="minorEastAsia" w:hAnsiTheme="minorEastAsia"/>
          <w:szCs w:val="21"/>
        </w:rPr>
        <w:fldChar w:fldCharType="end"/>
      </w:r>
      <w:r>
        <w:rPr>
          <w:rFonts w:asciiTheme="minorEastAsia" w:hAnsiTheme="minorEastAsia"/>
          <w:szCs w:val="21"/>
        </w:rPr>
        <w:t>条规定，只对确定为实质上响应招标文件要求的投标进行下一步评定。</w:t>
      </w:r>
    </w:p>
    <w:p w14:paraId="18412166">
      <w:pPr>
        <w:spacing w:line="360" w:lineRule="auto"/>
        <w:ind w:firstLine="420" w:firstLineChars="200"/>
        <w:rPr>
          <w:rFonts w:asciiTheme="minorEastAsia" w:hAnsiTheme="minorEastAsia"/>
          <w:szCs w:val="21"/>
        </w:rPr>
      </w:pPr>
      <w:bookmarkStart w:id="132" w:name="_Ref179621588"/>
      <w:r>
        <w:rPr>
          <w:rFonts w:asciiTheme="minorEastAsia" w:hAnsiTheme="minorEastAsia"/>
          <w:szCs w:val="21"/>
        </w:rPr>
        <w:t>综合评审：评标委员会对每个通过资格性检查和符合性检查且报价不超过预算控制金额的投标供应商进行评审、打分。综合评分的各项因素主要包括技术和商务等内容，根据招标项目要求的不同，本项目的评分因素和权重分值见招标文件。</w:t>
      </w:r>
      <w:bookmarkEnd w:id="132"/>
    </w:p>
    <w:p w14:paraId="3123427A">
      <w:pPr>
        <w:spacing w:line="360" w:lineRule="auto"/>
        <w:ind w:firstLine="420" w:firstLineChars="200"/>
        <w:rPr>
          <w:rFonts w:asciiTheme="minorEastAsia" w:hAnsiTheme="minorEastAsia"/>
          <w:szCs w:val="21"/>
        </w:rPr>
      </w:pPr>
      <w:r>
        <w:rPr>
          <w:rFonts w:asciiTheme="minorEastAsia" w:hAnsiTheme="minorEastAsia"/>
          <w:szCs w:val="21"/>
        </w:rPr>
        <w:t>计算</w:t>
      </w:r>
    </w:p>
    <w:p w14:paraId="3F5BF606">
      <w:pPr>
        <w:spacing w:line="360" w:lineRule="auto"/>
        <w:ind w:firstLine="420" w:firstLineChars="200"/>
        <w:rPr>
          <w:rFonts w:asciiTheme="minorEastAsia" w:hAnsiTheme="minorEastAsia"/>
          <w:szCs w:val="21"/>
        </w:rPr>
      </w:pPr>
      <w:r>
        <w:rPr>
          <w:rFonts w:asciiTheme="minorEastAsia" w:hAnsiTheme="minorEastAsia"/>
          <w:szCs w:val="21"/>
        </w:rPr>
        <w:t>评标总得分=Bi/Ni</w:t>
      </w:r>
    </w:p>
    <w:p w14:paraId="1E7BD64F">
      <w:pPr>
        <w:spacing w:line="360" w:lineRule="auto"/>
        <w:ind w:firstLine="420" w:firstLineChars="200"/>
        <w:rPr>
          <w:rFonts w:asciiTheme="minorEastAsia" w:hAnsiTheme="minorEastAsia"/>
          <w:szCs w:val="21"/>
        </w:rPr>
      </w:pPr>
      <w:r>
        <w:rPr>
          <w:rFonts w:asciiTheme="minorEastAsia" w:hAnsiTheme="minorEastAsia"/>
          <w:szCs w:val="21"/>
        </w:rPr>
        <w:t>Ni——为投标供应商的投标报价；</w:t>
      </w:r>
    </w:p>
    <w:p w14:paraId="39869F3B">
      <w:pPr>
        <w:spacing w:line="360" w:lineRule="auto"/>
        <w:ind w:firstLine="420" w:firstLineChars="200"/>
        <w:rPr>
          <w:rFonts w:asciiTheme="minorEastAsia" w:hAnsiTheme="minorEastAsia"/>
          <w:szCs w:val="21"/>
        </w:rPr>
      </w:pPr>
      <w:r>
        <w:rPr>
          <w:rFonts w:asciiTheme="minorEastAsia" w:hAnsiTheme="minorEastAsia"/>
          <w:szCs w:val="21"/>
        </w:rPr>
        <w:t>Bi——为投标供应商的综合得分，其中Bi＝（A1×J+A2×C+…+An×F）；</w:t>
      </w:r>
    </w:p>
    <w:p w14:paraId="57B9BD66">
      <w:pPr>
        <w:spacing w:line="360" w:lineRule="auto"/>
        <w:ind w:firstLine="420" w:firstLineChars="200"/>
        <w:rPr>
          <w:rFonts w:asciiTheme="minorEastAsia" w:hAnsiTheme="minorEastAsia"/>
          <w:szCs w:val="21"/>
        </w:rPr>
      </w:pPr>
      <w:r>
        <w:rPr>
          <w:rFonts w:asciiTheme="minorEastAsia" w:hAnsiTheme="minorEastAsia"/>
          <w:szCs w:val="21"/>
        </w:rPr>
        <w:t>J、C、……F分别为各项评分因素（技术、信誉、业绩、服务等因素），投标报价除外；各因素满分均为100分；</w:t>
      </w:r>
    </w:p>
    <w:p w14:paraId="5665D98A">
      <w:pPr>
        <w:spacing w:line="360" w:lineRule="auto"/>
        <w:ind w:firstLine="420" w:firstLineChars="200"/>
        <w:rPr>
          <w:rFonts w:asciiTheme="minorEastAsia" w:hAnsiTheme="minorEastAsia"/>
          <w:szCs w:val="21"/>
        </w:rPr>
      </w:pPr>
      <w:r>
        <w:rPr>
          <w:rFonts w:asciiTheme="minorEastAsia" w:hAnsiTheme="minorEastAsia"/>
          <w:szCs w:val="21"/>
        </w:rPr>
        <w:t>A1 、A2、A3、...An分别是各项评分因素所占的权重（A1＋A2＋A3＋…＋An＝1）；</w:t>
      </w:r>
    </w:p>
    <w:p w14:paraId="4E0CC633">
      <w:pPr>
        <w:spacing w:line="360" w:lineRule="auto"/>
        <w:ind w:firstLine="420" w:firstLineChars="200"/>
        <w:rPr>
          <w:rFonts w:asciiTheme="minorEastAsia" w:hAnsiTheme="minorEastAsia"/>
          <w:szCs w:val="21"/>
        </w:rPr>
      </w:pPr>
      <w:r>
        <w:rPr>
          <w:rFonts w:asciiTheme="minorEastAsia" w:hAnsiTheme="minorEastAsia"/>
          <w:szCs w:val="21"/>
        </w:rPr>
        <w:t>定标原则</w:t>
      </w:r>
    </w:p>
    <w:p w14:paraId="77B31048">
      <w:pPr>
        <w:spacing w:line="360" w:lineRule="auto"/>
        <w:ind w:firstLine="420" w:firstLineChars="200"/>
        <w:rPr>
          <w:rFonts w:asciiTheme="minorEastAsia" w:hAnsiTheme="minorEastAsia"/>
          <w:szCs w:val="21"/>
        </w:rPr>
      </w:pPr>
      <w:r>
        <w:rPr>
          <w:rFonts w:asciiTheme="minorEastAsia" w:hAnsiTheme="minorEastAsia"/>
          <w:szCs w:val="21"/>
        </w:rPr>
        <w:t>按商数得分由高到低顺序排列，以商数最高的投标供应商作为中标侯选供应商或中标供应商。商数得分相同的，按投标报价由低到高顺序排列。商数得分且投标报价相同的，按技术指标优劣顺序排列。</w:t>
      </w:r>
    </w:p>
    <w:p w14:paraId="7677631F">
      <w:pPr>
        <w:pStyle w:val="5"/>
        <w:ind w:firstLine="482"/>
      </w:pPr>
      <w:bookmarkStart w:id="133" w:name="_Toc55548528"/>
      <w:bookmarkStart w:id="134" w:name="_Toc31060"/>
      <w:bookmarkStart w:id="135" w:name="_Toc12447"/>
      <w:r>
        <w:t>六、授予合同</w:t>
      </w:r>
      <w:bookmarkEnd w:id="133"/>
      <w:bookmarkEnd w:id="134"/>
      <w:bookmarkEnd w:id="135"/>
    </w:p>
    <w:p w14:paraId="4F2D64AF">
      <w:pPr>
        <w:pStyle w:val="4"/>
        <w:spacing w:line="360" w:lineRule="auto"/>
        <w:ind w:firstLine="482"/>
      </w:pPr>
      <w:bookmarkStart w:id="136" w:name="_Toc55548529"/>
      <w:bookmarkStart w:id="137" w:name="_Toc4551"/>
      <w:r>
        <w:rPr>
          <w:rFonts w:hint="eastAsia"/>
        </w:rPr>
        <w:t>最终审查</w:t>
      </w:r>
      <w:bookmarkEnd w:id="136"/>
      <w:bookmarkEnd w:id="137"/>
    </w:p>
    <w:p w14:paraId="5F038BC9">
      <w:pPr>
        <w:spacing w:line="360" w:lineRule="auto"/>
        <w:ind w:firstLine="420" w:firstLineChars="200"/>
        <w:rPr>
          <w:rFonts w:asciiTheme="minorEastAsia" w:hAnsiTheme="minorEastAsia"/>
          <w:szCs w:val="21"/>
        </w:rPr>
      </w:pPr>
      <w:r>
        <w:rPr>
          <w:rFonts w:asciiTheme="minorEastAsia" w:hAnsiTheme="minorEastAsia"/>
          <w:szCs w:val="21"/>
        </w:rPr>
        <w:t>评标委员会将根据本须知列出的标准审查第一中标候选人是否有能力圆满地履行合同。</w:t>
      </w:r>
    </w:p>
    <w:p w14:paraId="0375B975">
      <w:pPr>
        <w:spacing w:line="360" w:lineRule="auto"/>
        <w:ind w:firstLine="420" w:firstLineChars="200"/>
        <w:rPr>
          <w:rFonts w:asciiTheme="minorEastAsia" w:hAnsiTheme="minorEastAsia"/>
          <w:szCs w:val="21"/>
        </w:rPr>
      </w:pPr>
      <w:r>
        <w:rPr>
          <w:rFonts w:asciiTheme="minorEastAsia" w:hAnsiTheme="minorEastAsia"/>
          <w:szCs w:val="21"/>
        </w:rPr>
        <w:t>授标决定时还将考虑投标人的财务、技术和生产能力在招标期间是否有实质性变化。其基础是审查投标人按照本须知规定提交的资格证明文件和评标委员会认为必要的、合适的其它资料。</w:t>
      </w:r>
    </w:p>
    <w:p w14:paraId="2A8528E6">
      <w:pPr>
        <w:spacing w:line="360" w:lineRule="auto"/>
        <w:ind w:firstLine="420" w:firstLineChars="200"/>
        <w:rPr>
          <w:rFonts w:asciiTheme="minorEastAsia" w:hAnsiTheme="minorEastAsia"/>
          <w:szCs w:val="21"/>
        </w:rPr>
      </w:pPr>
      <w:r>
        <w:rPr>
          <w:rFonts w:asciiTheme="minorEastAsia" w:hAnsiTheme="minorEastAsia"/>
          <w:szCs w:val="21"/>
        </w:rPr>
        <w:t>如果审查通过，评标委员会将把合同授予该投标人；如果审查没有通过，评标委员会将拒绝其投标，并对下一个中标候选人能否令人满意地履行合同作类似的审查。</w:t>
      </w:r>
    </w:p>
    <w:p w14:paraId="51FAA4DE">
      <w:pPr>
        <w:pStyle w:val="4"/>
        <w:spacing w:line="360" w:lineRule="auto"/>
        <w:ind w:firstLine="482"/>
      </w:pPr>
      <w:bookmarkStart w:id="138" w:name="_Toc9998"/>
      <w:bookmarkStart w:id="139" w:name="_Toc55548530"/>
      <w:r>
        <w:rPr>
          <w:rFonts w:hint="eastAsia"/>
        </w:rPr>
        <w:t>合同授予标准</w:t>
      </w:r>
      <w:bookmarkEnd w:id="138"/>
      <w:bookmarkEnd w:id="139"/>
    </w:p>
    <w:p w14:paraId="1C16ACC0">
      <w:pPr>
        <w:spacing w:line="360" w:lineRule="auto"/>
        <w:ind w:firstLine="420" w:firstLineChars="200"/>
        <w:rPr>
          <w:rFonts w:asciiTheme="minorEastAsia" w:hAnsiTheme="minorEastAsia"/>
          <w:szCs w:val="21"/>
        </w:rPr>
      </w:pPr>
      <w:r>
        <w:rPr>
          <w:rFonts w:asciiTheme="minorEastAsia" w:hAnsiTheme="minorEastAsia"/>
          <w:szCs w:val="21"/>
        </w:rPr>
        <w:t>评标委员会将把合同授予被确定为实质上响应招标文件的要求并有履行合同能力的最低评标价的投标人或综合评价得分最高的投标人或评标总商数最高的投标人。</w:t>
      </w:r>
    </w:p>
    <w:p w14:paraId="409CF9CA">
      <w:pPr>
        <w:pStyle w:val="4"/>
        <w:spacing w:line="360" w:lineRule="auto"/>
        <w:ind w:firstLine="482"/>
      </w:pPr>
      <w:bookmarkStart w:id="140" w:name="_Toc29853"/>
      <w:bookmarkStart w:id="141" w:name="_Toc55548532"/>
      <w:r>
        <w:rPr>
          <w:rFonts w:hint="eastAsia"/>
        </w:rPr>
        <w:t>中标结果公示</w:t>
      </w:r>
      <w:bookmarkEnd w:id="140"/>
      <w:bookmarkEnd w:id="141"/>
    </w:p>
    <w:p w14:paraId="660CC93B">
      <w:pPr>
        <w:spacing w:line="360" w:lineRule="auto"/>
        <w:ind w:firstLine="420" w:firstLineChars="200"/>
        <w:rPr>
          <w:rFonts w:asciiTheme="minorEastAsia" w:hAnsiTheme="minorEastAsia"/>
          <w:szCs w:val="21"/>
        </w:rPr>
      </w:pPr>
      <w:r>
        <w:rPr>
          <w:rFonts w:asciiTheme="minorEastAsia" w:hAnsiTheme="minorEastAsia"/>
          <w:szCs w:val="21"/>
        </w:rPr>
        <w:t>为体现“公开、公平、公正”的原则，评标结束后，将在</w:t>
      </w:r>
      <w:r>
        <w:rPr>
          <w:rFonts w:hint="eastAsia" w:asciiTheme="minorEastAsia" w:hAnsiTheme="minorEastAsia"/>
          <w:szCs w:val="21"/>
        </w:rPr>
        <w:t>https://www.bawjxt.net/baqjbyfkzzx/ (深圳市宝安区疾病预防控制中心官网)</w:t>
      </w:r>
      <w:r>
        <w:rPr>
          <w:rFonts w:asciiTheme="minorEastAsia" w:hAnsiTheme="minorEastAsia"/>
          <w:szCs w:val="21"/>
        </w:rPr>
        <w:t>进行中标结果公示，公示期为三日。投标人如对评标结果有异议，应于公示期内以书面形式提出。若在公示期内未提出异议，则视为无异议或放弃异议权。</w:t>
      </w:r>
    </w:p>
    <w:p w14:paraId="5DC1F72B">
      <w:pPr>
        <w:spacing w:line="360" w:lineRule="auto"/>
        <w:ind w:firstLine="420" w:firstLineChars="200"/>
        <w:rPr>
          <w:rFonts w:asciiTheme="minorEastAsia" w:hAnsiTheme="minorEastAsia"/>
          <w:szCs w:val="21"/>
        </w:rPr>
      </w:pPr>
      <w:r>
        <w:rPr>
          <w:rFonts w:asciiTheme="minorEastAsia" w:hAnsiTheme="minorEastAsia"/>
          <w:szCs w:val="21"/>
        </w:rPr>
        <w:t>提出质疑的投标人应保证提出质疑内容及相应证明材料的真实性及来源的合法性，并承担相应的法律责任。提供虚假情况恶意质疑投诉，情节严重的，将可能导致暂停或取消其投标资格或者投标保证金被罚没。</w:t>
      </w:r>
    </w:p>
    <w:p w14:paraId="1AB23D13">
      <w:pPr>
        <w:pStyle w:val="4"/>
        <w:spacing w:line="360" w:lineRule="auto"/>
        <w:ind w:firstLine="482"/>
      </w:pPr>
      <w:bookmarkStart w:id="142" w:name="_Toc5257"/>
      <w:bookmarkStart w:id="143" w:name="_Ref179619923"/>
      <w:bookmarkStart w:id="144" w:name="_Toc55548533"/>
      <w:r>
        <w:rPr>
          <w:rFonts w:hint="eastAsia"/>
        </w:rPr>
        <w:t>接受和拒绝任何或所有投标的权力</w:t>
      </w:r>
      <w:bookmarkEnd w:id="142"/>
      <w:bookmarkEnd w:id="143"/>
      <w:bookmarkEnd w:id="144"/>
    </w:p>
    <w:p w14:paraId="60BC212E">
      <w:pPr>
        <w:spacing w:line="360" w:lineRule="auto"/>
        <w:ind w:firstLine="420" w:firstLineChars="200"/>
        <w:rPr>
          <w:rFonts w:asciiTheme="minorEastAsia" w:hAnsiTheme="minorEastAsia"/>
          <w:szCs w:val="21"/>
        </w:rPr>
      </w:pPr>
      <w:r>
        <w:rPr>
          <w:rFonts w:asciiTheme="minorEastAsia" w:hAnsiTheme="minorEastAsia"/>
          <w:szCs w:val="21"/>
        </w:rPr>
        <w:t>在特殊情况下，招标人保留在授标之前拒绝任何投标以及宣布招标程序无效或拒绝所有投标的权力，且对受影响的投标人不承担任何责任，也无义务向受影响的投标人解释采取这一行动的理由。</w:t>
      </w:r>
    </w:p>
    <w:p w14:paraId="51B8E0D8">
      <w:pPr>
        <w:pStyle w:val="4"/>
        <w:spacing w:line="360" w:lineRule="auto"/>
        <w:ind w:firstLine="482"/>
      </w:pPr>
      <w:bookmarkStart w:id="145" w:name="_Toc55548534"/>
      <w:bookmarkStart w:id="146" w:name="_Toc1842"/>
      <w:r>
        <w:rPr>
          <w:rFonts w:hint="eastAsia"/>
        </w:rPr>
        <w:t>中标通知书</w:t>
      </w:r>
      <w:bookmarkEnd w:id="145"/>
      <w:bookmarkEnd w:id="146"/>
    </w:p>
    <w:p w14:paraId="344FCA7D">
      <w:pPr>
        <w:spacing w:line="360" w:lineRule="auto"/>
        <w:ind w:firstLine="420" w:firstLineChars="200"/>
        <w:rPr>
          <w:rFonts w:asciiTheme="minorEastAsia" w:hAnsiTheme="minorEastAsia"/>
          <w:szCs w:val="21"/>
        </w:rPr>
      </w:pPr>
      <w:r>
        <w:rPr>
          <w:rFonts w:asciiTheme="minorEastAsia" w:hAnsiTheme="minorEastAsia"/>
          <w:szCs w:val="21"/>
        </w:rPr>
        <w:t>中标人确定后，</w:t>
      </w:r>
      <w:r>
        <w:rPr>
          <w:rFonts w:hint="eastAsia" w:asciiTheme="minorEastAsia" w:hAnsiTheme="minorEastAsia"/>
          <w:szCs w:val="21"/>
        </w:rPr>
        <w:t>本中心</w:t>
      </w:r>
      <w:r>
        <w:rPr>
          <w:rFonts w:asciiTheme="minorEastAsia" w:hAnsiTheme="minorEastAsia"/>
          <w:szCs w:val="21"/>
        </w:rPr>
        <w:t>将向中标人发出《中标通知书》。</w:t>
      </w:r>
    </w:p>
    <w:p w14:paraId="20174E07">
      <w:pPr>
        <w:spacing w:line="360" w:lineRule="auto"/>
        <w:ind w:firstLine="420" w:firstLineChars="200"/>
        <w:rPr>
          <w:rFonts w:asciiTheme="minorEastAsia" w:hAnsiTheme="minorEastAsia"/>
          <w:szCs w:val="21"/>
        </w:rPr>
      </w:pPr>
      <w:r>
        <w:rPr>
          <w:rFonts w:asciiTheme="minorEastAsia" w:hAnsiTheme="minorEastAsia"/>
          <w:szCs w:val="21"/>
        </w:rPr>
        <w:t>《中标通知书》是合同的一个组成部分。</w:t>
      </w:r>
    </w:p>
    <w:p w14:paraId="2EC28CCD">
      <w:pPr>
        <w:pStyle w:val="4"/>
        <w:spacing w:line="360" w:lineRule="auto"/>
        <w:ind w:firstLine="482"/>
      </w:pPr>
      <w:bookmarkStart w:id="147" w:name="_Toc11931"/>
      <w:bookmarkStart w:id="148" w:name="_Ref179619520"/>
      <w:bookmarkStart w:id="149" w:name="_Toc55548535"/>
      <w:r>
        <w:rPr>
          <w:rFonts w:hint="eastAsia"/>
        </w:rPr>
        <w:t>签订合同</w:t>
      </w:r>
      <w:bookmarkEnd w:id="147"/>
      <w:bookmarkEnd w:id="148"/>
      <w:bookmarkEnd w:id="149"/>
    </w:p>
    <w:p w14:paraId="1C4A9406">
      <w:pPr>
        <w:spacing w:line="360" w:lineRule="auto"/>
        <w:ind w:firstLine="420" w:firstLineChars="200"/>
        <w:rPr>
          <w:rFonts w:asciiTheme="minorEastAsia" w:hAnsiTheme="minorEastAsia"/>
          <w:szCs w:val="21"/>
        </w:rPr>
      </w:pPr>
      <w:r>
        <w:rPr>
          <w:rFonts w:asciiTheme="minorEastAsia" w:hAnsiTheme="minorEastAsia"/>
          <w:szCs w:val="21"/>
        </w:rPr>
        <w:t>《中标通知书》发出后10个工作日内，中标人应按照招标文件和中标人的投标文件订立书面合同。中标人不得与招标人再订立背离合同实质性内容的其他协议。</w:t>
      </w:r>
    </w:p>
    <w:p w14:paraId="2F39BD6B">
      <w:pPr>
        <w:spacing w:line="360" w:lineRule="auto"/>
        <w:ind w:firstLine="420" w:firstLineChars="200"/>
        <w:rPr>
          <w:rFonts w:asciiTheme="minorEastAsia" w:hAnsiTheme="minorEastAsia"/>
          <w:szCs w:val="21"/>
        </w:rPr>
      </w:pPr>
      <w:r>
        <w:rPr>
          <w:rFonts w:asciiTheme="minorEastAsia" w:hAnsiTheme="minorEastAsia"/>
          <w:szCs w:val="21"/>
        </w:rPr>
        <w:t>招标文件、中标人的投标文件及其澄清文件等，均为签订合同的依据。</w:t>
      </w:r>
    </w:p>
    <w:p w14:paraId="7F6AB098">
      <w:pPr>
        <w:spacing w:line="360" w:lineRule="auto"/>
        <w:ind w:firstLine="420" w:firstLineChars="200"/>
        <w:rPr>
          <w:rFonts w:asciiTheme="minorEastAsia" w:hAnsiTheme="minorEastAsia"/>
          <w:szCs w:val="21"/>
        </w:rPr>
      </w:pPr>
      <w:r>
        <w:rPr>
          <w:rFonts w:asciiTheme="minorEastAsia" w:hAnsiTheme="minorEastAsia"/>
          <w:szCs w:val="21"/>
        </w:rPr>
        <w:t>合同签订后5个工作日内，中标人须将合同副本(合同复印件加盖中标人公章，原件核验)送</w:t>
      </w:r>
      <w:r>
        <w:rPr>
          <w:rFonts w:hint="eastAsia" w:asciiTheme="minorEastAsia" w:hAnsiTheme="minorEastAsia"/>
          <w:szCs w:val="21"/>
        </w:rPr>
        <w:t>本中心</w:t>
      </w:r>
      <w:r>
        <w:rPr>
          <w:rFonts w:asciiTheme="minorEastAsia" w:hAnsiTheme="minorEastAsia"/>
          <w:szCs w:val="21"/>
        </w:rPr>
        <w:t>存档备案。</w:t>
      </w:r>
    </w:p>
    <w:p w14:paraId="19FB6FC9">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56D4B065">
      <w:pPr>
        <w:pStyle w:val="2"/>
      </w:pPr>
      <w:bookmarkStart w:id="150" w:name="_Toc61539111"/>
      <w:bookmarkStart w:id="151" w:name="_Toc61880307"/>
      <w:r>
        <w:rPr>
          <w:rFonts w:hint="eastAsia"/>
        </w:rPr>
        <w:t>第四章  附件－投标文件格式</w:t>
      </w:r>
      <w:bookmarkEnd w:id="150"/>
      <w:bookmarkEnd w:id="151"/>
    </w:p>
    <w:p w14:paraId="744592AA">
      <w:pPr>
        <w:spacing w:line="360" w:lineRule="auto"/>
        <w:ind w:firstLine="420" w:firstLineChars="200"/>
        <w:rPr>
          <w:rFonts w:asciiTheme="minorEastAsia" w:hAnsiTheme="minorEastAsia"/>
          <w:szCs w:val="21"/>
        </w:rPr>
      </w:pPr>
      <w:r>
        <w:rPr>
          <w:rFonts w:hint="eastAsia" w:asciiTheme="minorEastAsia" w:hAnsiTheme="minorEastAsia"/>
          <w:szCs w:val="21"/>
        </w:rPr>
        <w:t>附件1：投标函格式</w:t>
      </w:r>
    </w:p>
    <w:p w14:paraId="28F76139">
      <w:pPr>
        <w:keepNext/>
        <w:keepLines/>
        <w:spacing w:before="160" w:after="170"/>
        <w:ind w:firstLine="602" w:firstLineChars="200"/>
        <w:jc w:val="center"/>
        <w:outlineLvl w:val="4"/>
        <w:rPr>
          <w:b/>
          <w:bCs/>
          <w:sz w:val="30"/>
          <w:szCs w:val="28"/>
        </w:rPr>
      </w:pPr>
      <w:bookmarkStart w:id="152" w:name="_Toc55548538"/>
      <w:r>
        <w:rPr>
          <w:rFonts w:hint="eastAsia"/>
          <w:b/>
          <w:bCs/>
          <w:sz w:val="30"/>
          <w:szCs w:val="28"/>
        </w:rPr>
        <w:t>投标函</w:t>
      </w:r>
      <w:bookmarkEnd w:id="152"/>
    </w:p>
    <w:p w14:paraId="5F1BEC47">
      <w:pPr>
        <w:spacing w:line="360" w:lineRule="auto"/>
        <w:ind w:firstLine="420" w:firstLineChars="200"/>
        <w:rPr>
          <w:rFonts w:asciiTheme="minorEastAsia" w:hAnsiTheme="minorEastAsia"/>
          <w:color w:val="000000"/>
          <w:szCs w:val="21"/>
          <w:u w:val="single"/>
        </w:rPr>
      </w:pPr>
      <w:r>
        <w:rPr>
          <w:rFonts w:hint="eastAsia" w:asciiTheme="minorEastAsia" w:hAnsiTheme="minorEastAsia"/>
          <w:color w:val="000000"/>
          <w:szCs w:val="21"/>
        </w:rPr>
        <w:t>致：</w:t>
      </w:r>
      <w:r>
        <w:rPr>
          <w:rFonts w:hint="eastAsia" w:asciiTheme="minorEastAsia" w:hAnsiTheme="minorEastAsia"/>
          <w:szCs w:val="21"/>
          <w:u w:val="single"/>
        </w:rPr>
        <w:t>深圳市宝安区疾病预防控制中心（深圳市宝安区卫生监督所）</w:t>
      </w:r>
    </w:p>
    <w:p w14:paraId="1F65CF8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我们收到你们组织的</w:t>
      </w:r>
      <w:r>
        <w:rPr>
          <w:rFonts w:hint="eastAsia" w:asciiTheme="minorEastAsia" w:hAnsiTheme="minorEastAsia"/>
          <w:color w:val="000000"/>
          <w:szCs w:val="21"/>
          <w:u w:val="single"/>
        </w:rPr>
        <w:t xml:space="preserve"> （项目名称） </w:t>
      </w:r>
      <w:r>
        <w:rPr>
          <w:rFonts w:hint="eastAsia" w:asciiTheme="minorEastAsia" w:hAnsiTheme="minorEastAsia"/>
          <w:color w:val="000000"/>
          <w:szCs w:val="21"/>
        </w:rPr>
        <w:t xml:space="preserve">招标文件，经详细研究，我们决定参加该项目 </w:t>
      </w:r>
      <w:r>
        <w:rPr>
          <w:rFonts w:hint="eastAsia" w:asciiTheme="minorEastAsia" w:hAnsiTheme="minorEastAsia"/>
          <w:color w:val="000000"/>
          <w:szCs w:val="21"/>
          <w:u w:val="single"/>
        </w:rPr>
        <w:t xml:space="preserve">（项目编号） </w:t>
      </w:r>
      <w:r>
        <w:rPr>
          <w:rFonts w:hint="eastAsia" w:asciiTheme="minorEastAsia" w:hAnsiTheme="minorEastAsia"/>
          <w:color w:val="000000"/>
          <w:szCs w:val="21"/>
        </w:rPr>
        <w:t xml:space="preserve"> 招标的有关活动，并投标。为此，我方谨郑重声明以下诸点，并对之负法律责任。</w:t>
      </w:r>
    </w:p>
    <w:p w14:paraId="2324EEB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1、我方愿以《开标一览表》中填写的投标总价并按照招标文件中的一切要求，承担上述项目的全部工作。</w:t>
      </w:r>
    </w:p>
    <w:p w14:paraId="5009749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2、我方提交的投标文件为：投标书正本一份，副本二份，电子档文件一份。</w:t>
      </w:r>
    </w:p>
    <w:p w14:paraId="02E7DB5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3、如果我们投标书被接受，我们将履行招标文件中规定的每一项要求，按期、按质、按量完成任务。</w:t>
      </w:r>
    </w:p>
    <w:p w14:paraId="722026C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4、我们愿意提供招标文件中要求的所有资料，且所递交的投标文件在投标有效期（即90天）内有效，在此期间内我方的投标有可能中标，我方将受此约束。</w:t>
      </w:r>
    </w:p>
    <w:p w14:paraId="7F8EBC7D">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5、我们理解，最低报价不是中标的唯一条件。我们认为你们有选择或拒绝任何投标者中标的权利。</w:t>
      </w:r>
    </w:p>
    <w:p w14:paraId="772EC467">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6、我方愿按《中华人民共和国合同法》履行自己的全部责任。</w:t>
      </w:r>
    </w:p>
    <w:p w14:paraId="7A0FEC2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7、我们同意招标文件之规定，遵守有关招标的各项规定。</w:t>
      </w:r>
    </w:p>
    <w:p w14:paraId="15E2DA54">
      <w:pPr>
        <w:spacing w:line="360" w:lineRule="auto"/>
        <w:ind w:firstLine="420" w:firstLineChars="200"/>
        <w:rPr>
          <w:rFonts w:asciiTheme="minorEastAsia" w:hAnsiTheme="minorEastAsia"/>
          <w:color w:val="000000"/>
          <w:szCs w:val="21"/>
        </w:rPr>
      </w:pPr>
      <w:r>
        <w:rPr>
          <w:rFonts w:asciiTheme="minorEastAsia" w:hAnsiTheme="minorEastAsia"/>
          <w:color w:val="000000"/>
          <w:szCs w:val="21"/>
        </w:rPr>
        <w:t>8</w:t>
      </w:r>
      <w:r>
        <w:rPr>
          <w:rFonts w:hint="eastAsia" w:asciiTheme="minorEastAsia" w:hAnsiTheme="minorEastAsia"/>
          <w:color w:val="000000"/>
          <w:szCs w:val="21"/>
        </w:rPr>
        <w:t>、所有有关本标书的函电，请按下列地址联系：</w:t>
      </w:r>
    </w:p>
    <w:p w14:paraId="2DE17445">
      <w:pPr>
        <w:spacing w:line="360" w:lineRule="auto"/>
        <w:ind w:firstLine="420" w:firstLineChars="200"/>
        <w:rPr>
          <w:rFonts w:asciiTheme="minorEastAsia" w:hAnsiTheme="minorEastAsia"/>
          <w:color w:val="000000"/>
          <w:szCs w:val="21"/>
        </w:rPr>
      </w:pPr>
    </w:p>
    <w:p w14:paraId="36828BD1">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单    位： （盖章）</w:t>
      </w:r>
    </w:p>
    <w:p w14:paraId="2A1E93C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授权代表或法人代表： （签字）</w:t>
      </w:r>
    </w:p>
    <w:p w14:paraId="7F7790D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 xml:space="preserve">地    址： </w:t>
      </w:r>
    </w:p>
    <w:p w14:paraId="625379C5">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 xml:space="preserve">电    话：     </w:t>
      </w:r>
    </w:p>
    <w:p w14:paraId="4E0DA85F">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传    真：</w:t>
      </w:r>
    </w:p>
    <w:p w14:paraId="29CF46A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邮    编：</w:t>
      </w:r>
    </w:p>
    <w:p w14:paraId="4CB1208D">
      <w:pPr>
        <w:spacing w:line="360" w:lineRule="auto"/>
        <w:ind w:firstLine="420" w:firstLineChars="200"/>
        <w:rPr>
          <w:rFonts w:asciiTheme="minorEastAsia" w:hAnsiTheme="minorEastAsia"/>
          <w:szCs w:val="21"/>
        </w:rPr>
      </w:pPr>
      <w:r>
        <w:rPr>
          <w:rFonts w:asciiTheme="minorEastAsia" w:hAnsiTheme="minorEastAsia"/>
          <w:szCs w:val="21"/>
        </w:rPr>
        <w:br w:type="page"/>
      </w:r>
      <w:r>
        <w:rPr>
          <w:rFonts w:hint="eastAsia" w:asciiTheme="minorEastAsia" w:hAnsiTheme="minorEastAsia"/>
          <w:szCs w:val="21"/>
        </w:rPr>
        <w:t>附件2：政府采购投标及履约承诺函</w:t>
      </w:r>
    </w:p>
    <w:p w14:paraId="074513C9">
      <w:pPr>
        <w:keepNext/>
        <w:keepLines/>
        <w:spacing w:before="160" w:after="170"/>
        <w:ind w:firstLine="602" w:firstLineChars="200"/>
        <w:jc w:val="center"/>
        <w:outlineLvl w:val="4"/>
        <w:rPr>
          <w:b/>
          <w:bCs/>
          <w:sz w:val="30"/>
          <w:szCs w:val="28"/>
        </w:rPr>
      </w:pPr>
      <w:bookmarkStart w:id="153" w:name="_Toc55548539"/>
      <w:bookmarkStart w:id="154" w:name="_Toc30545"/>
      <w:r>
        <w:rPr>
          <w:rFonts w:hint="eastAsia"/>
          <w:b/>
          <w:bCs/>
          <w:sz w:val="30"/>
          <w:szCs w:val="28"/>
        </w:rPr>
        <w:t>政府采购投标及履约承诺函</w:t>
      </w:r>
      <w:bookmarkEnd w:id="153"/>
    </w:p>
    <w:p w14:paraId="53F3C9A8">
      <w:pPr>
        <w:spacing w:line="360" w:lineRule="auto"/>
        <w:ind w:firstLine="420" w:firstLineChars="200"/>
        <w:rPr>
          <w:rFonts w:asciiTheme="minorEastAsia" w:hAnsiTheme="minorEastAsia"/>
          <w:szCs w:val="21"/>
        </w:rPr>
      </w:pPr>
      <w:r>
        <w:rPr>
          <w:rFonts w:hint="eastAsia" w:asciiTheme="minorEastAsia" w:hAnsiTheme="minorEastAsia"/>
          <w:szCs w:val="21"/>
        </w:rPr>
        <w:t>致：</w:t>
      </w:r>
      <w:r>
        <w:rPr>
          <w:rFonts w:hint="eastAsia" w:cs="Courier New" w:asciiTheme="minorEastAsia" w:hAnsiTheme="minorEastAsia"/>
          <w:snapToGrid w:val="0"/>
          <w:szCs w:val="21"/>
        </w:rPr>
        <w:t>深圳市宝安区疾病预防控制中心</w:t>
      </w:r>
      <w:r>
        <w:rPr>
          <w:rFonts w:hint="eastAsia" w:cs="Courier New" w:asciiTheme="minorEastAsia" w:hAnsiTheme="minorEastAsia"/>
          <w:snapToGrid w:val="0"/>
          <w:szCs w:val="21"/>
          <w:lang w:eastAsia="zh-CN"/>
        </w:rPr>
        <w:t>（</w:t>
      </w:r>
      <w:r>
        <w:rPr>
          <w:rFonts w:hint="eastAsia" w:cs="Courier New" w:asciiTheme="minorEastAsia" w:hAnsiTheme="minorEastAsia"/>
          <w:snapToGrid w:val="0"/>
          <w:szCs w:val="21"/>
          <w:lang w:val="en-US" w:eastAsia="zh-CN"/>
        </w:rPr>
        <w:t>深圳市宝安区卫生监督所</w:t>
      </w:r>
      <w:r>
        <w:rPr>
          <w:rFonts w:hint="eastAsia" w:cs="Courier New" w:asciiTheme="minorEastAsia" w:hAnsiTheme="minorEastAsia"/>
          <w:snapToGrid w:val="0"/>
          <w:szCs w:val="21"/>
          <w:lang w:eastAsia="zh-CN"/>
        </w:rPr>
        <w:t>）</w:t>
      </w:r>
    </w:p>
    <w:p w14:paraId="058176CB">
      <w:pPr>
        <w:spacing w:line="360" w:lineRule="auto"/>
        <w:ind w:right="-815" w:firstLine="420" w:firstLineChars="200"/>
        <w:rPr>
          <w:rFonts w:asciiTheme="minorEastAsia" w:hAnsiTheme="minorEastAsia"/>
          <w:szCs w:val="21"/>
        </w:rPr>
      </w:pPr>
      <w:r>
        <w:rPr>
          <w:rFonts w:hint="eastAsia" w:asciiTheme="minorEastAsia" w:hAnsiTheme="minorEastAsia"/>
          <w:szCs w:val="21"/>
        </w:rPr>
        <w:t>我公司承诺：</w:t>
      </w:r>
    </w:p>
    <w:p w14:paraId="3E52E402">
      <w:pPr>
        <w:spacing w:line="360" w:lineRule="auto"/>
        <w:ind w:firstLine="420" w:firstLineChars="200"/>
        <w:rPr>
          <w:rFonts w:asciiTheme="minorEastAsia" w:hAnsiTheme="minorEastAsia"/>
          <w:szCs w:val="21"/>
        </w:rPr>
      </w:pPr>
      <w:r>
        <w:rPr>
          <w:rFonts w:hint="eastAsia" w:asciiTheme="minorEastAsia" w:hAnsiTheme="minorEastAsia"/>
          <w:szCs w:val="21"/>
        </w:rPr>
        <w:t>1.我公司本招标项目所提供的货物或服务未侵犯知识产权。</w:t>
      </w:r>
    </w:p>
    <w:p w14:paraId="2108367F">
      <w:pPr>
        <w:spacing w:line="360" w:lineRule="auto"/>
        <w:ind w:firstLine="420" w:firstLineChars="200"/>
        <w:rPr>
          <w:rFonts w:asciiTheme="minorEastAsia" w:hAnsiTheme="minorEastAsia"/>
          <w:szCs w:val="21"/>
        </w:rPr>
      </w:pPr>
      <w:r>
        <w:rPr>
          <w:rFonts w:hint="eastAsia" w:asciiTheme="minorEastAsia" w:hAnsiTheme="minorEastAsia"/>
          <w:szCs w:val="21"/>
        </w:rPr>
        <w:t>2.我公司近三年内(成立不足三年的从成立之日起算)无行贿犯罪记录。</w:t>
      </w:r>
    </w:p>
    <w:p w14:paraId="7706E2BF">
      <w:pPr>
        <w:spacing w:line="360" w:lineRule="auto"/>
        <w:ind w:firstLine="420" w:firstLineChars="200"/>
        <w:rPr>
          <w:rFonts w:asciiTheme="minorEastAsia" w:hAnsiTheme="minorEastAsia"/>
          <w:szCs w:val="21"/>
        </w:rPr>
      </w:pPr>
      <w:r>
        <w:rPr>
          <w:rFonts w:hint="eastAsia" w:asciiTheme="minorEastAsia" w:hAnsiTheme="minorEastAsia"/>
          <w:szCs w:val="21"/>
        </w:rPr>
        <w:t>3.我公司参与本项目政府采购活动时不存在被有关部门禁止参与政府采购活动且在有效期内的情况。</w:t>
      </w:r>
    </w:p>
    <w:p w14:paraId="7CBBA6EA">
      <w:pPr>
        <w:spacing w:line="360" w:lineRule="auto"/>
        <w:ind w:firstLine="420" w:firstLineChars="200"/>
        <w:rPr>
          <w:rFonts w:asciiTheme="minorEastAsia" w:hAnsiTheme="minorEastAsia"/>
          <w:szCs w:val="21"/>
        </w:rPr>
      </w:pPr>
      <w:r>
        <w:rPr>
          <w:rFonts w:hint="eastAsia" w:asciiTheme="minorEastAsia" w:hAnsiTheme="minorEastAsia"/>
          <w:szCs w:val="21"/>
        </w:rPr>
        <w:t>4.我公司具备《中华人民共和国政府采购法》第二十二条第一款规定的资质。</w:t>
      </w:r>
    </w:p>
    <w:p w14:paraId="2B344CD8">
      <w:pPr>
        <w:spacing w:line="360" w:lineRule="auto"/>
        <w:ind w:firstLine="420" w:firstLineChars="200"/>
        <w:rPr>
          <w:rFonts w:asciiTheme="minorEastAsia" w:hAnsiTheme="minorEastAsia"/>
          <w:szCs w:val="21"/>
        </w:rPr>
      </w:pPr>
      <w:r>
        <w:rPr>
          <w:rFonts w:hint="eastAsia" w:asciiTheme="minorEastAsia" w:hAnsiTheme="minorEastAsia"/>
          <w:szCs w:val="21"/>
        </w:rPr>
        <w:t>5.我公司与其他投标供应商不存在单位负责人为同一人或者存在直接控股、管理关系，未对本次采购项目提供整体设计、规范编制或者项目管理、监理、检测等服务。</w:t>
      </w:r>
    </w:p>
    <w:p w14:paraId="565F5A7E">
      <w:pPr>
        <w:spacing w:line="360" w:lineRule="auto"/>
        <w:ind w:firstLine="420" w:firstLineChars="200"/>
        <w:rPr>
          <w:rFonts w:asciiTheme="minorEastAsia" w:hAnsiTheme="minorEastAsia"/>
          <w:szCs w:val="21"/>
        </w:rPr>
      </w:pPr>
      <w:r>
        <w:rPr>
          <w:rFonts w:hint="eastAsia" w:asciiTheme="minorEastAsia" w:hAnsiTheme="minorEastAsia"/>
          <w:szCs w:val="21"/>
        </w:rPr>
        <w:t>6.我公司未被列入失信被执行人、重大税收违法案件当事人名单、政府采购严重违法失信行为记录名单。</w:t>
      </w:r>
    </w:p>
    <w:p w14:paraId="7B6701D2">
      <w:pPr>
        <w:spacing w:line="360" w:lineRule="auto"/>
        <w:ind w:firstLine="420" w:firstLineChars="200"/>
        <w:rPr>
          <w:rFonts w:asciiTheme="minorEastAsia" w:hAnsiTheme="minorEastAsia"/>
          <w:szCs w:val="21"/>
        </w:rPr>
      </w:pPr>
      <w:r>
        <w:rPr>
          <w:rFonts w:hint="eastAsia" w:asciiTheme="minorEastAsia" w:hAnsiTheme="minorEastAsia"/>
          <w:szCs w:val="21"/>
        </w:rPr>
        <w:t>7.我公司参与该项目投标，严格遵守政府采购相关法律，投标做到诚实，不造假，不围标、串标、陪标。我公司已清楚，如违反上述要求，其投标将作废，被没收投标保证金，被列入不良记录名单并在网上曝光，同时将被提请政府采购监督管理部门给予一定年限内禁止参与政府采购活动或其他处罚。</w:t>
      </w:r>
    </w:p>
    <w:p w14:paraId="28200A0F">
      <w:pPr>
        <w:spacing w:line="360" w:lineRule="auto"/>
        <w:ind w:firstLine="420" w:firstLineChars="200"/>
        <w:rPr>
          <w:rFonts w:asciiTheme="minorEastAsia" w:hAnsiTheme="minorEastAsia"/>
          <w:szCs w:val="21"/>
        </w:rPr>
      </w:pPr>
      <w:r>
        <w:rPr>
          <w:rFonts w:hint="eastAsia" w:asciiTheme="minorEastAsia" w:hAnsiTheme="minorEastAsia"/>
          <w:szCs w:val="21"/>
        </w:rPr>
        <w:t>8.我公司如果中标，做到守信，不偷工减料，依照本项目招标文件需求内容、签署的采购合同及本公司在投标中所作的一切承诺履约。项目验收达到全部指标合格，力争优良。</w:t>
      </w:r>
    </w:p>
    <w:p w14:paraId="18CBD689">
      <w:pPr>
        <w:spacing w:line="360" w:lineRule="auto"/>
        <w:ind w:firstLine="420" w:firstLineChars="200"/>
        <w:rPr>
          <w:rFonts w:asciiTheme="minorEastAsia" w:hAnsiTheme="minorEastAsia"/>
          <w:szCs w:val="21"/>
        </w:rPr>
      </w:pPr>
      <w:r>
        <w:rPr>
          <w:rFonts w:hint="eastAsia" w:asciiTheme="minorEastAsia" w:hAnsiTheme="minorEastAsia"/>
          <w:szCs w:val="21"/>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投标保证金将不被退还，且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6666DA4D">
      <w:pPr>
        <w:spacing w:line="360" w:lineRule="auto"/>
        <w:ind w:firstLine="420" w:firstLineChars="200"/>
        <w:rPr>
          <w:rFonts w:asciiTheme="minorEastAsia" w:hAnsiTheme="minorEastAsia"/>
          <w:szCs w:val="21"/>
        </w:rPr>
      </w:pPr>
      <w:r>
        <w:rPr>
          <w:rFonts w:hint="eastAsia" w:asciiTheme="minorEastAsia" w:hAnsiTheme="minorEastAsia"/>
          <w:szCs w:val="21"/>
        </w:rPr>
        <w:t>10.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2F3DE775">
      <w:pPr>
        <w:spacing w:line="360" w:lineRule="auto"/>
        <w:ind w:firstLine="420" w:firstLineChars="200"/>
        <w:rPr>
          <w:rFonts w:asciiTheme="minorEastAsia" w:hAnsiTheme="minorEastAsia"/>
          <w:szCs w:val="21"/>
        </w:rPr>
      </w:pPr>
      <w:r>
        <w:rPr>
          <w:rFonts w:hint="eastAsia" w:asciiTheme="minorEastAsia" w:hAnsiTheme="minorEastAsia"/>
          <w:szCs w:val="21"/>
        </w:rPr>
        <w:t>11.我公司承诺本项目非联合体投标，不非法转包、分包。</w:t>
      </w:r>
    </w:p>
    <w:p w14:paraId="491C952D">
      <w:pPr>
        <w:spacing w:line="360" w:lineRule="auto"/>
        <w:ind w:firstLine="420" w:firstLineChars="200"/>
        <w:rPr>
          <w:rFonts w:asciiTheme="minorEastAsia" w:hAnsiTheme="minorEastAsia"/>
          <w:szCs w:val="21"/>
        </w:rPr>
      </w:pPr>
      <w:r>
        <w:rPr>
          <w:rFonts w:hint="eastAsia" w:asciiTheme="minorEastAsia" w:hAnsiTheme="minorEastAsia"/>
          <w:szCs w:val="21"/>
        </w:rPr>
        <w:t>以上承诺，如有违反，愿依照国家相关法律处理，并承担由此给采购人带来的损失。</w:t>
      </w:r>
    </w:p>
    <w:p w14:paraId="71566430">
      <w:pPr>
        <w:adjustRightInd w:val="0"/>
        <w:snapToGrid w:val="0"/>
        <w:spacing w:line="360" w:lineRule="auto"/>
        <w:ind w:firstLine="422" w:firstLineChars="200"/>
        <w:rPr>
          <w:rFonts w:asciiTheme="minorEastAsia" w:hAnsiTheme="minorEastAsia"/>
          <w:b/>
          <w:snapToGrid w:val="0"/>
          <w:kern w:val="0"/>
          <w:szCs w:val="21"/>
        </w:rPr>
      </w:pPr>
    </w:p>
    <w:p w14:paraId="7E68EBD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14A6B605">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33AF6D03">
      <w:pPr>
        <w:spacing w:line="360" w:lineRule="auto"/>
        <w:ind w:firstLine="420" w:firstLineChars="200"/>
        <w:rPr>
          <w:rFonts w:asciiTheme="minorEastAsia" w:hAnsiTheme="minorEastAsia"/>
          <w:color w:val="000000"/>
          <w:szCs w:val="21"/>
        </w:rPr>
        <w:sectPr>
          <w:pgSz w:w="11906" w:h="16838"/>
          <w:pgMar w:top="1440" w:right="1080" w:bottom="1440" w:left="1080" w:header="851" w:footer="992" w:gutter="0"/>
          <w:cols w:space="720" w:num="1"/>
          <w:titlePg/>
          <w:docGrid w:type="lines" w:linePitch="312" w:charSpace="0"/>
        </w:sectPr>
      </w:pPr>
      <w:r>
        <w:rPr>
          <w:rFonts w:hint="eastAsia" w:asciiTheme="minorEastAsia" w:hAnsiTheme="minorEastAsia"/>
          <w:color w:val="000000"/>
          <w:szCs w:val="21"/>
        </w:rPr>
        <w:t>日期：</w:t>
      </w:r>
    </w:p>
    <w:p w14:paraId="79C8A6A6">
      <w:pPr>
        <w:spacing w:line="360" w:lineRule="auto"/>
        <w:ind w:firstLine="420" w:firstLineChars="200"/>
        <w:rPr>
          <w:rFonts w:asciiTheme="minorEastAsia" w:hAnsiTheme="minorEastAsia"/>
          <w:szCs w:val="21"/>
        </w:rPr>
      </w:pPr>
      <w:r>
        <w:rPr>
          <w:rFonts w:hint="eastAsia" w:asciiTheme="minorEastAsia" w:hAnsiTheme="minorEastAsia"/>
          <w:szCs w:val="21"/>
        </w:rPr>
        <w:t>附件3：诚信承诺函格式</w:t>
      </w:r>
      <w:bookmarkEnd w:id="154"/>
    </w:p>
    <w:p w14:paraId="23388305">
      <w:pPr>
        <w:keepNext/>
        <w:keepLines/>
        <w:spacing w:before="160" w:after="170"/>
        <w:ind w:firstLine="602" w:firstLineChars="200"/>
        <w:jc w:val="center"/>
        <w:outlineLvl w:val="4"/>
        <w:rPr>
          <w:b/>
          <w:bCs/>
          <w:snapToGrid w:val="0"/>
          <w:sz w:val="30"/>
          <w:szCs w:val="28"/>
        </w:rPr>
      </w:pPr>
      <w:bookmarkStart w:id="155" w:name="_Toc55548540"/>
      <w:r>
        <w:rPr>
          <w:rFonts w:hint="eastAsia"/>
          <w:b/>
          <w:bCs/>
          <w:snapToGrid w:val="0"/>
          <w:sz w:val="30"/>
          <w:szCs w:val="28"/>
        </w:rPr>
        <w:t>诚信承诺函</w:t>
      </w:r>
      <w:bookmarkEnd w:id="155"/>
    </w:p>
    <w:p w14:paraId="5933E274">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深圳市宝安区疾病预防控制中心</w:t>
      </w:r>
      <w:r>
        <w:rPr>
          <w:rFonts w:hint="eastAsia" w:cs="Courier New" w:asciiTheme="minorEastAsia" w:hAnsiTheme="minorEastAsia"/>
          <w:snapToGrid w:val="0"/>
          <w:szCs w:val="21"/>
          <w:lang w:eastAsia="zh-CN"/>
        </w:rPr>
        <w:t>（</w:t>
      </w:r>
      <w:r>
        <w:rPr>
          <w:rFonts w:hint="eastAsia" w:cs="Courier New" w:asciiTheme="minorEastAsia" w:hAnsiTheme="minorEastAsia"/>
          <w:snapToGrid w:val="0"/>
          <w:szCs w:val="21"/>
          <w:lang w:val="en-US" w:eastAsia="zh-CN"/>
        </w:rPr>
        <w:t>深圳市宝安区卫生监督所</w:t>
      </w:r>
      <w:r>
        <w:rPr>
          <w:rFonts w:hint="eastAsia" w:cs="Courier New" w:asciiTheme="minorEastAsia" w:hAnsiTheme="minorEastAsia"/>
          <w:snapToGrid w:val="0"/>
          <w:szCs w:val="21"/>
          <w:lang w:eastAsia="zh-CN"/>
        </w:rPr>
        <w:t>）</w:t>
      </w:r>
      <w:r>
        <w:rPr>
          <w:rFonts w:hint="eastAsia" w:cs="Courier New" w:asciiTheme="minorEastAsia" w:hAnsiTheme="minorEastAsia"/>
          <w:snapToGrid w:val="0"/>
          <w:szCs w:val="21"/>
        </w:rPr>
        <w:t>：</w:t>
      </w:r>
    </w:p>
    <w:p w14:paraId="64BA6E05">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我公司承诺，根据《深圳市政府采购供应商诚信管理暂行办法》相关规定，在参与政府采购活动中不存在出现诚信相关问题且在相关主管部门处理措施实施期限内，如若投标文件与事实情况不符，我司自愿承担“隐瞒真实情况，提供虚假资料”以及其他一切不利的法律后果。</w:t>
      </w:r>
    </w:p>
    <w:p w14:paraId="397DBD6A">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我公司承诺，在参加政府采购活动中没有出现下列行为之一：</w:t>
      </w:r>
    </w:p>
    <w:p w14:paraId="083043BE">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（一）投标截止后，无正当理由撤销其投标行为，导致项目无法正常开评标的；</w:t>
      </w:r>
    </w:p>
    <w:p w14:paraId="4054C1D6">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（二）未按《采购条例》规定签订、履行采购合同，严重影响采购人日常工作的；</w:t>
      </w:r>
    </w:p>
    <w:p w14:paraId="336E7692">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（三）在投标文件中未说明且未经采购人同意，将中标项目分包给他人，情节严重的；</w:t>
      </w:r>
    </w:p>
    <w:p w14:paraId="687A75A1">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（四）严重违反合同约定，擅自降低货物质量等次和售后服务，货物、工程或者服务存在严重质量问题的；</w:t>
      </w:r>
    </w:p>
    <w:p w14:paraId="1AC11D13">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（五）严重违反合同约定，未能完成全部货物、服务或工程项目，中途停止配送或者变相增加费用的；</w:t>
      </w:r>
    </w:p>
    <w:p w14:paraId="5626214D">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（六）捏造事实、提供虚假材料进行质疑的；</w:t>
      </w:r>
    </w:p>
    <w:p w14:paraId="421B3728">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（七）假冒他人名义质疑的；</w:t>
      </w:r>
    </w:p>
    <w:p w14:paraId="0E746C2D">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（八）无正当理由拒不配合进行质疑调查的。</w:t>
      </w:r>
    </w:p>
    <w:p w14:paraId="019665A1">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特此承诺。</w:t>
      </w:r>
    </w:p>
    <w:p w14:paraId="5049AE03">
      <w:pPr>
        <w:spacing w:line="360" w:lineRule="auto"/>
        <w:ind w:firstLine="420" w:firstLineChars="200"/>
        <w:rPr>
          <w:rFonts w:asciiTheme="minorEastAsia" w:hAnsiTheme="minorEastAsia"/>
          <w:szCs w:val="21"/>
        </w:rPr>
      </w:pPr>
    </w:p>
    <w:p w14:paraId="09DF85B9">
      <w:pPr>
        <w:spacing w:line="360" w:lineRule="auto"/>
        <w:ind w:firstLine="420" w:firstLineChars="200"/>
        <w:rPr>
          <w:rFonts w:asciiTheme="minorEastAsia" w:hAnsiTheme="minorEastAsia"/>
          <w:szCs w:val="21"/>
        </w:rPr>
      </w:pPr>
    </w:p>
    <w:p w14:paraId="465A1B78">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0F39EB24">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7F00298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68261C7C">
      <w:pPr>
        <w:spacing w:line="360" w:lineRule="auto"/>
        <w:ind w:firstLine="420" w:firstLineChars="200"/>
        <w:rPr>
          <w:rFonts w:asciiTheme="minorEastAsia" w:hAnsiTheme="minorEastAsia"/>
          <w:szCs w:val="21"/>
        </w:rPr>
      </w:pPr>
    </w:p>
    <w:p w14:paraId="1D6160DE">
      <w:pPr>
        <w:spacing w:line="360" w:lineRule="auto"/>
        <w:ind w:firstLine="422" w:firstLineChars="200"/>
        <w:rPr>
          <w:rFonts w:asciiTheme="minorEastAsia" w:hAnsiTheme="minorEastAsia"/>
          <w:b/>
          <w:szCs w:val="21"/>
        </w:rPr>
      </w:pPr>
    </w:p>
    <w:p w14:paraId="18786E18">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56" w:name="_Toc6706"/>
      <w:r>
        <w:rPr>
          <w:rFonts w:hint="eastAsia" w:asciiTheme="minorEastAsia" w:hAnsiTheme="minorEastAsia"/>
          <w:szCs w:val="21"/>
        </w:rPr>
        <w:t>附件</w:t>
      </w:r>
      <w:r>
        <w:rPr>
          <w:rFonts w:asciiTheme="minorEastAsia" w:hAnsiTheme="minorEastAsia"/>
          <w:szCs w:val="21"/>
        </w:rPr>
        <w:t>4</w:t>
      </w:r>
      <w:r>
        <w:rPr>
          <w:rFonts w:hint="eastAsia" w:asciiTheme="minorEastAsia" w:hAnsiTheme="minorEastAsia"/>
          <w:szCs w:val="21"/>
        </w:rPr>
        <w:t>：开标一览表格式</w:t>
      </w:r>
      <w:bookmarkEnd w:id="156"/>
    </w:p>
    <w:p w14:paraId="1674C976">
      <w:pPr>
        <w:keepNext/>
        <w:keepLines/>
        <w:spacing w:before="160" w:after="170"/>
        <w:ind w:firstLine="602" w:firstLineChars="200"/>
        <w:jc w:val="center"/>
        <w:outlineLvl w:val="4"/>
        <w:rPr>
          <w:b/>
          <w:bCs/>
          <w:sz w:val="30"/>
          <w:szCs w:val="28"/>
        </w:rPr>
      </w:pPr>
      <w:bookmarkStart w:id="157" w:name="_Toc55548541"/>
      <w:r>
        <w:rPr>
          <w:rFonts w:hint="eastAsia"/>
          <w:b/>
          <w:bCs/>
          <w:sz w:val="30"/>
          <w:szCs w:val="28"/>
        </w:rPr>
        <w:t>开标一览表</w:t>
      </w:r>
      <w:bookmarkEnd w:id="157"/>
    </w:p>
    <w:p w14:paraId="039200AE">
      <w:pPr>
        <w:spacing w:line="360" w:lineRule="auto"/>
        <w:ind w:firstLine="420" w:firstLineChars="200"/>
        <w:rPr>
          <w:rFonts w:asciiTheme="minorEastAsia" w:hAnsiTheme="minorEastAsia"/>
          <w:szCs w:val="21"/>
        </w:rPr>
      </w:pPr>
      <w:r>
        <w:rPr>
          <w:rFonts w:hint="eastAsia" w:asciiTheme="minorEastAsia" w:hAnsiTheme="minorEastAsia"/>
          <w:szCs w:val="21"/>
        </w:rPr>
        <w:t>项目名称：</w:t>
      </w:r>
      <w:r>
        <w:rPr>
          <w:rFonts w:hint="eastAsia" w:asciiTheme="minorEastAsia" w:hAnsiTheme="minorEastAsia"/>
          <w:szCs w:val="21"/>
          <w:u w:val="single"/>
        </w:rPr>
        <w:t xml:space="preserve">                          </w:t>
      </w:r>
      <w:r>
        <w:rPr>
          <w:rFonts w:hint="eastAsia" w:asciiTheme="minorEastAsia" w:hAnsiTheme="minorEastAsia"/>
          <w:szCs w:val="21"/>
        </w:rPr>
        <w:t xml:space="preserve"> </w:t>
      </w:r>
    </w:p>
    <w:p w14:paraId="0635EA9D">
      <w:pPr>
        <w:spacing w:line="360" w:lineRule="auto"/>
        <w:ind w:firstLine="420" w:firstLineChars="200"/>
        <w:rPr>
          <w:rFonts w:asciiTheme="minorEastAsia" w:hAnsiTheme="minorEastAsia"/>
          <w:szCs w:val="21"/>
        </w:rPr>
      </w:pPr>
      <w:r>
        <w:rPr>
          <w:rFonts w:hint="eastAsia" w:asciiTheme="minorEastAsia" w:hAnsiTheme="minorEastAsia"/>
          <w:szCs w:val="21"/>
        </w:rPr>
        <w:t>项目编号：</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u w:val="single"/>
        </w:rPr>
        <w:t xml:space="preserve">         </w:t>
      </w:r>
      <w:r>
        <w:rPr>
          <w:rFonts w:hint="eastAsia" w:asciiTheme="minorEastAsia" w:hAnsiTheme="minorEastAsia"/>
          <w:szCs w:val="21"/>
        </w:rPr>
        <w:t xml:space="preserve"> </w:t>
      </w:r>
    </w:p>
    <w:tbl>
      <w:tblPr>
        <w:tblStyle w:val="19"/>
        <w:tblW w:w="9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8"/>
        <w:gridCol w:w="2562"/>
        <w:gridCol w:w="2694"/>
        <w:gridCol w:w="1493"/>
      </w:tblGrid>
      <w:tr w14:paraId="3E2A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2888" w:type="dxa"/>
            <w:vAlign w:val="bottom"/>
          </w:tcPr>
          <w:p w14:paraId="31B04699">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项目名称/包号</w:t>
            </w:r>
          </w:p>
        </w:tc>
        <w:tc>
          <w:tcPr>
            <w:tcW w:w="2562" w:type="dxa"/>
            <w:vAlign w:val="bottom"/>
          </w:tcPr>
          <w:p w14:paraId="0DE726C6">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投标总价</w:t>
            </w:r>
          </w:p>
          <w:p w14:paraId="48B2BCF5">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（人民币元）</w:t>
            </w:r>
          </w:p>
        </w:tc>
        <w:tc>
          <w:tcPr>
            <w:tcW w:w="2694" w:type="dxa"/>
            <w:vAlign w:val="bottom"/>
          </w:tcPr>
          <w:p w14:paraId="3A362D0F">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交货期/服务期</w:t>
            </w:r>
          </w:p>
        </w:tc>
        <w:tc>
          <w:tcPr>
            <w:tcW w:w="1493" w:type="dxa"/>
            <w:vAlign w:val="bottom"/>
          </w:tcPr>
          <w:p w14:paraId="08849F9D">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备注</w:t>
            </w:r>
          </w:p>
        </w:tc>
      </w:tr>
      <w:tr w14:paraId="5D61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9" w:hRule="atLeast"/>
          <w:jc w:val="center"/>
        </w:trPr>
        <w:tc>
          <w:tcPr>
            <w:tcW w:w="2888" w:type="dxa"/>
          </w:tcPr>
          <w:p w14:paraId="2DE483EE">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p>
        </w:tc>
        <w:tc>
          <w:tcPr>
            <w:tcW w:w="2562" w:type="dxa"/>
          </w:tcPr>
          <w:p w14:paraId="4FBCAD33">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p>
          <w:p w14:paraId="714C88D4">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大写：</w:t>
            </w:r>
            <w:r>
              <w:rPr>
                <w:rFonts w:hint="eastAsia" w:asciiTheme="minorEastAsia" w:hAnsiTheme="minorEastAsia"/>
                <w:szCs w:val="21"/>
                <w:u w:val="single"/>
              </w:rPr>
              <w:t xml:space="preserve">        </w:t>
            </w:r>
          </w:p>
          <w:p w14:paraId="6F1565D3">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r>
              <w:rPr>
                <w:rFonts w:hint="eastAsia" w:asciiTheme="minorEastAsia" w:hAnsiTheme="minorEastAsia"/>
                <w:szCs w:val="21"/>
              </w:rPr>
              <w:t>小写：</w:t>
            </w:r>
            <w:r>
              <w:rPr>
                <w:rFonts w:hint="eastAsia" w:asciiTheme="minorEastAsia" w:hAnsiTheme="minorEastAsia"/>
                <w:szCs w:val="21"/>
                <w:u w:val="single"/>
              </w:rPr>
              <w:t xml:space="preserve">        </w:t>
            </w:r>
          </w:p>
        </w:tc>
        <w:tc>
          <w:tcPr>
            <w:tcW w:w="2694" w:type="dxa"/>
          </w:tcPr>
          <w:p w14:paraId="47DCA5B8">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p>
        </w:tc>
        <w:tc>
          <w:tcPr>
            <w:tcW w:w="1493" w:type="dxa"/>
          </w:tcPr>
          <w:p w14:paraId="3110ED68">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szCs w:val="21"/>
              </w:rPr>
            </w:pPr>
          </w:p>
        </w:tc>
      </w:tr>
    </w:tbl>
    <w:p w14:paraId="1610B8B7">
      <w:pPr>
        <w:spacing w:line="360" w:lineRule="auto"/>
        <w:ind w:firstLine="420" w:firstLineChars="200"/>
        <w:rPr>
          <w:rFonts w:asciiTheme="minorEastAsia" w:hAnsiTheme="minorEastAsia"/>
          <w:szCs w:val="21"/>
        </w:rPr>
      </w:pPr>
    </w:p>
    <w:p w14:paraId="77F2B810">
      <w:pPr>
        <w:spacing w:line="360" w:lineRule="auto"/>
        <w:ind w:firstLine="420" w:firstLineChars="200"/>
        <w:rPr>
          <w:rFonts w:asciiTheme="minorEastAsia" w:hAnsiTheme="minorEastAsia"/>
          <w:szCs w:val="21"/>
        </w:rPr>
      </w:pPr>
    </w:p>
    <w:p w14:paraId="4DC63C29">
      <w:pPr>
        <w:spacing w:line="360" w:lineRule="auto"/>
        <w:ind w:firstLine="420" w:firstLineChars="200"/>
        <w:rPr>
          <w:rFonts w:asciiTheme="minorEastAsia" w:hAnsiTheme="minorEastAsia"/>
          <w:szCs w:val="21"/>
        </w:rPr>
      </w:pPr>
      <w:r>
        <w:rPr>
          <w:rFonts w:hint="eastAsia" w:asciiTheme="minorEastAsia" w:hAnsiTheme="minorEastAsia"/>
          <w:szCs w:val="21"/>
        </w:rPr>
        <w:t>投标供应商：</w:t>
      </w:r>
    </w:p>
    <w:p w14:paraId="4F1605A8">
      <w:pPr>
        <w:spacing w:line="360" w:lineRule="auto"/>
        <w:ind w:firstLine="420" w:firstLineChars="200"/>
        <w:rPr>
          <w:rFonts w:asciiTheme="minorEastAsia" w:hAnsiTheme="minorEastAsia"/>
          <w:szCs w:val="21"/>
        </w:rPr>
      </w:pPr>
      <w:r>
        <w:rPr>
          <w:rFonts w:hint="eastAsia" w:asciiTheme="minorEastAsia" w:hAnsiTheme="minorEastAsia"/>
          <w:szCs w:val="21"/>
        </w:rPr>
        <w:t>法人</w:t>
      </w:r>
      <w:r>
        <w:rPr>
          <w:rFonts w:asciiTheme="minorEastAsia" w:hAnsiTheme="minorEastAsia"/>
          <w:szCs w:val="21"/>
        </w:rPr>
        <w:t>或</w:t>
      </w:r>
      <w:r>
        <w:rPr>
          <w:rFonts w:hint="eastAsia" w:asciiTheme="minorEastAsia" w:hAnsiTheme="minorEastAsia"/>
          <w:szCs w:val="21"/>
        </w:rPr>
        <w:t>授权</w:t>
      </w:r>
      <w:r>
        <w:rPr>
          <w:rFonts w:asciiTheme="minorEastAsia" w:hAnsiTheme="minorEastAsia"/>
          <w:szCs w:val="21"/>
        </w:rPr>
        <w:t>代表：</w:t>
      </w:r>
    </w:p>
    <w:p w14:paraId="64870AB0">
      <w:pPr>
        <w:spacing w:line="360" w:lineRule="auto"/>
        <w:ind w:firstLine="420" w:firstLineChars="200"/>
        <w:rPr>
          <w:rFonts w:asciiTheme="minorEastAsia" w:hAnsiTheme="minorEastAsia"/>
          <w:szCs w:val="21"/>
        </w:rPr>
      </w:pPr>
      <w:r>
        <w:rPr>
          <w:rFonts w:hint="eastAsia" w:asciiTheme="minorEastAsia" w:hAnsiTheme="minorEastAsia"/>
          <w:szCs w:val="21"/>
        </w:rPr>
        <w:t>日期</w:t>
      </w:r>
      <w:r>
        <w:rPr>
          <w:rFonts w:asciiTheme="minorEastAsia" w:hAnsiTheme="minorEastAsia"/>
          <w:szCs w:val="21"/>
        </w:rPr>
        <w:t>：</w:t>
      </w:r>
    </w:p>
    <w:p w14:paraId="5D12C37D">
      <w:pPr>
        <w:spacing w:line="360" w:lineRule="auto"/>
        <w:ind w:firstLine="420" w:firstLineChars="200"/>
        <w:rPr>
          <w:rFonts w:asciiTheme="minorEastAsia" w:hAnsiTheme="minorEastAsia"/>
          <w:szCs w:val="21"/>
        </w:rPr>
      </w:pPr>
    </w:p>
    <w:p w14:paraId="4F48CA20">
      <w:pPr>
        <w:spacing w:line="360" w:lineRule="auto"/>
        <w:ind w:firstLine="420" w:firstLineChars="200"/>
        <w:rPr>
          <w:rFonts w:asciiTheme="minorEastAsia" w:hAnsiTheme="minorEastAsia"/>
          <w:szCs w:val="21"/>
        </w:rPr>
      </w:pPr>
    </w:p>
    <w:p w14:paraId="491BF9B6">
      <w:pPr>
        <w:spacing w:line="360" w:lineRule="auto"/>
        <w:ind w:firstLine="420" w:firstLineChars="200"/>
        <w:rPr>
          <w:rFonts w:asciiTheme="minorEastAsia" w:hAnsiTheme="minorEastAsia"/>
          <w:szCs w:val="21"/>
        </w:rPr>
      </w:pPr>
      <w:r>
        <w:rPr>
          <w:rFonts w:hint="eastAsia" w:asciiTheme="minorEastAsia" w:hAnsiTheme="minorEastAsia"/>
          <w:szCs w:val="21"/>
        </w:rPr>
        <w:t>注：</w:t>
      </w:r>
    </w:p>
    <w:p w14:paraId="07DDA410">
      <w:pPr>
        <w:spacing w:line="360" w:lineRule="auto"/>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、本招标文件中所称“交货期/服务期”指所有货物运抵现场安装调试完毕后交付用户验收和</w:t>
      </w:r>
      <w:r>
        <w:rPr>
          <w:rFonts w:asciiTheme="minorEastAsia" w:hAnsiTheme="minorEastAsia"/>
          <w:szCs w:val="21"/>
        </w:rPr>
        <w:t>服务过程</w:t>
      </w:r>
      <w:r>
        <w:rPr>
          <w:rFonts w:hint="eastAsia" w:asciiTheme="minorEastAsia" w:hAnsiTheme="minorEastAsia"/>
          <w:szCs w:val="21"/>
        </w:rPr>
        <w:t>的日期。</w:t>
      </w:r>
    </w:p>
    <w:p w14:paraId="6F053CDC">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、依据《评标委员会和评标方法暂行规定》第25条规定，“投标文件载明的招标项目完成期限超过招标文件规定的期限”的（即交货期或完工期超过招标文件要求期限），投标文件将作投标无效处理。</w:t>
      </w:r>
    </w:p>
    <w:p w14:paraId="02444238">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58" w:name="_Toc16795"/>
      <w:r>
        <w:rPr>
          <w:rFonts w:hint="eastAsia" w:asciiTheme="minorEastAsia" w:hAnsiTheme="minorEastAsia"/>
          <w:szCs w:val="21"/>
        </w:rPr>
        <w:t>附件</w:t>
      </w:r>
      <w:r>
        <w:rPr>
          <w:rFonts w:asciiTheme="minorEastAsia" w:hAnsiTheme="minorEastAsia"/>
          <w:szCs w:val="21"/>
        </w:rPr>
        <w:t>5</w:t>
      </w:r>
      <w:r>
        <w:rPr>
          <w:rFonts w:hint="eastAsia" w:asciiTheme="minorEastAsia" w:hAnsiTheme="minorEastAsia"/>
          <w:szCs w:val="21"/>
        </w:rPr>
        <w:t>：分项报价清单格式</w:t>
      </w:r>
      <w:bookmarkEnd w:id="158"/>
    </w:p>
    <w:p w14:paraId="7E78EEA7">
      <w:pPr>
        <w:keepNext/>
        <w:keepLines/>
        <w:spacing w:before="160" w:after="170"/>
        <w:ind w:firstLine="602" w:firstLineChars="200"/>
        <w:jc w:val="center"/>
        <w:outlineLvl w:val="4"/>
        <w:rPr>
          <w:b/>
          <w:bCs/>
          <w:sz w:val="30"/>
          <w:szCs w:val="28"/>
        </w:rPr>
      </w:pPr>
      <w:bookmarkStart w:id="159" w:name="_Toc55548542"/>
      <w:r>
        <w:rPr>
          <w:rFonts w:hint="eastAsia"/>
          <w:b/>
          <w:bCs/>
          <w:sz w:val="30"/>
          <w:szCs w:val="28"/>
        </w:rPr>
        <w:t>分项报价清单</w:t>
      </w:r>
      <w:bookmarkEnd w:id="159"/>
    </w:p>
    <w:tbl>
      <w:tblPr>
        <w:tblStyle w:val="19"/>
        <w:tblW w:w="9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902"/>
        <w:gridCol w:w="2357"/>
        <w:gridCol w:w="3148"/>
      </w:tblGrid>
      <w:tr w14:paraId="7378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417" w:type="dxa"/>
            <w:vAlign w:val="center"/>
          </w:tcPr>
          <w:p w14:paraId="0B9017BA">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r>
              <w:rPr>
                <w:rFonts w:hint="eastAsia" w:asciiTheme="minorEastAsia" w:hAnsiTheme="minorEastAsia"/>
                <w:color w:val="000000"/>
                <w:szCs w:val="21"/>
              </w:rPr>
              <w:t>序号</w:t>
            </w:r>
          </w:p>
        </w:tc>
        <w:tc>
          <w:tcPr>
            <w:tcW w:w="2902" w:type="dxa"/>
            <w:vAlign w:val="center"/>
          </w:tcPr>
          <w:p w14:paraId="61653605">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r>
              <w:rPr>
                <w:rFonts w:hint="eastAsia" w:asciiTheme="minorEastAsia" w:hAnsiTheme="minorEastAsia"/>
                <w:color w:val="000000"/>
                <w:szCs w:val="21"/>
              </w:rPr>
              <w:t>服务项目或设备名称</w:t>
            </w:r>
          </w:p>
        </w:tc>
        <w:tc>
          <w:tcPr>
            <w:tcW w:w="2357" w:type="dxa"/>
            <w:vAlign w:val="center"/>
          </w:tcPr>
          <w:p w14:paraId="2DE22FC2">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r>
              <w:rPr>
                <w:rFonts w:hint="eastAsia" w:asciiTheme="minorEastAsia" w:hAnsiTheme="minorEastAsia"/>
                <w:color w:val="000000"/>
                <w:szCs w:val="21"/>
              </w:rPr>
              <w:t>总价</w:t>
            </w:r>
          </w:p>
        </w:tc>
        <w:tc>
          <w:tcPr>
            <w:tcW w:w="3148" w:type="dxa"/>
            <w:vAlign w:val="center"/>
          </w:tcPr>
          <w:p w14:paraId="50AF74D9">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r>
              <w:rPr>
                <w:rFonts w:hint="eastAsia" w:asciiTheme="minorEastAsia" w:hAnsiTheme="minorEastAsia"/>
                <w:color w:val="000000"/>
                <w:szCs w:val="21"/>
              </w:rPr>
              <w:t>备注</w:t>
            </w:r>
          </w:p>
        </w:tc>
      </w:tr>
      <w:tr w14:paraId="039C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37EECC36">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902" w:type="dxa"/>
            <w:vAlign w:val="center"/>
          </w:tcPr>
          <w:p w14:paraId="2F17AEC1">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357" w:type="dxa"/>
            <w:vAlign w:val="center"/>
          </w:tcPr>
          <w:p w14:paraId="53F0886B">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3148" w:type="dxa"/>
            <w:vAlign w:val="center"/>
          </w:tcPr>
          <w:p w14:paraId="038FA1F9">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r w14:paraId="784D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1B1897EB">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902" w:type="dxa"/>
            <w:vAlign w:val="center"/>
          </w:tcPr>
          <w:p w14:paraId="7DC3FCE9">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357" w:type="dxa"/>
            <w:vAlign w:val="center"/>
          </w:tcPr>
          <w:p w14:paraId="204AA51D">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3148" w:type="dxa"/>
            <w:vAlign w:val="center"/>
          </w:tcPr>
          <w:p w14:paraId="14C9672F">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r w14:paraId="1C9E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3AD3B3C9">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902" w:type="dxa"/>
            <w:vAlign w:val="center"/>
          </w:tcPr>
          <w:p w14:paraId="3EEF998C">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357" w:type="dxa"/>
            <w:vAlign w:val="center"/>
          </w:tcPr>
          <w:p w14:paraId="41804381">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3148" w:type="dxa"/>
            <w:vAlign w:val="center"/>
          </w:tcPr>
          <w:p w14:paraId="0E177EC1">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r w14:paraId="55B4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6666CAC2">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902" w:type="dxa"/>
            <w:vAlign w:val="center"/>
          </w:tcPr>
          <w:p w14:paraId="0BBD1A4B">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357" w:type="dxa"/>
            <w:vAlign w:val="center"/>
          </w:tcPr>
          <w:p w14:paraId="1D4703FE">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3148" w:type="dxa"/>
            <w:vAlign w:val="center"/>
          </w:tcPr>
          <w:p w14:paraId="185FB101">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r w14:paraId="01B3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771B45CF">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902" w:type="dxa"/>
            <w:vAlign w:val="center"/>
          </w:tcPr>
          <w:p w14:paraId="5119BF7E">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357" w:type="dxa"/>
            <w:vAlign w:val="center"/>
          </w:tcPr>
          <w:p w14:paraId="68B31413">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3148" w:type="dxa"/>
            <w:vAlign w:val="center"/>
          </w:tcPr>
          <w:p w14:paraId="4D8689C6">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r w14:paraId="26B6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6FDBBD0B">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902" w:type="dxa"/>
            <w:vAlign w:val="center"/>
          </w:tcPr>
          <w:p w14:paraId="646A061F">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2357" w:type="dxa"/>
            <w:vAlign w:val="center"/>
          </w:tcPr>
          <w:p w14:paraId="03D220A0">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c>
          <w:tcPr>
            <w:tcW w:w="3148" w:type="dxa"/>
            <w:vAlign w:val="center"/>
          </w:tcPr>
          <w:p w14:paraId="5F6101BE">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r w14:paraId="54D3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19" w:type="dxa"/>
            <w:gridSpan w:val="2"/>
            <w:vAlign w:val="center"/>
          </w:tcPr>
          <w:p w14:paraId="56AC9E52">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r>
              <w:rPr>
                <w:rFonts w:hint="eastAsia" w:asciiTheme="minorEastAsia" w:hAnsiTheme="minorEastAsia"/>
                <w:color w:val="000000"/>
                <w:szCs w:val="21"/>
              </w:rPr>
              <w:t>合计</w:t>
            </w:r>
          </w:p>
        </w:tc>
        <w:tc>
          <w:tcPr>
            <w:tcW w:w="5505" w:type="dxa"/>
            <w:gridSpan w:val="2"/>
            <w:vAlign w:val="center"/>
          </w:tcPr>
          <w:p w14:paraId="2C46E8EA">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color w:val="000000"/>
                <w:szCs w:val="21"/>
              </w:rPr>
            </w:pPr>
          </w:p>
        </w:tc>
      </w:tr>
    </w:tbl>
    <w:p w14:paraId="132D69F2">
      <w:pPr>
        <w:spacing w:line="360" w:lineRule="auto"/>
        <w:ind w:firstLine="420" w:firstLineChars="200"/>
        <w:rPr>
          <w:rFonts w:asciiTheme="minorEastAsia" w:hAnsiTheme="minorEastAsia"/>
          <w:szCs w:val="21"/>
        </w:rPr>
      </w:pPr>
      <w:r>
        <w:rPr>
          <w:rFonts w:hint="eastAsia" w:asciiTheme="minorEastAsia" w:hAnsiTheme="minorEastAsia"/>
          <w:szCs w:val="21"/>
        </w:rPr>
        <w:t>注：</w:t>
      </w:r>
    </w:p>
    <w:p w14:paraId="6D91BA6C">
      <w:pPr>
        <w:spacing w:line="360" w:lineRule="auto"/>
        <w:ind w:firstLine="420" w:firstLineChars="200"/>
        <w:rPr>
          <w:rFonts w:asciiTheme="minorEastAsia" w:hAnsiTheme="minorEastAsia"/>
          <w:szCs w:val="21"/>
        </w:rPr>
      </w:pPr>
      <w:r>
        <w:rPr>
          <w:rFonts w:hint="eastAsia" w:asciiTheme="minorEastAsia" w:hAnsiTheme="minorEastAsia"/>
          <w:szCs w:val="21"/>
        </w:rPr>
        <w:t>1、所有价格应按“采购文件”中规定的货币单位填写；</w:t>
      </w:r>
    </w:p>
    <w:p w14:paraId="64F0B8AF">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、投标总价应为以上各分项价格之和；</w:t>
      </w:r>
    </w:p>
    <w:p w14:paraId="03449783">
      <w:pPr>
        <w:spacing w:line="360" w:lineRule="auto"/>
        <w:ind w:firstLine="420" w:firstLineChars="200"/>
        <w:rPr>
          <w:rFonts w:asciiTheme="minorEastAsia" w:hAnsiTheme="minorEastAsia"/>
          <w:szCs w:val="21"/>
        </w:rPr>
      </w:pPr>
      <w:r>
        <w:rPr>
          <w:rFonts w:hint="eastAsia" w:asciiTheme="minorEastAsia" w:hAnsiTheme="minorEastAsia"/>
          <w:szCs w:val="21"/>
          <w:highlight w:val="yellow"/>
        </w:rPr>
        <w:t>3、本表格式仅做参考，</w:t>
      </w:r>
      <w:r>
        <w:rPr>
          <w:rFonts w:asciiTheme="minorEastAsia" w:hAnsiTheme="minorEastAsia"/>
          <w:szCs w:val="21"/>
          <w:highlight w:val="yellow"/>
        </w:rPr>
        <w:t>可根据项目</w:t>
      </w:r>
      <w:r>
        <w:rPr>
          <w:rFonts w:hint="eastAsia" w:asciiTheme="minorEastAsia" w:hAnsiTheme="minorEastAsia"/>
          <w:szCs w:val="21"/>
          <w:highlight w:val="yellow"/>
        </w:rPr>
        <w:t>实际</w:t>
      </w:r>
      <w:r>
        <w:rPr>
          <w:rFonts w:asciiTheme="minorEastAsia" w:hAnsiTheme="minorEastAsia"/>
          <w:szCs w:val="21"/>
          <w:highlight w:val="yellow"/>
        </w:rPr>
        <w:t>内容进行调整</w:t>
      </w:r>
      <w:r>
        <w:rPr>
          <w:rFonts w:hint="eastAsia" w:asciiTheme="minorEastAsia" w:hAnsiTheme="minorEastAsia"/>
          <w:szCs w:val="21"/>
          <w:highlight w:val="yellow"/>
        </w:rPr>
        <w:t>；</w:t>
      </w:r>
    </w:p>
    <w:p w14:paraId="42B252FD">
      <w:pPr>
        <w:spacing w:line="360" w:lineRule="auto"/>
        <w:ind w:firstLine="420" w:firstLineChars="200"/>
        <w:rPr>
          <w:rFonts w:asciiTheme="minorEastAsia" w:hAnsiTheme="minorEastAsia"/>
          <w:szCs w:val="21"/>
        </w:rPr>
      </w:pPr>
      <w:r>
        <w:rPr>
          <w:rFonts w:hint="eastAsia" w:asciiTheme="minorEastAsia" w:hAnsiTheme="minor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0BA00823">
      <w:pPr>
        <w:spacing w:line="360" w:lineRule="auto"/>
        <w:ind w:firstLine="420" w:firstLineChars="200"/>
        <w:rPr>
          <w:rFonts w:asciiTheme="minorEastAsia" w:hAnsiTheme="minorEastAsia"/>
          <w:szCs w:val="21"/>
        </w:rPr>
      </w:pPr>
      <w:r>
        <w:rPr>
          <w:rFonts w:hint="eastAsia" w:asciiTheme="minorEastAsia" w:hAnsiTheme="minorEastAsia"/>
          <w:szCs w:val="21"/>
        </w:rPr>
        <w:t>5、投标总价和项目报价表中单个采购预算条目报价均不得超过对应的财政预算限额，否则将导致投标无效。</w:t>
      </w:r>
    </w:p>
    <w:p w14:paraId="02543142">
      <w:pPr>
        <w:spacing w:line="360" w:lineRule="auto"/>
        <w:ind w:firstLine="420" w:firstLineChars="200"/>
        <w:rPr>
          <w:rFonts w:asciiTheme="minorEastAsia" w:hAnsiTheme="minorEastAsia"/>
          <w:szCs w:val="21"/>
        </w:rPr>
      </w:pPr>
      <w:r>
        <w:rPr>
          <w:rFonts w:hint="eastAsia" w:asciiTheme="minorEastAsia" w:hAnsiTheme="minorEastAsia"/>
          <w:szCs w:val="21"/>
        </w:rPr>
        <w:t>6、开标一览表的投标总价必须与项目报价表的投标总价一致。</w:t>
      </w:r>
    </w:p>
    <w:p w14:paraId="4D5F6CAD">
      <w:pPr>
        <w:spacing w:line="360" w:lineRule="auto"/>
        <w:ind w:firstLine="420" w:firstLineChars="200"/>
        <w:rPr>
          <w:rFonts w:asciiTheme="minorEastAsia" w:hAnsiTheme="minorEastAsia"/>
          <w:szCs w:val="21"/>
        </w:rPr>
      </w:pPr>
      <w:r>
        <w:rPr>
          <w:rFonts w:hint="eastAsia" w:asciiTheme="minorEastAsia" w:hAnsiTheme="minorEastAsia"/>
          <w:szCs w:val="21"/>
        </w:rPr>
        <w:t>7、“原产地”是指该产品的实际生产加工地，而非品牌总公司所在地。</w:t>
      </w:r>
    </w:p>
    <w:p w14:paraId="2356E7AB">
      <w:pPr>
        <w:spacing w:line="360" w:lineRule="auto"/>
        <w:ind w:firstLine="420" w:firstLineChars="200"/>
      </w:pPr>
    </w:p>
    <w:p w14:paraId="0083C7DE">
      <w:pPr>
        <w:spacing w:line="360" w:lineRule="auto"/>
      </w:pPr>
    </w:p>
    <w:p w14:paraId="1215EF91">
      <w:pPr>
        <w:spacing w:line="360" w:lineRule="auto"/>
        <w:ind w:firstLine="420" w:firstLineChars="200"/>
      </w:pPr>
    </w:p>
    <w:p w14:paraId="47FA09E8">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bookmarkStart w:id="160" w:name="_Toc32280"/>
    </w:p>
    <w:p w14:paraId="1C56B4D5">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6</w:t>
      </w:r>
      <w:r>
        <w:rPr>
          <w:rFonts w:hint="eastAsia" w:asciiTheme="minorEastAsia" w:hAnsiTheme="minorEastAsia"/>
          <w:szCs w:val="21"/>
        </w:rPr>
        <w:t>：法定代表人证明书格式</w:t>
      </w:r>
      <w:bookmarkEnd w:id="160"/>
    </w:p>
    <w:p w14:paraId="56917416">
      <w:pPr>
        <w:keepNext/>
        <w:keepLines/>
        <w:spacing w:before="160" w:after="170"/>
        <w:ind w:firstLine="602" w:firstLineChars="200"/>
        <w:jc w:val="center"/>
        <w:outlineLvl w:val="4"/>
        <w:rPr>
          <w:b/>
          <w:bCs/>
          <w:sz w:val="30"/>
          <w:szCs w:val="28"/>
        </w:rPr>
      </w:pPr>
      <w:bookmarkStart w:id="161" w:name="_Toc55548545"/>
      <w:bookmarkStart w:id="162" w:name="_Toc2383"/>
      <w:r>
        <w:rPr>
          <w:rFonts w:hint="eastAsia"/>
          <w:b/>
          <w:bCs/>
          <w:sz w:val="30"/>
          <w:szCs w:val="28"/>
        </w:rPr>
        <w:t>法定代表人证明书</w:t>
      </w:r>
      <w:bookmarkEnd w:id="161"/>
    </w:p>
    <w:p w14:paraId="5018F6AB">
      <w:pPr>
        <w:tabs>
          <w:tab w:val="left" w:pos="900"/>
        </w:tabs>
        <w:spacing w:line="360" w:lineRule="auto"/>
        <w:ind w:firstLine="420" w:firstLineChars="200"/>
        <w:rPr>
          <w:rFonts w:asciiTheme="minorEastAsia" w:hAnsiTheme="minorEastAsia"/>
          <w:szCs w:val="21"/>
        </w:rPr>
      </w:pPr>
      <w:r>
        <w:rPr>
          <w:rFonts w:hint="eastAsia" w:asciiTheme="minorEastAsia" w:hAnsiTheme="minorEastAsia"/>
          <w:szCs w:val="21"/>
        </w:rPr>
        <w:t>______________同志，现任我单位</w:t>
      </w:r>
      <w:r>
        <w:rPr>
          <w:rFonts w:asciiTheme="minorEastAsia" w:hAnsiTheme="minorEastAsia"/>
          <w:szCs w:val="21"/>
          <w:u w:val="single"/>
        </w:rPr>
        <w:t xml:space="preserve">         </w:t>
      </w:r>
      <w:r>
        <w:rPr>
          <w:rFonts w:hint="eastAsia" w:asciiTheme="minorEastAsia" w:hAnsiTheme="minorEastAsia"/>
          <w:szCs w:val="21"/>
        </w:rPr>
        <w:t>职务，为法定代表人，特此证明。</w:t>
      </w:r>
    </w:p>
    <w:p w14:paraId="26B67C70">
      <w:pPr>
        <w:spacing w:line="360" w:lineRule="auto"/>
        <w:ind w:firstLine="420" w:firstLineChars="200"/>
        <w:rPr>
          <w:rFonts w:asciiTheme="minorEastAsia" w:hAnsiTheme="minorEastAsia"/>
          <w:szCs w:val="21"/>
        </w:rPr>
      </w:pPr>
      <w:r>
        <w:rPr>
          <w:rFonts w:hint="eastAsia" w:asciiTheme="minorEastAsia" w:hAnsiTheme="minorEastAsia"/>
          <w:szCs w:val="21"/>
        </w:rPr>
        <w:t>有效日期与本公司投标文件中标注的投标有效期相同。</w:t>
      </w:r>
      <w:r>
        <w:rPr>
          <w:rFonts w:asciiTheme="minorEastAsia" w:hAnsiTheme="minorEastAsia"/>
          <w:szCs w:val="21"/>
        </w:rPr>
        <w:t xml:space="preserve">  </w:t>
      </w:r>
    </w:p>
    <w:p w14:paraId="19892F57">
      <w:pPr>
        <w:spacing w:line="360" w:lineRule="auto"/>
        <w:ind w:firstLine="420" w:firstLineChars="200"/>
        <w:rPr>
          <w:rFonts w:asciiTheme="minorEastAsia" w:hAnsiTheme="minorEastAsia"/>
          <w:szCs w:val="21"/>
        </w:rPr>
      </w:pPr>
      <w:r>
        <w:rPr>
          <w:rFonts w:hint="eastAsia" w:asciiTheme="minorEastAsia" w:hAnsiTheme="minorEastAsia"/>
          <w:szCs w:val="21"/>
        </w:rPr>
        <w:t>签发日期：</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r>
        <w:rPr>
          <w:rFonts w:asciiTheme="minorEastAsia" w:hAnsiTheme="minorEastAsia"/>
          <w:szCs w:val="21"/>
        </w:rPr>
        <w:t xml:space="preserve">             </w:t>
      </w:r>
    </w:p>
    <w:p w14:paraId="6E8C8D7D">
      <w:pPr>
        <w:spacing w:line="360" w:lineRule="auto"/>
        <w:ind w:firstLine="420" w:firstLineChars="200"/>
        <w:rPr>
          <w:rFonts w:asciiTheme="minorEastAsia" w:hAnsiTheme="minorEastAsia"/>
          <w:szCs w:val="21"/>
        </w:rPr>
      </w:pPr>
      <w:r>
        <w:rPr>
          <w:rFonts w:hint="eastAsia" w:asciiTheme="minorEastAsia" w:hAnsiTheme="minorEastAsia"/>
          <w:szCs w:val="21"/>
        </w:rPr>
        <w:t>附：</w:t>
      </w:r>
    </w:p>
    <w:p w14:paraId="368691D3">
      <w:pPr>
        <w:spacing w:line="360" w:lineRule="auto"/>
        <w:ind w:firstLine="420" w:firstLineChars="200"/>
        <w:rPr>
          <w:rFonts w:asciiTheme="minorEastAsia" w:hAnsiTheme="minorEastAsia"/>
          <w:szCs w:val="21"/>
        </w:rPr>
      </w:pPr>
      <w:r>
        <w:rPr>
          <w:rFonts w:hint="eastAsia" w:asciiTheme="minorEastAsia" w:hAnsiTheme="minorEastAsia"/>
          <w:szCs w:val="21"/>
        </w:rPr>
        <w:t xml:space="preserve">营业执照（注册号）：                       </w:t>
      </w:r>
    </w:p>
    <w:p w14:paraId="53EB0DF8">
      <w:pPr>
        <w:spacing w:line="360" w:lineRule="auto"/>
        <w:ind w:firstLine="420" w:firstLineChars="200"/>
        <w:rPr>
          <w:rFonts w:asciiTheme="minorEastAsia" w:hAnsiTheme="minorEastAsia"/>
          <w:szCs w:val="21"/>
        </w:rPr>
      </w:pPr>
      <w:r>
        <w:rPr>
          <w:rFonts w:hint="eastAsia" w:asciiTheme="minorEastAsia" w:hAnsiTheme="minorEastAsia"/>
          <w:szCs w:val="21"/>
        </w:rPr>
        <w:t>经济性质：</w:t>
      </w:r>
    </w:p>
    <w:p w14:paraId="523A1DF7">
      <w:pPr>
        <w:spacing w:line="360" w:lineRule="auto"/>
        <w:ind w:firstLine="420" w:firstLineChars="200"/>
        <w:rPr>
          <w:rFonts w:asciiTheme="minorEastAsia" w:hAnsiTheme="minorEastAsia"/>
          <w:szCs w:val="21"/>
        </w:rPr>
      </w:pPr>
      <w:r>
        <w:rPr>
          <w:rFonts w:hint="eastAsia" w:asciiTheme="minorEastAsia" w:hAnsiTheme="minorEastAsia"/>
          <w:szCs w:val="21"/>
        </w:rPr>
        <w:t>主营（产）：</w:t>
      </w:r>
    </w:p>
    <w:p w14:paraId="3137ABFD">
      <w:pPr>
        <w:spacing w:line="360" w:lineRule="auto"/>
        <w:ind w:firstLine="420" w:firstLineChars="200"/>
        <w:rPr>
          <w:rFonts w:asciiTheme="minorEastAsia" w:hAnsiTheme="minorEastAsia"/>
          <w:szCs w:val="21"/>
        </w:rPr>
      </w:pPr>
      <w:r>
        <w:rPr>
          <w:rFonts w:hint="eastAsia" w:asciiTheme="minorEastAsia" w:hAnsiTheme="minorEastAsia"/>
          <w:szCs w:val="21"/>
        </w:rPr>
        <w:t>兼营（产）：</w:t>
      </w:r>
    </w:p>
    <w:p w14:paraId="112DC3CF">
      <w:pPr>
        <w:spacing w:line="360" w:lineRule="auto"/>
        <w:ind w:firstLine="420" w:firstLineChars="200"/>
        <w:rPr>
          <w:rFonts w:asciiTheme="minorEastAsia" w:hAnsiTheme="minorEastAsia"/>
          <w:szCs w:val="21"/>
        </w:rPr>
      </w:pPr>
    </w:p>
    <w:p w14:paraId="73B36F96">
      <w:pPr>
        <w:spacing w:line="360" w:lineRule="auto"/>
        <w:ind w:firstLine="420" w:firstLineChars="200"/>
        <w:rPr>
          <w:rFonts w:asciiTheme="minorEastAsia" w:hAnsiTheme="minorEastAsia"/>
          <w:b/>
          <w:bCs/>
          <w:szCs w:val="21"/>
        </w:rPr>
      </w:pPr>
      <w:r>
        <mc:AlternateContent>
          <mc:Choice Requires="wps">
            <w:drawing>
              <wp:anchor distT="0" distB="0" distL="114300" distR="114300" simplePos="0" relativeHeight="251660288" behindDoc="0" locked="0" layoutInCell="1" allowOverlap="1">
                <wp:simplePos x="0" y="0"/>
                <wp:positionH relativeFrom="column">
                  <wp:posOffset>2840355</wp:posOffset>
                </wp:positionH>
                <wp:positionV relativeFrom="paragraph">
                  <wp:posOffset>136525</wp:posOffset>
                </wp:positionV>
                <wp:extent cx="2705100" cy="1981200"/>
                <wp:effectExtent l="4445" t="5080" r="14605" b="13970"/>
                <wp:wrapNone/>
                <wp:docPr id="69" name="矩形 69"/>
                <wp:cNvGraphicFramePr/>
                <a:graphic xmlns:a="http://schemas.openxmlformats.org/drawingml/2006/main">
                  <a:graphicData uri="http://schemas.microsoft.com/office/word/2010/wordprocessingShape">
                    <wps:wsp>
                      <wps:cNvSpPr>
                        <a:spLocks noChangeArrowheads="1"/>
                      </wps:cNvSpPr>
                      <wps:spPr bwMode="auto">
                        <a:xfrm>
                          <a:off x="0" y="0"/>
                          <a:ext cx="2705100" cy="1981200"/>
                        </a:xfrm>
                        <a:prstGeom prst="rect">
                          <a:avLst/>
                        </a:prstGeom>
                        <a:solidFill>
                          <a:srgbClr val="FFFFFF"/>
                        </a:solidFill>
                        <a:ln w="9525">
                          <a:solidFill>
                            <a:srgbClr val="000000"/>
                          </a:solidFill>
                          <a:miter lim="800000"/>
                        </a:ln>
                      </wps:spPr>
                      <wps:txbx>
                        <w:txbxContent>
                          <w:p w14:paraId="73ABBC5F">
                            <w:pPr>
                              <w:spacing w:line="360" w:lineRule="auto"/>
                              <w:ind w:firstLine="1680" w:firstLineChars="800"/>
                            </w:pPr>
                          </w:p>
                          <w:p w14:paraId="48A596E3">
                            <w:pPr>
                              <w:spacing w:line="360" w:lineRule="auto"/>
                              <w:ind w:firstLine="1680" w:firstLineChars="800"/>
                            </w:pPr>
                            <w:r>
                              <w:rPr>
                                <w:rFonts w:hint="eastAsia"/>
                              </w:rPr>
                              <w:t>法定代表人</w:t>
                            </w:r>
                          </w:p>
                          <w:p w14:paraId="61B0B585">
                            <w:pPr>
                              <w:spacing w:line="360" w:lineRule="auto"/>
                              <w:ind w:firstLine="1155" w:firstLineChars="550"/>
                            </w:pPr>
                            <w:r>
                              <w:rPr>
                                <w:rFonts w:hint="eastAsia"/>
                              </w:rPr>
                              <w:t>居民身份证复印件粘贴处</w:t>
                            </w:r>
                          </w:p>
                          <w:p w14:paraId="2A491B12">
                            <w:pPr>
                              <w:spacing w:line="360" w:lineRule="auto"/>
                              <w:ind w:firstLine="1785" w:firstLineChars="850"/>
                            </w:pPr>
                            <w:r>
                              <w:rPr>
                                <w:rFonts w:hint="eastAsia"/>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3.65pt;margin-top:10.75pt;height:156pt;width:213pt;z-index:251660288;mso-width-relative:page;mso-height-relative:page;" fillcolor="#FFFFFF" filled="t" stroked="t" coordsize="21600,21600" o:gfxdata="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cT0NvZAAAACgEAAA8AAAAAAAAAAQAgAAAAIgAAAGRycy9k&#10;b3ducmV2LnhtbFBLAQIUABQAAAAIAIdO4kCe2XEjOgIAAH0EAAAOAAAAAAAAAAEAIAAAACgBAABk&#10;cnMvZTJvRG9jLnhtbFBLBQYAAAAABgAGAFkBAADUBQAAAAA=&#10;">
                <v:fill on="t" focussize="0,0"/>
                <v:stroke color="#000000" miterlimit="8" joinstyle="miter"/>
                <v:imagedata o:title=""/>
                <o:lock v:ext="edit" aspectratio="f"/>
                <v:textbox>
                  <w:txbxContent>
                    <w:p w14:paraId="73ABBC5F">
                      <w:pPr>
                        <w:spacing w:line="360" w:lineRule="auto"/>
                        <w:ind w:firstLine="1680" w:firstLineChars="800"/>
                      </w:pPr>
                    </w:p>
                    <w:p w14:paraId="48A596E3">
                      <w:pPr>
                        <w:spacing w:line="360" w:lineRule="auto"/>
                        <w:ind w:firstLine="1680" w:firstLineChars="800"/>
                      </w:pPr>
                      <w:r>
                        <w:rPr>
                          <w:rFonts w:hint="eastAsia"/>
                        </w:rPr>
                        <w:t>法定代表人</w:t>
                      </w:r>
                    </w:p>
                    <w:p w14:paraId="61B0B585">
                      <w:pPr>
                        <w:spacing w:line="360" w:lineRule="auto"/>
                        <w:ind w:firstLine="1155" w:firstLineChars="550"/>
                      </w:pPr>
                      <w:r>
                        <w:rPr>
                          <w:rFonts w:hint="eastAsia"/>
                        </w:rPr>
                        <w:t>居民身份证复印件粘贴处</w:t>
                      </w:r>
                    </w:p>
                    <w:p w14:paraId="2A491B12">
                      <w:pPr>
                        <w:spacing w:line="360" w:lineRule="auto"/>
                        <w:ind w:firstLine="1785" w:firstLineChars="850"/>
                      </w:pPr>
                      <w:r>
                        <w:rPr>
                          <w:rFonts w:hint="eastAsia"/>
                        </w:rPr>
                        <w:t>（反面）</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-112395</wp:posOffset>
                </wp:positionH>
                <wp:positionV relativeFrom="paragraph">
                  <wp:posOffset>136525</wp:posOffset>
                </wp:positionV>
                <wp:extent cx="2705100" cy="1981200"/>
                <wp:effectExtent l="4445" t="5080" r="14605" b="13970"/>
                <wp:wrapNone/>
                <wp:docPr id="68" name="矩形 68"/>
                <wp:cNvGraphicFramePr/>
                <a:graphic xmlns:a="http://schemas.openxmlformats.org/drawingml/2006/main">
                  <a:graphicData uri="http://schemas.microsoft.com/office/word/2010/wordprocessingShape">
                    <wps:wsp>
                      <wps:cNvSpPr>
                        <a:spLocks noChangeArrowheads="1"/>
                      </wps:cNvSpPr>
                      <wps:spPr bwMode="auto">
                        <a:xfrm>
                          <a:off x="0" y="0"/>
                          <a:ext cx="2705100" cy="1981200"/>
                        </a:xfrm>
                        <a:prstGeom prst="rect">
                          <a:avLst/>
                        </a:prstGeom>
                        <a:solidFill>
                          <a:srgbClr val="FFFFFF"/>
                        </a:solidFill>
                        <a:ln w="9525">
                          <a:solidFill>
                            <a:srgbClr val="000000"/>
                          </a:solidFill>
                          <a:miter lim="800000"/>
                        </a:ln>
                      </wps:spPr>
                      <wps:txbx>
                        <w:txbxContent>
                          <w:p w14:paraId="58F07BC4">
                            <w:pPr>
                              <w:spacing w:line="360" w:lineRule="auto"/>
                              <w:jc w:val="center"/>
                            </w:pPr>
                          </w:p>
                          <w:p w14:paraId="6BD81522">
                            <w:pPr>
                              <w:spacing w:line="360" w:lineRule="auto"/>
                              <w:jc w:val="center"/>
                            </w:pPr>
                            <w:r>
                              <w:rPr>
                                <w:rFonts w:hint="eastAsia"/>
                              </w:rPr>
                              <w:t>法定代表人</w:t>
                            </w:r>
                          </w:p>
                          <w:p w14:paraId="06D9463A">
                            <w:pPr>
                              <w:spacing w:line="360" w:lineRule="auto"/>
                              <w:jc w:val="center"/>
                            </w:pPr>
                            <w:r>
                              <w:rPr>
                                <w:rFonts w:hint="eastAsia"/>
                              </w:rPr>
                              <w:t>居民身份证复印件粘贴处</w:t>
                            </w:r>
                          </w:p>
                          <w:p w14:paraId="25166420">
                            <w:pPr>
                              <w:spacing w:line="360" w:lineRule="auto"/>
                              <w:jc w:val="center"/>
                            </w:pPr>
                            <w:r>
                              <w:rPr>
                                <w:rFonts w:hint="eastAsia"/>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85pt;margin-top:10.75pt;height:156pt;width:213pt;z-index:251659264;mso-width-relative:page;mso-height-relative:page;" fillcolor="#FFFFFF" filled="t" stroked="t" coordsize="21600,21600" o:gfxdata="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TcSu9kAAAAKAQAADwAAAAAAAAABACAAAAAiAAAAZHJzL2Rv&#10;d25yZXYueG1sUEsBAhQAFAAAAAgAh07iQOP/zn45AgAAfQQAAA4AAAAAAAAAAQAgAAAAKAEAAGRy&#10;cy9lMm9Eb2MueG1sUEsFBgAAAAAGAAYAWQEAANMFAAAAAA==&#10;">
                <v:fill on="t" focussize="0,0"/>
                <v:stroke color="#000000" miterlimit="8" joinstyle="miter"/>
                <v:imagedata o:title=""/>
                <o:lock v:ext="edit" aspectratio="f"/>
                <v:textbox>
                  <w:txbxContent>
                    <w:p w14:paraId="58F07BC4">
                      <w:pPr>
                        <w:spacing w:line="360" w:lineRule="auto"/>
                        <w:jc w:val="center"/>
                      </w:pPr>
                    </w:p>
                    <w:p w14:paraId="6BD81522">
                      <w:pPr>
                        <w:spacing w:line="360" w:lineRule="auto"/>
                        <w:jc w:val="center"/>
                      </w:pPr>
                      <w:r>
                        <w:rPr>
                          <w:rFonts w:hint="eastAsia"/>
                        </w:rPr>
                        <w:t>法定代表人</w:t>
                      </w:r>
                    </w:p>
                    <w:p w14:paraId="06D9463A">
                      <w:pPr>
                        <w:spacing w:line="360" w:lineRule="auto"/>
                        <w:jc w:val="center"/>
                      </w:pPr>
                      <w:r>
                        <w:rPr>
                          <w:rFonts w:hint="eastAsia"/>
                        </w:rPr>
                        <w:t>居民身份证复印件粘贴处</w:t>
                      </w:r>
                    </w:p>
                    <w:p w14:paraId="25166420">
                      <w:pPr>
                        <w:spacing w:line="360" w:lineRule="auto"/>
                        <w:jc w:val="center"/>
                      </w:pPr>
                      <w:r>
                        <w:rPr>
                          <w:rFonts w:hint="eastAsia"/>
                        </w:rPr>
                        <w:t>（正面）</w:t>
                      </w:r>
                    </w:p>
                  </w:txbxContent>
                </v:textbox>
              </v:rect>
            </w:pict>
          </mc:Fallback>
        </mc:AlternateContent>
      </w:r>
    </w:p>
    <w:p w14:paraId="5C02B3FD">
      <w:pPr>
        <w:spacing w:line="360" w:lineRule="auto"/>
        <w:ind w:firstLine="422" w:firstLineChars="200"/>
        <w:rPr>
          <w:rFonts w:asciiTheme="minorEastAsia" w:hAnsiTheme="minorEastAsia"/>
          <w:b/>
          <w:bCs/>
          <w:szCs w:val="21"/>
        </w:rPr>
      </w:pPr>
    </w:p>
    <w:p w14:paraId="6DEF020D">
      <w:pPr>
        <w:spacing w:line="360" w:lineRule="auto"/>
        <w:ind w:firstLine="422" w:firstLineChars="200"/>
        <w:rPr>
          <w:rFonts w:asciiTheme="minorEastAsia" w:hAnsiTheme="minorEastAsia"/>
          <w:b/>
          <w:bCs/>
          <w:szCs w:val="21"/>
        </w:rPr>
      </w:pPr>
    </w:p>
    <w:p w14:paraId="4D2EC033">
      <w:pPr>
        <w:spacing w:line="360" w:lineRule="auto"/>
        <w:ind w:firstLine="422" w:firstLineChars="200"/>
        <w:rPr>
          <w:rFonts w:asciiTheme="minorEastAsia" w:hAnsiTheme="minorEastAsia"/>
          <w:b/>
          <w:bCs/>
          <w:szCs w:val="21"/>
        </w:rPr>
      </w:pPr>
    </w:p>
    <w:p w14:paraId="2E95F3FB">
      <w:pPr>
        <w:spacing w:line="360" w:lineRule="auto"/>
        <w:ind w:firstLine="422" w:firstLineChars="200"/>
        <w:rPr>
          <w:rFonts w:asciiTheme="minorEastAsia" w:hAnsiTheme="minorEastAsia"/>
          <w:b/>
          <w:bCs/>
          <w:szCs w:val="21"/>
        </w:rPr>
      </w:pPr>
    </w:p>
    <w:p w14:paraId="26E3D189">
      <w:pPr>
        <w:spacing w:line="360" w:lineRule="auto"/>
        <w:ind w:firstLine="422" w:firstLineChars="200"/>
        <w:rPr>
          <w:rFonts w:asciiTheme="minorEastAsia" w:hAnsiTheme="minorEastAsia"/>
          <w:b/>
          <w:bCs/>
          <w:szCs w:val="21"/>
        </w:rPr>
      </w:pPr>
    </w:p>
    <w:p w14:paraId="45D54CCA">
      <w:pPr>
        <w:spacing w:line="360" w:lineRule="auto"/>
        <w:ind w:firstLine="422" w:firstLineChars="200"/>
        <w:rPr>
          <w:rFonts w:asciiTheme="minorEastAsia" w:hAnsiTheme="minorEastAsia"/>
          <w:b/>
          <w:bCs/>
          <w:szCs w:val="21"/>
        </w:rPr>
      </w:pPr>
      <w:r>
        <w:rPr>
          <w:rFonts w:hint="eastAsia" w:asciiTheme="minorEastAsia" w:hAnsiTheme="minorEastAsia"/>
          <w:b/>
          <w:bCs/>
          <w:szCs w:val="21"/>
        </w:rPr>
        <w:t xml:space="preserve">                         </w:t>
      </w:r>
    </w:p>
    <w:p w14:paraId="77B59B36">
      <w:pPr>
        <w:spacing w:line="360" w:lineRule="auto"/>
        <w:ind w:firstLine="420" w:firstLineChars="200"/>
        <w:rPr>
          <w:rFonts w:asciiTheme="minorEastAsia" w:hAnsiTheme="minorEastAsia"/>
          <w:szCs w:val="21"/>
        </w:rPr>
      </w:pPr>
    </w:p>
    <w:p w14:paraId="1ADA0A58">
      <w:pPr>
        <w:spacing w:line="360" w:lineRule="auto"/>
        <w:ind w:firstLine="420" w:firstLineChars="200"/>
        <w:rPr>
          <w:rFonts w:asciiTheme="minorEastAsia" w:hAnsiTheme="minorEastAsia"/>
          <w:szCs w:val="21"/>
        </w:rPr>
      </w:pPr>
    </w:p>
    <w:p w14:paraId="711BB16F">
      <w:pPr>
        <w:spacing w:line="360" w:lineRule="auto"/>
        <w:ind w:firstLine="420" w:firstLineChars="200"/>
        <w:rPr>
          <w:rFonts w:asciiTheme="minorEastAsia" w:hAnsiTheme="minorEastAsia"/>
          <w:szCs w:val="21"/>
        </w:rPr>
      </w:pPr>
      <w:r>
        <w:rPr>
          <w:rFonts w:hint="eastAsia" w:asciiTheme="minorEastAsia" w:hAnsiTheme="minorEastAsia"/>
          <w:szCs w:val="21"/>
        </w:rPr>
        <w:t>单位名称：（公章）：</w:t>
      </w:r>
      <w:r>
        <w:rPr>
          <w:rFonts w:hint="eastAsia" w:asciiTheme="minorEastAsia" w:hAnsiTheme="minorEastAsia"/>
          <w:szCs w:val="21"/>
          <w:u w:val="single"/>
        </w:rPr>
        <w:t xml:space="preserve">             </w:t>
      </w:r>
    </w:p>
    <w:p w14:paraId="665FE8C5">
      <w:pPr>
        <w:spacing w:line="360" w:lineRule="auto"/>
        <w:ind w:firstLine="420" w:firstLineChars="200"/>
        <w:rPr>
          <w:rFonts w:asciiTheme="minorEastAsia" w:hAnsiTheme="minorEastAsia"/>
          <w:szCs w:val="21"/>
        </w:rPr>
      </w:pPr>
      <w:r>
        <w:rPr>
          <w:rFonts w:hint="eastAsia" w:asciiTheme="minorEastAsia" w:hAnsiTheme="minorEastAsia"/>
          <w:szCs w:val="21"/>
        </w:rPr>
        <w:t>日期：</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 xml:space="preserve">月 </w:t>
      </w:r>
      <w:r>
        <w:rPr>
          <w:rFonts w:hint="eastAsia" w:asciiTheme="minorEastAsia" w:hAnsiTheme="minorEastAsia"/>
          <w:szCs w:val="21"/>
          <w:u w:val="single"/>
        </w:rPr>
        <w:t xml:space="preserve">      </w:t>
      </w:r>
      <w:r>
        <w:rPr>
          <w:rFonts w:hint="eastAsia" w:asciiTheme="minorEastAsia" w:hAnsiTheme="minorEastAsia"/>
          <w:szCs w:val="21"/>
        </w:rPr>
        <w:t>日</w:t>
      </w:r>
    </w:p>
    <w:p w14:paraId="033C158B">
      <w:pPr>
        <w:ind w:firstLine="420" w:firstLineChars="200"/>
      </w:pPr>
    </w:p>
    <w:p w14:paraId="6B624079">
      <w:pPr>
        <w:adjustRightInd w:val="0"/>
        <w:snapToGrid w:val="0"/>
        <w:spacing w:line="360" w:lineRule="auto"/>
        <w:ind w:firstLine="422" w:firstLineChars="200"/>
        <w:rPr>
          <w:rFonts w:asciiTheme="minorEastAsia" w:hAnsiTheme="minorEastAsia"/>
          <w:b/>
          <w:snapToGrid w:val="0"/>
          <w:kern w:val="0"/>
          <w:szCs w:val="21"/>
        </w:rPr>
      </w:pPr>
    </w:p>
    <w:p w14:paraId="58F5097A">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305BD04A">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7</w:t>
      </w:r>
      <w:r>
        <w:rPr>
          <w:rFonts w:hint="eastAsia" w:asciiTheme="minorEastAsia" w:hAnsiTheme="minorEastAsia"/>
          <w:szCs w:val="21"/>
        </w:rPr>
        <w:t>：</w:t>
      </w:r>
      <w:bookmarkEnd w:id="162"/>
      <w:r>
        <w:rPr>
          <w:rFonts w:hint="eastAsia" w:asciiTheme="minorEastAsia" w:hAnsiTheme="minorEastAsia"/>
          <w:szCs w:val="21"/>
        </w:rPr>
        <w:t>法定代表人授权委托证明书</w:t>
      </w:r>
    </w:p>
    <w:p w14:paraId="12479711">
      <w:pPr>
        <w:keepNext/>
        <w:keepLines/>
        <w:spacing w:before="160" w:after="170"/>
        <w:ind w:firstLine="602" w:firstLineChars="200"/>
        <w:jc w:val="center"/>
        <w:outlineLvl w:val="4"/>
        <w:rPr>
          <w:b/>
          <w:bCs/>
          <w:sz w:val="30"/>
          <w:szCs w:val="28"/>
        </w:rPr>
      </w:pPr>
      <w:bookmarkStart w:id="163" w:name="_Toc55548546"/>
      <w:bookmarkStart w:id="164" w:name="_Toc437"/>
      <w:r>
        <w:rPr>
          <w:rFonts w:hint="eastAsia"/>
          <w:b/>
          <w:bCs/>
          <w:sz w:val="30"/>
          <w:szCs w:val="28"/>
        </w:rPr>
        <w:t>法定代表人授权委托书</w:t>
      </w:r>
      <w:bookmarkEnd w:id="163"/>
    </w:p>
    <w:p w14:paraId="3C5D0693">
      <w:pPr>
        <w:spacing w:line="360" w:lineRule="auto"/>
        <w:ind w:firstLine="420" w:firstLineChars="200"/>
        <w:rPr>
          <w:rFonts w:asciiTheme="minorEastAsia" w:hAnsiTheme="minorEastAsia"/>
          <w:b/>
          <w:bCs/>
          <w:szCs w:val="21"/>
        </w:rPr>
      </w:pPr>
      <w:r>
        <w:rPr>
          <w:rFonts w:hint="eastAsia" w:asciiTheme="minorEastAsia" w:hAnsiTheme="minorEastAsia"/>
          <w:szCs w:val="21"/>
        </w:rPr>
        <w:t>深圳市宝安区疾病预防控制中心（深圳市宝安区卫生监督所）</w:t>
      </w:r>
      <w:r>
        <w:rPr>
          <w:rFonts w:hint="eastAsia" w:asciiTheme="minorEastAsia" w:hAnsiTheme="minorEastAsia"/>
          <w:b/>
          <w:bCs/>
          <w:szCs w:val="21"/>
        </w:rPr>
        <w:t>：</w:t>
      </w:r>
    </w:p>
    <w:p w14:paraId="24A9D1C8">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现委派</w:t>
      </w:r>
      <w:r>
        <w:rPr>
          <w:rFonts w:hint="eastAsia" w:asciiTheme="minorEastAsia" w:hAnsiTheme="minorEastAsia"/>
          <w:szCs w:val="21"/>
          <w:u w:val="single"/>
        </w:rPr>
        <w:t xml:space="preserve">  （姓名、职务） </w:t>
      </w:r>
      <w:r>
        <w:rPr>
          <w:rFonts w:hint="eastAsia" w:asciiTheme="minorEastAsia" w:hAnsiTheme="minorEastAsia"/>
          <w:szCs w:val="21"/>
        </w:rPr>
        <w:t>参加贵公司组织的</w:t>
      </w:r>
      <w:r>
        <w:rPr>
          <w:rFonts w:hint="eastAsia" w:asciiTheme="minorEastAsia" w:hAnsiTheme="minorEastAsia"/>
          <w:b/>
          <w:bCs/>
          <w:szCs w:val="21"/>
          <w:u w:val="single"/>
        </w:rPr>
        <w:t xml:space="preserve">  </w:t>
      </w:r>
      <w:r>
        <w:rPr>
          <w:rFonts w:hint="eastAsia" w:asciiTheme="minorEastAsia" w:hAnsiTheme="minorEastAsia"/>
          <w:szCs w:val="21"/>
          <w:u w:val="single"/>
        </w:rPr>
        <w:t xml:space="preserve">（招标项目名称、编号） </w:t>
      </w:r>
      <w:r>
        <w:rPr>
          <w:rFonts w:hint="eastAsia" w:asciiTheme="minorEastAsia" w:hAnsiTheme="minorEastAsia"/>
          <w:szCs w:val="21"/>
        </w:rPr>
        <w:t>招标活动，全权代表我单位处理投标的有关事宜。</w:t>
      </w:r>
    </w:p>
    <w:p w14:paraId="4B24B993">
      <w:pPr>
        <w:spacing w:line="360" w:lineRule="auto"/>
        <w:ind w:firstLine="420" w:firstLineChars="200"/>
        <w:rPr>
          <w:rFonts w:asciiTheme="minorEastAsia" w:hAnsiTheme="minorEastAsia"/>
          <w:szCs w:val="21"/>
        </w:rPr>
      </w:pPr>
    </w:p>
    <w:p w14:paraId="57FEFFB6">
      <w:pPr>
        <w:adjustRightInd w:val="0"/>
        <w:snapToGrid w:val="0"/>
        <w:spacing w:line="360" w:lineRule="auto"/>
        <w:ind w:firstLine="422" w:firstLineChars="200"/>
        <w:rPr>
          <w:rFonts w:asciiTheme="minorEastAsia" w:hAnsiTheme="minorEastAsia"/>
          <w:b/>
          <w:bCs/>
          <w:szCs w:val="21"/>
        </w:rPr>
      </w:pPr>
      <w:r>
        <w:rPr>
          <w:rFonts w:hint="eastAsia" w:asciiTheme="minorEastAsia" w:hAnsiTheme="minorEastAsia"/>
          <w:b/>
          <w:bCs/>
          <w:szCs w:val="21"/>
        </w:rPr>
        <w:t>附授权代表情况：</w:t>
      </w:r>
    </w:p>
    <w:p w14:paraId="1A45E938">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姓名：</w:t>
      </w:r>
      <w:r>
        <w:rPr>
          <w:rFonts w:hint="eastAsia" w:asciiTheme="minorEastAsia" w:hAnsiTheme="minorEastAsia"/>
          <w:b/>
          <w:bCs/>
          <w:szCs w:val="21"/>
        </w:rPr>
        <w:t xml:space="preserve">    </w:t>
      </w:r>
      <w:r>
        <w:rPr>
          <w:rFonts w:hint="eastAsia" w:asciiTheme="minorEastAsia" w:hAnsiTheme="minorEastAsia"/>
          <w:szCs w:val="21"/>
        </w:rPr>
        <w:t xml:space="preserve">            性别：</w:t>
      </w:r>
      <w:r>
        <w:rPr>
          <w:rFonts w:hint="eastAsia" w:asciiTheme="minorEastAsia" w:hAnsiTheme="minorEastAsia"/>
          <w:b/>
          <w:bCs/>
          <w:szCs w:val="21"/>
        </w:rPr>
        <w:t xml:space="preserve"> </w:t>
      </w:r>
    </w:p>
    <w:p w14:paraId="615A7E43">
      <w:pPr>
        <w:adjustRightInd w:val="0"/>
        <w:snapToGrid w:val="0"/>
        <w:spacing w:line="360" w:lineRule="auto"/>
        <w:ind w:firstLine="420" w:firstLineChars="200"/>
        <w:rPr>
          <w:rFonts w:asciiTheme="minorEastAsia" w:hAnsiTheme="minorEastAsia"/>
          <w:b/>
          <w:bCs/>
          <w:szCs w:val="21"/>
        </w:rPr>
      </w:pPr>
      <w:r>
        <w:rPr>
          <w:rFonts w:hint="eastAsia" w:asciiTheme="minorEastAsia" w:hAnsiTheme="minorEastAsia"/>
          <w:szCs w:val="21"/>
        </w:rPr>
        <w:t>年龄：</w:t>
      </w:r>
      <w:r>
        <w:rPr>
          <w:rFonts w:hint="eastAsia" w:asciiTheme="minorEastAsia" w:hAnsiTheme="minorEastAsia"/>
          <w:b/>
          <w:bCs/>
          <w:szCs w:val="21"/>
        </w:rPr>
        <w:t xml:space="preserve"> </w:t>
      </w:r>
      <w:r>
        <w:rPr>
          <w:rFonts w:hint="eastAsia" w:asciiTheme="minorEastAsia" w:hAnsiTheme="minorEastAsia"/>
          <w:szCs w:val="21"/>
        </w:rPr>
        <w:t xml:space="preserve">            </w:t>
      </w:r>
    </w:p>
    <w:p w14:paraId="351F8C89">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职务：</w:t>
      </w:r>
    </w:p>
    <w:p w14:paraId="652E7691">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身份证号码：</w:t>
      </w:r>
    </w:p>
    <w:p w14:paraId="60DDA16B">
      <w:pPr>
        <w:adjustRightInd w:val="0"/>
        <w:snapToGrid w:val="0"/>
        <w:spacing w:line="360" w:lineRule="auto"/>
        <w:ind w:firstLine="420" w:firstLineChars="200"/>
        <w:rPr>
          <w:rFonts w:asciiTheme="minorEastAsia" w:hAnsiTheme="minorEastAsia"/>
          <w:b/>
          <w:bCs/>
          <w:szCs w:val="21"/>
        </w:rPr>
      </w:pPr>
      <w:r>
        <w:rPr>
          <w:rFonts w:hint="eastAsia" w:asciiTheme="minorEastAsia" w:hAnsiTheme="minorEastAsia"/>
          <w:szCs w:val="21"/>
        </w:rPr>
        <w:t>邮编：</w:t>
      </w:r>
      <w:r>
        <w:rPr>
          <w:rFonts w:hint="eastAsia" w:asciiTheme="minorEastAsia" w:hAnsiTheme="minorEastAsia"/>
          <w:b/>
          <w:bCs/>
          <w:szCs w:val="21"/>
        </w:rPr>
        <w:t xml:space="preserve"> </w:t>
      </w:r>
    </w:p>
    <w:p w14:paraId="1CF85C57">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通讯地址：</w:t>
      </w:r>
      <w:r>
        <w:rPr>
          <w:rFonts w:hint="eastAsia" w:asciiTheme="minorEastAsia" w:hAnsiTheme="minorEastAsia"/>
          <w:b/>
          <w:bCs/>
          <w:szCs w:val="21"/>
        </w:rPr>
        <w:t xml:space="preserve"> </w:t>
      </w:r>
    </w:p>
    <w:p w14:paraId="2B1DAC9F">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 xml:space="preserve">电话： </w:t>
      </w:r>
    </w:p>
    <w:p w14:paraId="3C20D2E9">
      <w:pPr>
        <w:spacing w:line="360" w:lineRule="auto"/>
        <w:ind w:firstLine="420" w:firstLineChars="200"/>
        <w:rPr>
          <w:rFonts w:asciiTheme="minorEastAsia" w:hAnsiTheme="minorEastAsia"/>
          <w:szCs w:val="21"/>
        </w:rPr>
      </w:pPr>
      <w:r>
        <w:rPr>
          <w:rFonts w:hint="eastAsia" w:asciiTheme="minorEastAsia" w:hAnsiTheme="minorEastAsia"/>
          <w:szCs w:val="21"/>
        </w:rPr>
        <w:t>单位名称：（公章）</w:t>
      </w:r>
    </w:p>
    <w:p w14:paraId="3ED8D7AF">
      <w:pPr>
        <w:spacing w:line="360" w:lineRule="auto"/>
        <w:ind w:firstLine="420" w:firstLineChars="200"/>
        <w:rPr>
          <w:rFonts w:asciiTheme="minorEastAsia" w:hAnsiTheme="minorEastAsia"/>
          <w:szCs w:val="21"/>
        </w:rPr>
      </w:pPr>
    </w:p>
    <w:p w14:paraId="0E5BAC2D">
      <w:pPr>
        <w:spacing w:line="360" w:lineRule="auto"/>
        <w:ind w:firstLine="420" w:firstLineChars="200"/>
        <w:rPr>
          <w:rFonts w:asciiTheme="minorEastAsia" w:hAnsiTheme="minorEastAsia"/>
          <w:szCs w:val="21"/>
        </w:rPr>
      </w:pPr>
      <w:r>
        <w:rPr>
          <w:rFonts w:hint="eastAsia" w:asciiTheme="minorEastAsia" w:hAnsiTheme="minorEastAsia"/>
          <w:szCs w:val="21"/>
        </w:rPr>
        <w:t>法人代表：（签章）</w:t>
      </w:r>
    </w:p>
    <w:p w14:paraId="0E8AB3F4">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年</w:t>
      </w:r>
      <w:r>
        <w:rPr>
          <w:rFonts w:hint="eastAsia" w:asciiTheme="minorEastAsia" w:hAnsiTheme="minorEastAsia"/>
          <w:b/>
          <w:bCs/>
          <w:szCs w:val="21"/>
        </w:rPr>
        <w:t xml:space="preserve">    </w:t>
      </w:r>
      <w:r>
        <w:rPr>
          <w:rFonts w:hint="eastAsia" w:asciiTheme="minorEastAsia" w:hAnsiTheme="minorEastAsia"/>
          <w:szCs w:val="21"/>
        </w:rPr>
        <w:t>月</w:t>
      </w:r>
      <w:r>
        <w:rPr>
          <w:rFonts w:hint="eastAsia" w:asciiTheme="minorEastAsia" w:hAnsiTheme="minorEastAsia"/>
          <w:b/>
          <w:bCs/>
          <w:szCs w:val="21"/>
        </w:rPr>
        <w:t xml:space="preserve">   </w:t>
      </w:r>
      <w:r>
        <w:rPr>
          <w:rFonts w:hint="eastAsia" w:asciiTheme="minorEastAsia" w:hAnsiTheme="minorEastAsia"/>
          <w:szCs w:val="21"/>
        </w:rPr>
        <w:t>日</w:t>
      </w:r>
    </w:p>
    <w:p w14:paraId="66842860">
      <w:pPr>
        <w:spacing w:line="360" w:lineRule="auto"/>
        <w:ind w:firstLine="420" w:firstLineChars="200"/>
        <w:rPr>
          <w:rFonts w:asciiTheme="minorEastAsia" w:hAnsiTheme="minorEastAsia"/>
          <w:szCs w:val="21"/>
        </w:rPr>
      </w:pPr>
      <w:bookmarkStart w:id="165" w:name="_Toc226217114"/>
      <w:r>
        <mc:AlternateContent>
          <mc:Choice Requires="wps">
            <w:drawing>
              <wp:anchor distT="0" distB="0" distL="114300" distR="114300" simplePos="0" relativeHeight="251661312" behindDoc="0" locked="0" layoutInCell="1" allowOverlap="1">
                <wp:simplePos x="0" y="0"/>
                <wp:positionH relativeFrom="column">
                  <wp:posOffset>-17145</wp:posOffset>
                </wp:positionH>
                <wp:positionV relativeFrom="paragraph">
                  <wp:posOffset>71120</wp:posOffset>
                </wp:positionV>
                <wp:extent cx="2619375" cy="1722755"/>
                <wp:effectExtent l="4445" t="4445" r="5080" b="6350"/>
                <wp:wrapNone/>
                <wp:docPr id="67" name="矩形 67"/>
                <wp:cNvGraphicFramePr/>
                <a:graphic xmlns:a="http://schemas.openxmlformats.org/drawingml/2006/main">
                  <a:graphicData uri="http://schemas.microsoft.com/office/word/2010/wordprocessingShape">
                    <wps:wsp>
                      <wps:cNvSpPr>
                        <a:spLocks noChangeArrowheads="1"/>
                      </wps:cNvSpPr>
                      <wps:spPr bwMode="auto">
                        <a:xfrm>
                          <a:off x="0" y="0"/>
                          <a:ext cx="2619375" cy="1722755"/>
                        </a:xfrm>
                        <a:prstGeom prst="rect">
                          <a:avLst/>
                        </a:prstGeom>
                        <a:solidFill>
                          <a:srgbClr val="FFFFFF"/>
                        </a:solidFill>
                        <a:ln w="9525">
                          <a:solidFill>
                            <a:srgbClr val="000000"/>
                          </a:solidFill>
                          <a:miter lim="800000"/>
                        </a:ln>
                      </wps:spPr>
                      <wps:txbx>
                        <w:txbxContent>
                          <w:p w14:paraId="19660D51">
                            <w:pPr>
                              <w:spacing w:line="360" w:lineRule="auto"/>
                              <w:ind w:firstLine="1260" w:firstLineChars="600"/>
                            </w:pPr>
                          </w:p>
                          <w:p w14:paraId="7303B407">
                            <w:pPr>
                              <w:spacing w:line="360" w:lineRule="auto"/>
                              <w:ind w:firstLine="1260" w:firstLineChars="600"/>
                            </w:pPr>
                            <w:r>
                              <w:rPr>
                                <w:rFonts w:hint="eastAsia"/>
                              </w:rPr>
                              <w:t>被授权人（授权代表）</w:t>
                            </w:r>
                          </w:p>
                          <w:p w14:paraId="4253FF3F">
                            <w:pPr>
                              <w:spacing w:line="360" w:lineRule="auto"/>
                              <w:ind w:firstLine="1050" w:firstLineChars="500"/>
                            </w:pPr>
                            <w:r>
                              <w:rPr>
                                <w:rFonts w:hint="eastAsia"/>
                              </w:rPr>
                              <w:t>居民身份证复印件粘贴处</w:t>
                            </w:r>
                          </w:p>
                          <w:p w14:paraId="441FB384">
                            <w:pPr>
                              <w:spacing w:line="360" w:lineRule="auto"/>
                              <w:jc w:val="center"/>
                            </w:pPr>
                            <w:r>
                              <w:rPr>
                                <w:rFonts w:hint="eastAsia"/>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35pt;margin-top:5.6pt;height:135.65pt;width:206.25pt;z-index:251661312;mso-width-relative:page;mso-height-relative:page;" fillcolor="#FFFFFF" filled="t" stroked="t" coordsize="21600,21600" o:gfxdata="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HHeQVtcAAAAJAQAADwAAAAAAAAABACAAAAAiAAAAZHJzL2Rv&#10;d25yZXYueG1sUEsBAhQAFAAAAAgAh07iQMp/CnE7AgAAfQQAAA4AAAAAAAAAAQAgAAAAJgEAAGRy&#10;cy9lMm9Eb2MueG1sUEsFBgAAAAAGAAYAWQEAANMFAAAAAA==&#10;">
                <v:fill on="t" focussize="0,0"/>
                <v:stroke color="#000000" miterlimit="8" joinstyle="miter"/>
                <v:imagedata o:title=""/>
                <o:lock v:ext="edit" aspectratio="f"/>
                <v:textbox>
                  <w:txbxContent>
                    <w:p w14:paraId="19660D51">
                      <w:pPr>
                        <w:spacing w:line="360" w:lineRule="auto"/>
                        <w:ind w:firstLine="1260" w:firstLineChars="600"/>
                      </w:pPr>
                    </w:p>
                    <w:p w14:paraId="7303B407">
                      <w:pPr>
                        <w:spacing w:line="360" w:lineRule="auto"/>
                        <w:ind w:firstLine="1260" w:firstLineChars="600"/>
                      </w:pPr>
                      <w:r>
                        <w:rPr>
                          <w:rFonts w:hint="eastAsia"/>
                        </w:rPr>
                        <w:t>被授权人（授权代表）</w:t>
                      </w:r>
                    </w:p>
                    <w:p w14:paraId="4253FF3F">
                      <w:pPr>
                        <w:spacing w:line="360" w:lineRule="auto"/>
                        <w:ind w:firstLine="1050" w:firstLineChars="500"/>
                      </w:pPr>
                      <w:r>
                        <w:rPr>
                          <w:rFonts w:hint="eastAsia"/>
                        </w:rPr>
                        <w:t>居民身份证复印件粘贴处</w:t>
                      </w:r>
                    </w:p>
                    <w:p w14:paraId="441FB384">
                      <w:pPr>
                        <w:spacing w:line="360" w:lineRule="auto"/>
                        <w:jc w:val="center"/>
                      </w:pPr>
                      <w:r>
                        <w:rPr>
                          <w:rFonts w:hint="eastAsia"/>
                        </w:rPr>
                        <w:t>（正面）</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2821305</wp:posOffset>
                </wp:positionH>
                <wp:positionV relativeFrom="paragraph">
                  <wp:posOffset>71120</wp:posOffset>
                </wp:positionV>
                <wp:extent cx="2533650" cy="1722755"/>
                <wp:effectExtent l="4445" t="4445" r="14605" b="6350"/>
                <wp:wrapNone/>
                <wp:docPr id="66" name="矩形 66"/>
                <wp:cNvGraphicFramePr/>
                <a:graphic xmlns:a="http://schemas.openxmlformats.org/drawingml/2006/main">
                  <a:graphicData uri="http://schemas.microsoft.com/office/word/2010/wordprocessingShape">
                    <wps:wsp>
                      <wps:cNvSpPr>
                        <a:spLocks noChangeArrowheads="1"/>
                      </wps:cNvSpPr>
                      <wps:spPr bwMode="auto">
                        <a:xfrm>
                          <a:off x="0" y="0"/>
                          <a:ext cx="2533650" cy="1722755"/>
                        </a:xfrm>
                        <a:prstGeom prst="rect">
                          <a:avLst/>
                        </a:prstGeom>
                        <a:solidFill>
                          <a:srgbClr val="FFFFFF"/>
                        </a:solidFill>
                        <a:ln w="9525">
                          <a:solidFill>
                            <a:srgbClr val="000000"/>
                          </a:solidFill>
                          <a:miter lim="800000"/>
                        </a:ln>
                      </wps:spPr>
                      <wps:txbx>
                        <w:txbxContent>
                          <w:p w14:paraId="08C88F61">
                            <w:pPr>
                              <w:spacing w:line="360" w:lineRule="auto"/>
                              <w:jc w:val="center"/>
                            </w:pPr>
                          </w:p>
                          <w:p w14:paraId="2CCD8182">
                            <w:pPr>
                              <w:spacing w:line="360" w:lineRule="auto"/>
                              <w:jc w:val="center"/>
                            </w:pPr>
                            <w:r>
                              <w:rPr>
                                <w:rFonts w:hint="eastAsia"/>
                              </w:rPr>
                              <w:t>被授权人（授权代表）</w:t>
                            </w:r>
                          </w:p>
                          <w:p w14:paraId="5E12DBD7">
                            <w:pPr>
                              <w:spacing w:line="360" w:lineRule="auto"/>
                              <w:jc w:val="center"/>
                            </w:pPr>
                            <w:r>
                              <w:rPr>
                                <w:rFonts w:hint="eastAsia"/>
                              </w:rPr>
                              <w:t>居民身份证复印件粘贴处</w:t>
                            </w:r>
                          </w:p>
                          <w:p w14:paraId="62073399">
                            <w:pPr>
                              <w:spacing w:line="360" w:lineRule="auto"/>
                              <w:jc w:val="center"/>
                            </w:pPr>
                            <w:r>
                              <w:rPr>
                                <w:rFonts w:hint="eastAsia"/>
                              </w:rPr>
                              <w:t>（反面）</w:t>
                            </w:r>
                          </w:p>
                          <w:p w14:paraId="177481CE"/>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2.15pt;margin-top:5.6pt;height:135.65pt;width:199.5pt;z-index:251662336;mso-width-relative:page;mso-height-relative:page;" fillcolor="#FFFFFF" filled="t" stroked="t" coordsize="21600,21600" o:gfxdata="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bTsh1NcAAAAKAQAADwAAAAAAAAABACAAAAAiAAAAZHJzL2Rv&#10;d25yZXYueG1sUEsBAhQAFAAAAAgAh07iQEyOoPE7AgAAfQQAAA4AAAAAAAAAAQAgAAAAJgEAAGRy&#10;cy9lMm9Eb2MueG1sUEsFBgAAAAAGAAYAWQEAANMFAAAAAA==&#10;">
                <v:fill on="t" focussize="0,0"/>
                <v:stroke color="#000000" miterlimit="8" joinstyle="miter"/>
                <v:imagedata o:title=""/>
                <o:lock v:ext="edit" aspectratio="f"/>
                <v:textbox>
                  <w:txbxContent>
                    <w:p w14:paraId="08C88F61">
                      <w:pPr>
                        <w:spacing w:line="360" w:lineRule="auto"/>
                        <w:jc w:val="center"/>
                      </w:pPr>
                    </w:p>
                    <w:p w14:paraId="2CCD8182">
                      <w:pPr>
                        <w:spacing w:line="360" w:lineRule="auto"/>
                        <w:jc w:val="center"/>
                      </w:pPr>
                      <w:r>
                        <w:rPr>
                          <w:rFonts w:hint="eastAsia"/>
                        </w:rPr>
                        <w:t>被授权人（授权代表）</w:t>
                      </w:r>
                    </w:p>
                    <w:p w14:paraId="5E12DBD7">
                      <w:pPr>
                        <w:spacing w:line="360" w:lineRule="auto"/>
                        <w:jc w:val="center"/>
                      </w:pPr>
                      <w:r>
                        <w:rPr>
                          <w:rFonts w:hint="eastAsia"/>
                        </w:rPr>
                        <w:t>居民身份证复印件粘贴处</w:t>
                      </w:r>
                    </w:p>
                    <w:p w14:paraId="62073399">
                      <w:pPr>
                        <w:spacing w:line="360" w:lineRule="auto"/>
                        <w:jc w:val="center"/>
                      </w:pPr>
                      <w:r>
                        <w:rPr>
                          <w:rFonts w:hint="eastAsia"/>
                        </w:rPr>
                        <w:t>（反面）</w:t>
                      </w:r>
                    </w:p>
                    <w:p w14:paraId="177481CE"/>
                  </w:txbxContent>
                </v:textbox>
              </v:rect>
            </w:pict>
          </mc:Fallback>
        </mc:AlternateContent>
      </w:r>
      <w:bookmarkEnd w:id="165"/>
    </w:p>
    <w:p w14:paraId="2070441E">
      <w:pPr>
        <w:spacing w:line="360" w:lineRule="auto"/>
        <w:ind w:firstLine="420" w:firstLineChars="200"/>
        <w:rPr>
          <w:rFonts w:asciiTheme="minorEastAsia" w:hAnsiTheme="minorEastAsia"/>
          <w:szCs w:val="21"/>
        </w:rPr>
      </w:pPr>
    </w:p>
    <w:p w14:paraId="100AF954">
      <w:pPr>
        <w:spacing w:line="360" w:lineRule="auto"/>
        <w:ind w:firstLine="420" w:firstLineChars="200"/>
        <w:rPr>
          <w:rFonts w:asciiTheme="minorEastAsia" w:hAnsiTheme="minorEastAsia"/>
          <w:szCs w:val="21"/>
        </w:rPr>
      </w:pPr>
    </w:p>
    <w:p w14:paraId="4DC02F49">
      <w:pPr>
        <w:spacing w:line="360" w:lineRule="auto"/>
        <w:ind w:firstLine="420" w:firstLineChars="200"/>
        <w:rPr>
          <w:rFonts w:asciiTheme="minorEastAsia" w:hAnsiTheme="minorEastAsia"/>
          <w:szCs w:val="21"/>
        </w:rPr>
      </w:pPr>
    </w:p>
    <w:p w14:paraId="7CC73E33">
      <w:pPr>
        <w:spacing w:line="360" w:lineRule="auto"/>
        <w:ind w:firstLine="420" w:firstLineChars="200"/>
        <w:rPr>
          <w:rFonts w:asciiTheme="minorEastAsia" w:hAnsiTheme="minorEastAsia"/>
          <w:szCs w:val="21"/>
        </w:rPr>
      </w:pPr>
    </w:p>
    <w:p w14:paraId="4086A0BA">
      <w:pPr>
        <w:tabs>
          <w:tab w:val="left" w:pos="5115"/>
        </w:tabs>
        <w:spacing w:line="360" w:lineRule="auto"/>
        <w:ind w:firstLine="420" w:firstLineChars="200"/>
        <w:rPr>
          <w:rFonts w:asciiTheme="minorEastAsia" w:hAnsiTheme="minorEastAsia"/>
          <w:szCs w:val="21"/>
        </w:rPr>
      </w:pPr>
      <w:r>
        <w:rPr>
          <w:rFonts w:asciiTheme="minorEastAsia" w:hAnsiTheme="minorEastAsia"/>
          <w:szCs w:val="21"/>
        </w:rPr>
        <w:tab/>
      </w:r>
    </w:p>
    <w:p w14:paraId="67CD6EBB">
      <w:pPr>
        <w:spacing w:line="360" w:lineRule="auto"/>
        <w:ind w:firstLine="420" w:firstLineChars="200"/>
        <w:rPr>
          <w:rFonts w:asciiTheme="minorEastAsia" w:hAnsiTheme="minorEastAsia"/>
          <w:szCs w:val="21"/>
        </w:rPr>
      </w:pPr>
    </w:p>
    <w:p w14:paraId="4F2B5972">
      <w:pPr>
        <w:adjustRightInd w:val="0"/>
        <w:snapToGrid w:val="0"/>
        <w:spacing w:line="360" w:lineRule="auto"/>
        <w:ind w:firstLine="422" w:firstLineChars="200"/>
        <w:rPr>
          <w:rFonts w:asciiTheme="minorEastAsia" w:hAnsiTheme="minorEastAsia"/>
          <w:b/>
          <w:snapToGrid w:val="0"/>
          <w:kern w:val="0"/>
          <w:szCs w:val="21"/>
        </w:rPr>
      </w:pPr>
    </w:p>
    <w:p w14:paraId="47B7F5D3">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21BCEDD0">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8</w:t>
      </w:r>
      <w:r>
        <w:rPr>
          <w:rFonts w:hint="eastAsia" w:asciiTheme="minorEastAsia" w:hAnsiTheme="minorEastAsia"/>
          <w:szCs w:val="21"/>
        </w:rPr>
        <w:t>：项目实施方案格式</w:t>
      </w:r>
      <w:bookmarkEnd w:id="164"/>
      <w:r>
        <w:rPr>
          <w:rFonts w:hint="eastAsia" w:asciiTheme="minorEastAsia" w:hAnsiTheme="minorEastAsia"/>
          <w:szCs w:val="21"/>
        </w:rPr>
        <w:t>（如有）</w:t>
      </w:r>
    </w:p>
    <w:p w14:paraId="7893B714">
      <w:pPr>
        <w:keepNext/>
        <w:keepLines/>
        <w:spacing w:before="160" w:after="170"/>
        <w:ind w:firstLine="602" w:firstLineChars="200"/>
        <w:jc w:val="center"/>
        <w:outlineLvl w:val="4"/>
        <w:rPr>
          <w:b/>
          <w:bCs/>
          <w:sz w:val="30"/>
          <w:szCs w:val="28"/>
        </w:rPr>
      </w:pPr>
      <w:bookmarkStart w:id="166" w:name="_Toc55548547"/>
      <w:r>
        <w:rPr>
          <w:rFonts w:hint="eastAsia"/>
          <w:b/>
          <w:bCs/>
          <w:sz w:val="30"/>
          <w:szCs w:val="28"/>
        </w:rPr>
        <w:t>项目实施方案</w:t>
      </w:r>
      <w:bookmarkEnd w:id="166"/>
    </w:p>
    <w:p w14:paraId="7237C43A">
      <w:pPr>
        <w:spacing w:line="360" w:lineRule="auto"/>
        <w:ind w:firstLine="420" w:firstLineChars="200"/>
        <w:rPr>
          <w:rFonts w:asciiTheme="minorEastAsia" w:hAnsiTheme="minorEastAsia"/>
          <w:szCs w:val="21"/>
        </w:rPr>
      </w:pPr>
      <w:r>
        <w:rPr>
          <w:rFonts w:hint="eastAsia" w:asciiTheme="minorEastAsia" w:hAnsiTheme="minorEastAsia"/>
          <w:szCs w:val="21"/>
        </w:rPr>
        <w:t>主要内容应包括(根据项目实际情况适当调整内容)：</w:t>
      </w:r>
    </w:p>
    <w:p w14:paraId="1917A30C">
      <w:pPr>
        <w:spacing w:line="360" w:lineRule="auto"/>
        <w:ind w:firstLine="420" w:firstLineChars="200"/>
        <w:rPr>
          <w:rFonts w:asciiTheme="minorEastAsia" w:hAnsiTheme="minorEastAsia"/>
          <w:szCs w:val="21"/>
        </w:rPr>
      </w:pPr>
      <w:r>
        <w:rPr>
          <w:rFonts w:hint="eastAsia" w:asciiTheme="minorEastAsia" w:hAnsiTheme="minorEastAsia"/>
          <w:szCs w:val="21"/>
        </w:rPr>
        <w:t>1、项目实施方案、实施进度表</w:t>
      </w:r>
    </w:p>
    <w:p w14:paraId="3F53F11F">
      <w:pPr>
        <w:spacing w:line="360" w:lineRule="auto"/>
        <w:ind w:firstLine="420" w:firstLineChars="200"/>
        <w:rPr>
          <w:rFonts w:asciiTheme="minorEastAsia" w:hAnsiTheme="minorEastAsia"/>
          <w:szCs w:val="21"/>
        </w:rPr>
      </w:pPr>
      <w:r>
        <w:rPr>
          <w:rFonts w:hint="eastAsia" w:asciiTheme="minorEastAsia" w:hAnsiTheme="minorEastAsia"/>
          <w:szCs w:val="21"/>
        </w:rPr>
        <w:t>2、相关配套措施</w:t>
      </w:r>
    </w:p>
    <w:p w14:paraId="6C96D26D">
      <w:pPr>
        <w:spacing w:line="360" w:lineRule="auto"/>
        <w:ind w:firstLine="420" w:firstLineChars="200"/>
        <w:rPr>
          <w:rFonts w:asciiTheme="minorEastAsia" w:hAnsiTheme="minorEastAsia"/>
          <w:szCs w:val="21"/>
        </w:rPr>
      </w:pPr>
      <w:r>
        <w:rPr>
          <w:rFonts w:hint="eastAsia" w:asciiTheme="minorEastAsia" w:hAnsiTheme="minorEastAsia"/>
          <w:szCs w:val="21"/>
        </w:rPr>
        <w:t>（备注：该部分须与“技术保障措施”、“施工安全保障措施”、“商务需求”等部分承诺的内容相呼应，不得前后矛盾。）</w:t>
      </w:r>
    </w:p>
    <w:p w14:paraId="30FC17F5">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67" w:name="_Toc3861"/>
      <w:r>
        <w:rPr>
          <w:rFonts w:hint="eastAsia" w:asciiTheme="minorEastAsia" w:hAnsiTheme="minorEastAsia"/>
          <w:szCs w:val="21"/>
        </w:rPr>
        <w:t>附件</w:t>
      </w:r>
      <w:r>
        <w:rPr>
          <w:rFonts w:asciiTheme="minorEastAsia" w:hAnsiTheme="minorEastAsia"/>
          <w:szCs w:val="21"/>
        </w:rPr>
        <w:t>9</w:t>
      </w:r>
      <w:r>
        <w:rPr>
          <w:rFonts w:hint="eastAsia" w:asciiTheme="minorEastAsia" w:hAnsiTheme="minorEastAsia"/>
          <w:szCs w:val="21"/>
        </w:rPr>
        <w:t>：售后服务方案格式</w:t>
      </w:r>
      <w:bookmarkEnd w:id="167"/>
      <w:r>
        <w:rPr>
          <w:rFonts w:hint="eastAsia" w:asciiTheme="minorEastAsia" w:hAnsiTheme="minorEastAsia"/>
          <w:szCs w:val="21"/>
        </w:rPr>
        <w:t>（如有）</w:t>
      </w:r>
    </w:p>
    <w:p w14:paraId="5BFCE779">
      <w:pPr>
        <w:keepNext/>
        <w:keepLines/>
        <w:spacing w:before="160" w:after="170"/>
        <w:ind w:firstLine="602" w:firstLineChars="200"/>
        <w:jc w:val="center"/>
        <w:outlineLvl w:val="4"/>
        <w:rPr>
          <w:b/>
          <w:bCs/>
          <w:sz w:val="30"/>
          <w:szCs w:val="28"/>
        </w:rPr>
      </w:pPr>
      <w:bookmarkStart w:id="168" w:name="_Toc55548548"/>
      <w:r>
        <w:rPr>
          <w:rFonts w:hint="eastAsia"/>
          <w:b/>
          <w:bCs/>
          <w:sz w:val="30"/>
          <w:szCs w:val="28"/>
        </w:rPr>
        <w:t>售后服务方案</w:t>
      </w:r>
      <w:bookmarkEnd w:id="168"/>
    </w:p>
    <w:p w14:paraId="4DF3FA76">
      <w:pPr>
        <w:spacing w:line="360" w:lineRule="auto"/>
        <w:ind w:firstLine="420" w:firstLineChars="200"/>
        <w:rPr>
          <w:rFonts w:asciiTheme="minorEastAsia" w:hAnsiTheme="minorEastAsia"/>
          <w:szCs w:val="21"/>
        </w:rPr>
      </w:pPr>
      <w:r>
        <w:rPr>
          <w:rFonts w:hint="eastAsia" w:asciiTheme="minorEastAsia" w:hAnsiTheme="minorEastAsia"/>
          <w:szCs w:val="21"/>
        </w:rPr>
        <w:t>主要内容应包括(根据项目实际情况适当调整内容)：</w:t>
      </w:r>
    </w:p>
    <w:p w14:paraId="37DF631B">
      <w:pPr>
        <w:spacing w:line="360" w:lineRule="auto"/>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、免费保修期；</w:t>
      </w:r>
    </w:p>
    <w:p w14:paraId="423AA29D">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、故障或技术支持响应时间；</w:t>
      </w:r>
    </w:p>
    <w:p w14:paraId="4E70A860">
      <w:pPr>
        <w:spacing w:line="360" w:lineRule="auto"/>
        <w:ind w:firstLine="420" w:firstLineChars="200"/>
        <w:rPr>
          <w:rFonts w:asciiTheme="minorEastAsia" w:hAnsiTheme="minorEastAsia"/>
          <w:szCs w:val="21"/>
        </w:rPr>
      </w:pPr>
      <w:r>
        <w:rPr>
          <w:rFonts w:asciiTheme="minorEastAsia" w:hAnsiTheme="minorEastAsia"/>
          <w:szCs w:val="21"/>
        </w:rPr>
        <w:t>3</w:t>
      </w:r>
      <w:r>
        <w:rPr>
          <w:rFonts w:hint="eastAsia" w:asciiTheme="minorEastAsia" w:hAnsiTheme="minorEastAsia"/>
          <w:szCs w:val="21"/>
        </w:rPr>
        <w:t>、投标人承诺的其他维修维护方案、措施</w:t>
      </w:r>
    </w:p>
    <w:p w14:paraId="056CDBD6">
      <w:pPr>
        <w:spacing w:line="360" w:lineRule="auto"/>
        <w:ind w:firstLine="420" w:firstLineChars="200"/>
        <w:rPr>
          <w:rFonts w:asciiTheme="minorEastAsia" w:hAnsiTheme="minorEastAsia"/>
          <w:szCs w:val="21"/>
        </w:rPr>
      </w:pPr>
      <w:r>
        <w:rPr>
          <w:rFonts w:asciiTheme="minorEastAsia" w:hAnsiTheme="minorEastAsia"/>
          <w:szCs w:val="21"/>
        </w:rPr>
        <w:t>4</w:t>
      </w:r>
      <w:r>
        <w:rPr>
          <w:rFonts w:hint="eastAsia" w:asciiTheme="minorEastAsia" w:hAnsiTheme="minorEastAsia"/>
          <w:szCs w:val="21"/>
        </w:rPr>
        <w:t>、质量保证及违约承诺。</w:t>
      </w:r>
    </w:p>
    <w:p w14:paraId="59924541">
      <w:pPr>
        <w:spacing w:line="360" w:lineRule="auto"/>
        <w:ind w:firstLine="420" w:firstLineChars="200"/>
        <w:rPr>
          <w:rFonts w:asciiTheme="minorEastAsia" w:hAnsiTheme="minorEastAsia"/>
          <w:szCs w:val="21"/>
        </w:rPr>
      </w:pPr>
      <w:r>
        <w:rPr>
          <w:rFonts w:hint="eastAsia" w:asciiTheme="minorEastAsia" w:hAnsiTheme="minorEastAsia"/>
          <w:szCs w:val="21"/>
        </w:rPr>
        <w:t>（备注：该部分须与“商务需求”承诺的内容相呼应，不得前后矛盾。）</w:t>
      </w:r>
    </w:p>
    <w:p w14:paraId="50C9B137">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69" w:name="_Toc29995"/>
      <w:r>
        <w:rPr>
          <w:rFonts w:hint="eastAsia" w:asciiTheme="minorEastAsia" w:hAnsiTheme="minorEastAsia"/>
          <w:szCs w:val="21"/>
        </w:rPr>
        <w:t>附件</w:t>
      </w:r>
      <w:r>
        <w:rPr>
          <w:rFonts w:asciiTheme="minorEastAsia" w:hAnsiTheme="minorEastAsia"/>
          <w:szCs w:val="21"/>
        </w:rPr>
        <w:t>10</w:t>
      </w:r>
      <w:r>
        <w:rPr>
          <w:rFonts w:hint="eastAsia" w:asciiTheme="minorEastAsia" w:hAnsiTheme="minorEastAsia"/>
          <w:szCs w:val="21"/>
        </w:rPr>
        <w:t>：中小企业声明函</w:t>
      </w:r>
      <w:bookmarkEnd w:id="169"/>
      <w:r>
        <w:rPr>
          <w:rFonts w:hint="eastAsia" w:asciiTheme="minorEastAsia" w:hAnsiTheme="minorEastAsia"/>
          <w:szCs w:val="21"/>
        </w:rPr>
        <w:t>（如有）</w:t>
      </w:r>
    </w:p>
    <w:p w14:paraId="45B7B09F">
      <w:pPr>
        <w:keepNext/>
        <w:keepLines/>
        <w:spacing w:before="160" w:after="170"/>
        <w:ind w:firstLine="602" w:firstLineChars="200"/>
        <w:jc w:val="center"/>
        <w:outlineLvl w:val="4"/>
        <w:rPr>
          <w:b/>
          <w:bCs/>
          <w:sz w:val="30"/>
          <w:szCs w:val="28"/>
        </w:rPr>
      </w:pPr>
      <w:bookmarkStart w:id="170" w:name="_Toc55548549"/>
      <w:r>
        <w:rPr>
          <w:rFonts w:hint="eastAsia"/>
          <w:b/>
          <w:bCs/>
          <w:sz w:val="30"/>
          <w:szCs w:val="28"/>
        </w:rPr>
        <w:t>中小企业声明函</w:t>
      </w:r>
      <w:bookmarkEnd w:id="170"/>
    </w:p>
    <w:p w14:paraId="112BE93C">
      <w:pPr>
        <w:spacing w:line="360" w:lineRule="auto"/>
        <w:ind w:firstLine="420" w:firstLineChars="200"/>
        <w:rPr>
          <w:rFonts w:asciiTheme="minorEastAsia" w:hAnsiTheme="minorEastAsia"/>
          <w:szCs w:val="21"/>
        </w:rPr>
      </w:pPr>
      <w:r>
        <w:rPr>
          <w:rFonts w:asciiTheme="minorEastAsia" w:hAnsiTheme="minorEastAsia"/>
          <w:szCs w:val="21"/>
        </w:rPr>
        <w:t>本公司郑重声明，根据《政府采购促进中小企业发展暂行办法》（财库[2011]181号）的规定，本公司为______（请填写：中型、小型、微型）企业。即，本公司同时满足以下条件：</w:t>
      </w:r>
    </w:p>
    <w:p w14:paraId="7133F6E9">
      <w:pPr>
        <w:spacing w:line="360" w:lineRule="auto"/>
        <w:ind w:firstLine="420" w:firstLineChars="200"/>
        <w:rPr>
          <w:rFonts w:asciiTheme="minorEastAsia" w:hAnsiTheme="minorEastAsia"/>
          <w:szCs w:val="21"/>
        </w:rPr>
      </w:pPr>
    </w:p>
    <w:p w14:paraId="6AECFD15">
      <w:pPr>
        <w:spacing w:line="360" w:lineRule="auto"/>
        <w:ind w:firstLine="420" w:firstLineChars="200"/>
        <w:rPr>
          <w:rFonts w:asciiTheme="minorEastAsia" w:hAnsiTheme="minorEastAsia"/>
          <w:szCs w:val="21"/>
        </w:rPr>
      </w:pPr>
      <w:r>
        <w:rPr>
          <w:rFonts w:asciiTheme="minorEastAsia" w:hAnsiTheme="minorEastAsia"/>
          <w:szCs w:val="21"/>
        </w:rPr>
        <w:t>1.根据《工业和信息化部、国家统计局、国家发展和改革委员会、财政部关于印发中小企业划型标准规定的通知》（工信部联企业[2011]300号）规定的划分标准，本公司为______（请填写：中型、小型、微型）企业。</w:t>
      </w:r>
    </w:p>
    <w:p w14:paraId="2290CEBD">
      <w:pPr>
        <w:spacing w:line="360" w:lineRule="auto"/>
        <w:ind w:firstLine="420" w:firstLineChars="200"/>
        <w:rPr>
          <w:rFonts w:asciiTheme="minorEastAsia" w:hAnsiTheme="minorEastAsia"/>
          <w:szCs w:val="21"/>
        </w:rPr>
      </w:pPr>
      <w:r>
        <w:rPr>
          <w:rFonts w:asciiTheme="minorEastAsia" w:hAnsiTheme="minorEastAsia"/>
          <w:szCs w:val="21"/>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6D95A7D3">
      <w:pPr>
        <w:spacing w:line="360" w:lineRule="auto"/>
        <w:ind w:firstLine="420" w:firstLineChars="200"/>
        <w:rPr>
          <w:rFonts w:asciiTheme="minorEastAsia" w:hAnsiTheme="minorEastAsia"/>
          <w:szCs w:val="21"/>
        </w:rPr>
      </w:pPr>
      <w:r>
        <w:rPr>
          <w:rFonts w:asciiTheme="minorEastAsia" w:hAnsiTheme="minorEastAsia"/>
          <w:szCs w:val="21"/>
        </w:rPr>
        <w:t>本公司对上述声明的真实性负责。如有虚假，将依法承担相应责任。</w:t>
      </w:r>
    </w:p>
    <w:p w14:paraId="51561B4E">
      <w:pPr>
        <w:spacing w:line="360" w:lineRule="auto"/>
        <w:ind w:firstLine="420" w:firstLineChars="200"/>
        <w:rPr>
          <w:rFonts w:asciiTheme="minorEastAsia" w:hAnsiTheme="minorEastAsia"/>
          <w:szCs w:val="21"/>
        </w:rPr>
      </w:pPr>
    </w:p>
    <w:p w14:paraId="77DD0576">
      <w:pPr>
        <w:spacing w:line="360" w:lineRule="auto"/>
        <w:ind w:firstLine="420" w:firstLineChars="200"/>
        <w:rPr>
          <w:rFonts w:asciiTheme="minorEastAsia" w:hAnsiTheme="minorEastAsia"/>
          <w:szCs w:val="21"/>
        </w:rPr>
      </w:pPr>
    </w:p>
    <w:p w14:paraId="03173C7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7A1823D3">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7C82BB4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5D34553C">
      <w:pPr>
        <w:spacing w:line="360" w:lineRule="auto"/>
        <w:ind w:firstLine="420" w:firstLineChars="200"/>
        <w:rPr>
          <w:rFonts w:asciiTheme="minorEastAsia" w:hAnsiTheme="minorEastAsia"/>
          <w:szCs w:val="21"/>
        </w:rPr>
      </w:pPr>
    </w:p>
    <w:p w14:paraId="7573F722">
      <w:pPr>
        <w:spacing w:line="360" w:lineRule="auto"/>
        <w:ind w:firstLine="420" w:firstLineChars="200"/>
        <w:rPr>
          <w:rFonts w:asciiTheme="minorEastAsia" w:hAnsiTheme="minorEastAsia"/>
          <w:szCs w:val="21"/>
        </w:rPr>
      </w:pPr>
      <w:r>
        <w:rPr>
          <w:rFonts w:hint="eastAsia" w:asciiTheme="minorEastAsia" w:hAnsiTheme="minorEastAsia"/>
          <w:szCs w:val="21"/>
        </w:rPr>
        <w:t>备注：填写前请认真阅读《工业和信息化部、国家统计局、国家发展和改革委员会、财政部关于印发中小企业划型标准规定的通知》(工信部联企业〔2011〕300号)和《财政部、工业和信息化部关于印发政府采购促进中小企业发展暂行办法的通知》(财库〔2011〕181号)相关规定。如不符合前述相关规定所确定的小型和微型企业，则不需要在投标文件中提供本《中小企业声明函》；若符合前述相关规定所确定的小型和微型企业，在投标文件中没有提供本《中小企业声明函》，视为在本项目中放弃政府采购政策扶持，不进行价格扣除。</w:t>
      </w:r>
    </w:p>
    <w:p w14:paraId="4BF014BF">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71" w:name="_Toc21677"/>
      <w:bookmarkStart w:id="172" w:name="_Toc52129207"/>
      <w:bookmarkStart w:id="173" w:name="_Toc51086642"/>
      <w:bookmarkStart w:id="174" w:name="_Toc51255734"/>
      <w:bookmarkStart w:id="175" w:name="_Toc51682373"/>
      <w:r>
        <w:rPr>
          <w:rFonts w:hint="eastAsia" w:asciiTheme="minorEastAsia" w:hAnsiTheme="minorEastAsia"/>
          <w:szCs w:val="21"/>
        </w:rPr>
        <w:t>附件</w:t>
      </w:r>
      <w:r>
        <w:rPr>
          <w:rFonts w:asciiTheme="minorEastAsia" w:hAnsiTheme="minorEastAsia"/>
          <w:szCs w:val="21"/>
        </w:rPr>
        <w:t>11</w:t>
      </w:r>
      <w:r>
        <w:rPr>
          <w:rFonts w:hint="eastAsia" w:asciiTheme="minorEastAsia" w:hAnsiTheme="minorEastAsia"/>
          <w:szCs w:val="21"/>
        </w:rPr>
        <w:t>：监狱企业证明函</w:t>
      </w:r>
      <w:bookmarkEnd w:id="171"/>
      <w:bookmarkEnd w:id="172"/>
      <w:bookmarkEnd w:id="173"/>
      <w:bookmarkEnd w:id="174"/>
      <w:bookmarkEnd w:id="175"/>
      <w:r>
        <w:rPr>
          <w:rFonts w:hint="eastAsia" w:asciiTheme="minorEastAsia" w:hAnsiTheme="minorEastAsia"/>
          <w:szCs w:val="21"/>
        </w:rPr>
        <w:t>（如有）</w:t>
      </w:r>
    </w:p>
    <w:p w14:paraId="5F037324">
      <w:pPr>
        <w:keepNext/>
        <w:keepLines/>
        <w:spacing w:before="160" w:after="170"/>
        <w:ind w:firstLine="602" w:firstLineChars="200"/>
        <w:jc w:val="center"/>
        <w:outlineLvl w:val="4"/>
        <w:rPr>
          <w:b/>
          <w:bCs/>
          <w:sz w:val="30"/>
          <w:szCs w:val="28"/>
        </w:rPr>
      </w:pPr>
      <w:bookmarkStart w:id="176" w:name="_Toc55548550"/>
      <w:r>
        <w:rPr>
          <w:rFonts w:hint="eastAsia"/>
          <w:b/>
          <w:bCs/>
          <w:sz w:val="30"/>
          <w:szCs w:val="28"/>
        </w:rPr>
        <w:t>监狱企业证明函</w:t>
      </w:r>
      <w:bookmarkEnd w:id="176"/>
    </w:p>
    <w:p w14:paraId="7B52B0C7">
      <w:pPr>
        <w:spacing w:line="360" w:lineRule="auto"/>
        <w:ind w:firstLine="420" w:firstLineChars="200"/>
        <w:rPr>
          <w:rFonts w:asciiTheme="minorEastAsia" w:hAnsiTheme="minorEastAsia"/>
          <w:szCs w:val="21"/>
        </w:rPr>
      </w:pPr>
      <w:r>
        <w:rPr>
          <w:rFonts w:hint="eastAsia" w:asciiTheme="minorEastAsia" w:hAnsiTheme="minorEastAsia"/>
          <w:szCs w:val="21"/>
        </w:rPr>
        <w:t>根据《财政部 司法部关于政府采购支持监狱企业发展有关问题的通知》（财库[2014]68号）的规定，（填写供应商法定全称）为监狱企业。</w:t>
      </w:r>
    </w:p>
    <w:p w14:paraId="066D7352">
      <w:pPr>
        <w:spacing w:line="360" w:lineRule="auto"/>
        <w:ind w:firstLine="420" w:firstLineChars="200"/>
        <w:rPr>
          <w:rFonts w:asciiTheme="minorEastAsia" w:hAnsiTheme="minorEastAsia"/>
          <w:szCs w:val="21"/>
        </w:rPr>
      </w:pPr>
      <w:r>
        <w:rPr>
          <w:rFonts w:hint="eastAsia" w:asciiTheme="minorEastAsia" w:hAnsiTheme="minorEastAsia"/>
          <w:szCs w:val="21"/>
        </w:rPr>
        <w:t>特此证明。</w:t>
      </w:r>
    </w:p>
    <w:p w14:paraId="11DDB63F">
      <w:pPr>
        <w:spacing w:line="360" w:lineRule="auto"/>
        <w:ind w:firstLine="420" w:firstLineChars="200"/>
        <w:rPr>
          <w:rFonts w:asciiTheme="minorEastAsia" w:hAnsiTheme="minorEastAsia"/>
          <w:szCs w:val="21"/>
        </w:rPr>
      </w:pPr>
    </w:p>
    <w:p w14:paraId="6512AED6">
      <w:pPr>
        <w:spacing w:line="360" w:lineRule="auto"/>
        <w:ind w:firstLine="420" w:firstLineChars="200"/>
        <w:rPr>
          <w:rFonts w:asciiTheme="minorEastAsia" w:hAnsiTheme="minorEastAsia"/>
          <w:szCs w:val="21"/>
        </w:rPr>
      </w:pPr>
    </w:p>
    <w:p w14:paraId="2A3045BA">
      <w:pPr>
        <w:spacing w:line="360" w:lineRule="auto"/>
        <w:ind w:firstLine="420" w:firstLineChars="200"/>
        <w:rPr>
          <w:rFonts w:asciiTheme="minorEastAsia" w:hAnsiTheme="minorEastAsia"/>
          <w:b/>
          <w:bCs/>
          <w:szCs w:val="21"/>
        </w:rPr>
      </w:pPr>
      <w:r>
        <w:rPr>
          <w:rFonts w:hint="eastAsia" w:asciiTheme="minorEastAsia" w:hAnsiTheme="minorEastAsia"/>
          <w:szCs w:val="21"/>
        </w:rPr>
        <w:t>省级以上监狱管理局、戒毒管理局（含新疆生产建设兵团）（盖章）：</w:t>
      </w:r>
      <w:r>
        <w:rPr>
          <w:rFonts w:asciiTheme="minorEastAsia" w:hAnsiTheme="minorEastAsia"/>
          <w:b/>
          <w:bCs/>
          <w:szCs w:val="21"/>
        </w:rPr>
        <w:br w:type="page"/>
      </w:r>
    </w:p>
    <w:p w14:paraId="1DA921FA">
      <w:pPr>
        <w:spacing w:line="360" w:lineRule="auto"/>
        <w:ind w:firstLine="420" w:firstLineChars="200"/>
        <w:rPr>
          <w:rFonts w:asciiTheme="minorEastAsia" w:hAnsiTheme="minorEastAsia"/>
          <w:szCs w:val="21"/>
        </w:rPr>
      </w:pPr>
      <w:bookmarkStart w:id="177" w:name="_Toc52129208"/>
      <w:bookmarkStart w:id="178" w:name="_Toc51086643"/>
      <w:bookmarkStart w:id="179" w:name="_Toc51255735"/>
      <w:bookmarkStart w:id="180" w:name="_Toc18139"/>
      <w:bookmarkStart w:id="181" w:name="_Toc51682374"/>
      <w:r>
        <w:rPr>
          <w:rFonts w:hint="eastAsia" w:asciiTheme="minorEastAsia" w:hAnsiTheme="minorEastAsia"/>
          <w:szCs w:val="21"/>
        </w:rPr>
        <w:t>附件</w:t>
      </w:r>
      <w:r>
        <w:rPr>
          <w:rFonts w:asciiTheme="minorEastAsia" w:hAnsiTheme="minorEastAsia"/>
          <w:szCs w:val="21"/>
        </w:rPr>
        <w:t>12</w:t>
      </w:r>
      <w:r>
        <w:rPr>
          <w:rFonts w:hint="eastAsia" w:asciiTheme="minorEastAsia" w:hAnsiTheme="minorEastAsia"/>
          <w:szCs w:val="21"/>
        </w:rPr>
        <w:t>：残疾人福利性单位声明函</w:t>
      </w:r>
      <w:bookmarkEnd w:id="177"/>
      <w:bookmarkEnd w:id="178"/>
      <w:bookmarkEnd w:id="179"/>
      <w:bookmarkEnd w:id="180"/>
      <w:bookmarkEnd w:id="181"/>
      <w:r>
        <w:rPr>
          <w:rFonts w:hint="eastAsia" w:asciiTheme="minorEastAsia" w:hAnsiTheme="minorEastAsia"/>
          <w:szCs w:val="21"/>
        </w:rPr>
        <w:t>（如有）</w:t>
      </w:r>
    </w:p>
    <w:p w14:paraId="62A9B6DE">
      <w:pPr>
        <w:keepNext/>
        <w:keepLines/>
        <w:spacing w:before="160" w:after="170"/>
        <w:ind w:firstLine="602" w:firstLineChars="200"/>
        <w:jc w:val="center"/>
        <w:outlineLvl w:val="4"/>
        <w:rPr>
          <w:b/>
          <w:bCs/>
          <w:sz w:val="30"/>
          <w:szCs w:val="28"/>
        </w:rPr>
      </w:pPr>
      <w:bookmarkStart w:id="182" w:name="_Toc55548551"/>
      <w:r>
        <w:rPr>
          <w:rFonts w:hint="eastAsia"/>
          <w:b/>
          <w:bCs/>
          <w:sz w:val="30"/>
          <w:szCs w:val="28"/>
        </w:rPr>
        <w:t>残疾人福利性单位声明函</w:t>
      </w:r>
      <w:bookmarkEnd w:id="182"/>
    </w:p>
    <w:p w14:paraId="1B6B2D80">
      <w:pPr>
        <w:spacing w:line="360" w:lineRule="auto"/>
        <w:ind w:firstLine="420" w:firstLineChars="200"/>
        <w:rPr>
          <w:rFonts w:asciiTheme="minorEastAsia" w:hAnsiTheme="minorEastAsia"/>
          <w:szCs w:val="21"/>
        </w:rPr>
      </w:pPr>
      <w:r>
        <w:rPr>
          <w:rFonts w:hint="eastAsia" w:asciiTheme="minorEastAsia" w:hAnsiTheme="minorEastAsia"/>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1171A73">
      <w:pPr>
        <w:spacing w:line="360" w:lineRule="auto"/>
        <w:ind w:firstLine="420" w:firstLineChars="200"/>
        <w:rPr>
          <w:rFonts w:asciiTheme="minorEastAsia" w:hAnsiTheme="minorEastAsia"/>
          <w:szCs w:val="21"/>
        </w:rPr>
      </w:pPr>
      <w:r>
        <w:rPr>
          <w:rFonts w:hint="eastAsia" w:asciiTheme="minorEastAsia" w:hAnsiTheme="minorEastAsia"/>
          <w:szCs w:val="21"/>
        </w:rPr>
        <w:t>本单位对上述声明的真实性负责。如有虚假，将依法承担相应责任。</w:t>
      </w:r>
    </w:p>
    <w:p w14:paraId="69A0D1FE">
      <w:pPr>
        <w:spacing w:line="360" w:lineRule="auto"/>
        <w:ind w:firstLine="420" w:firstLineChars="200"/>
        <w:rPr>
          <w:rFonts w:asciiTheme="minorEastAsia" w:hAnsiTheme="minorEastAsia"/>
          <w:szCs w:val="21"/>
        </w:rPr>
      </w:pPr>
    </w:p>
    <w:p w14:paraId="7D7E19FA">
      <w:pPr>
        <w:spacing w:line="360" w:lineRule="auto"/>
        <w:ind w:firstLine="420" w:firstLineChars="200"/>
        <w:rPr>
          <w:rFonts w:asciiTheme="minorEastAsia" w:hAnsiTheme="minorEastAsia"/>
          <w:szCs w:val="21"/>
        </w:rPr>
      </w:pPr>
    </w:p>
    <w:p w14:paraId="29D324C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7DD0D1F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19E9FDA7">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0DFABF3B">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47777A1B">
      <w:pPr>
        <w:spacing w:line="360" w:lineRule="auto"/>
        <w:ind w:firstLine="420" w:firstLineChars="200"/>
        <w:rPr>
          <w:rFonts w:asciiTheme="minorEastAsia" w:hAnsiTheme="minorEastAsia"/>
          <w:szCs w:val="21"/>
        </w:rPr>
      </w:pPr>
      <w:bookmarkStart w:id="183" w:name="_Toc1254"/>
      <w:r>
        <w:rPr>
          <w:rFonts w:hint="eastAsia" w:asciiTheme="minorEastAsia" w:hAnsiTheme="minorEastAsia"/>
          <w:szCs w:val="21"/>
        </w:rPr>
        <w:t>附件</w:t>
      </w:r>
      <w:r>
        <w:rPr>
          <w:rFonts w:asciiTheme="minorEastAsia" w:hAnsiTheme="minorEastAsia"/>
          <w:szCs w:val="21"/>
        </w:rPr>
        <w:t>13</w:t>
      </w:r>
      <w:r>
        <w:rPr>
          <w:rFonts w:hint="eastAsia" w:asciiTheme="minorEastAsia" w:hAnsiTheme="minorEastAsia"/>
          <w:szCs w:val="21"/>
        </w:rPr>
        <w:t>：投标人需要加以说明的其他内容</w:t>
      </w:r>
      <w:bookmarkEnd w:id="183"/>
      <w:r>
        <w:rPr>
          <w:rFonts w:hint="eastAsia" w:asciiTheme="minorEastAsia" w:hAnsiTheme="minorEastAsia"/>
          <w:szCs w:val="21"/>
        </w:rPr>
        <w:t>（如有）</w:t>
      </w:r>
    </w:p>
    <w:p w14:paraId="24749BB5">
      <w:pPr>
        <w:spacing w:line="360" w:lineRule="auto"/>
        <w:ind w:firstLine="420" w:firstLineChars="200"/>
        <w:rPr>
          <w:rFonts w:asciiTheme="minorEastAsia" w:hAnsiTheme="minorEastAsia"/>
          <w:szCs w:val="21"/>
        </w:rPr>
      </w:pPr>
    </w:p>
    <w:p w14:paraId="5E787199">
      <w:pPr>
        <w:spacing w:line="360" w:lineRule="auto"/>
        <w:ind w:firstLine="422" w:firstLineChars="200"/>
        <w:rPr>
          <w:rFonts w:asciiTheme="minorEastAsia" w:hAnsiTheme="minorEastAsia"/>
          <w:b/>
          <w:bCs/>
          <w:szCs w:val="21"/>
        </w:rPr>
      </w:pPr>
      <w:r>
        <w:rPr>
          <w:rFonts w:hint="eastAsia" w:asciiTheme="minorEastAsia" w:hAnsiTheme="minorEastAsia"/>
          <w:b/>
          <w:bCs/>
          <w:szCs w:val="21"/>
        </w:rPr>
        <w:t>投标人认为需要加以说明的其他内容</w:t>
      </w:r>
    </w:p>
    <w:p w14:paraId="7F0AC9DD">
      <w:pPr>
        <w:spacing w:line="360" w:lineRule="auto"/>
        <w:ind w:firstLine="420" w:firstLineChars="200"/>
        <w:rPr>
          <w:rFonts w:asciiTheme="minorEastAsia" w:hAnsiTheme="minorEastAsia"/>
          <w:szCs w:val="21"/>
        </w:rPr>
      </w:pPr>
      <w:r>
        <w:rPr>
          <w:rFonts w:hint="eastAsia" w:asciiTheme="minorEastAsia" w:hAnsiTheme="minorEastAsia"/>
          <w:szCs w:val="21"/>
        </w:rPr>
        <w:t>（格式自定）</w:t>
      </w:r>
    </w:p>
    <w:p w14:paraId="0FF90487">
      <w:pPr>
        <w:spacing w:line="360" w:lineRule="auto"/>
        <w:ind w:firstLine="420" w:firstLineChars="200"/>
      </w:pPr>
    </w:p>
    <w:p w14:paraId="2943998D">
      <w:pPr>
        <w:spacing w:line="360" w:lineRule="auto"/>
        <w:ind w:firstLine="420" w:firstLineChars="200"/>
      </w:pPr>
    </w:p>
    <w:p w14:paraId="672B4CEA">
      <w:pPr>
        <w:spacing w:line="360" w:lineRule="auto"/>
        <w:ind w:firstLine="420" w:firstLineChars="200"/>
      </w:pPr>
    </w:p>
    <w:p w14:paraId="27B7E374">
      <w:pPr>
        <w:spacing w:line="360" w:lineRule="auto"/>
        <w:ind w:firstLine="420" w:firstLineChars="200"/>
      </w:pPr>
    </w:p>
    <w:p w14:paraId="0C2DBAFC">
      <w:pPr>
        <w:spacing w:line="360" w:lineRule="auto"/>
        <w:ind w:firstLine="420" w:firstLineChars="200"/>
      </w:pPr>
    </w:p>
    <w:p w14:paraId="6766FA6B">
      <w:pPr>
        <w:spacing w:line="360" w:lineRule="auto"/>
        <w:ind w:firstLine="420" w:firstLineChars="200"/>
      </w:pPr>
    </w:p>
    <w:p w14:paraId="7F09228C">
      <w:pPr>
        <w:spacing w:line="360" w:lineRule="auto"/>
        <w:ind w:firstLine="420" w:firstLineChars="200"/>
      </w:pPr>
    </w:p>
    <w:p w14:paraId="29CC90A9">
      <w:pPr>
        <w:spacing w:line="360" w:lineRule="auto"/>
        <w:ind w:firstLine="420" w:firstLineChars="200"/>
      </w:pPr>
    </w:p>
    <w:p w14:paraId="463E1AD3">
      <w:pPr>
        <w:spacing w:line="360" w:lineRule="auto"/>
        <w:ind w:firstLine="420" w:firstLineChars="200"/>
        <w:rPr>
          <w:rFonts w:asciiTheme="minorEastAsia" w:hAnsiTheme="minorEastAsia"/>
          <w:szCs w:val="21"/>
        </w:rPr>
      </w:pPr>
    </w:p>
    <w:sectPr>
      <w:pgSz w:w="11906" w:h="16838"/>
      <w:pgMar w:top="1418" w:right="1474" w:bottom="141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auto"/>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1686772"/>
    </w:sdtPr>
    <w:sdtContent>
      <w:sdt>
        <w:sdtPr>
          <w:id w:val="1728636285"/>
        </w:sdtPr>
        <w:sdtContent>
          <w:p w14:paraId="77FF6FA4">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p>
        </w:sdtContent>
      </w:sdt>
    </w:sdtContent>
  </w:sdt>
  <w:p w14:paraId="5C323089">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AA009">
    <w:pPr>
      <w:pStyle w:val="14"/>
    </w:pPr>
  </w:p>
  <w:p w14:paraId="00A6024C">
    <w:pPr>
      <w:pStyle w:val="14"/>
      <w:jc w:val="right"/>
      <w:rPr>
        <w:sz w:val="21"/>
        <w:szCs w:val="21"/>
      </w:rPr>
    </w:pPr>
    <w:bookmarkStart w:id="184" w:name="_Hlk69568635"/>
    <w:bookmarkStart w:id="185" w:name="_Hlk69568634"/>
    <w:r>
      <w:rPr>
        <w:rFonts w:hint="eastAsia"/>
        <w:sz w:val="21"/>
        <w:szCs w:val="21"/>
      </w:rPr>
      <w:t>深圳市宝安区疾病预防控制中心采购文件</w:t>
    </w:r>
    <w:bookmarkEnd w:id="184"/>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CE035"/>
    <w:multiLevelType w:val="singleLevel"/>
    <w:tmpl w:val="C70CE035"/>
    <w:lvl w:ilvl="0" w:tentative="0">
      <w:start w:val="1"/>
      <w:numFmt w:val="chineseCounting"/>
      <w:suff w:val="nothing"/>
      <w:lvlText w:val="（%1）"/>
      <w:lvlJc w:val="left"/>
      <w:rPr>
        <w:rFonts w:hint="eastAsia"/>
      </w:rPr>
    </w:lvl>
  </w:abstractNum>
  <w:abstractNum w:abstractNumId="1">
    <w:nsid w:val="18E5D77F"/>
    <w:multiLevelType w:val="singleLevel"/>
    <w:tmpl w:val="18E5D77F"/>
    <w:lvl w:ilvl="0" w:tentative="0">
      <w:start w:val="1"/>
      <w:numFmt w:val="decimal"/>
      <w:suff w:val="nothing"/>
      <w:lvlText w:val="（%1）"/>
      <w:lvlJc w:val="left"/>
    </w:lvl>
  </w:abstractNum>
  <w:abstractNum w:abstractNumId="2">
    <w:nsid w:val="24714A5A"/>
    <w:multiLevelType w:val="multilevel"/>
    <w:tmpl w:val="24714A5A"/>
    <w:lvl w:ilvl="0" w:tentative="0">
      <w:start w:val="1"/>
      <w:numFmt w:val="decimal"/>
      <w:lvlText w:val="%1."/>
      <w:lvlJc w:val="left"/>
      <w:pPr>
        <w:ind w:left="987"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DFA2C91"/>
    <w:multiLevelType w:val="singleLevel"/>
    <w:tmpl w:val="3DFA2C91"/>
    <w:lvl w:ilvl="0" w:tentative="0">
      <w:start w:val="1"/>
      <w:numFmt w:val="decimal"/>
      <w:lvlText w:val="%1."/>
      <w:lvlJc w:val="left"/>
      <w:pPr>
        <w:tabs>
          <w:tab w:val="left" w:pos="312"/>
        </w:tabs>
      </w:pPr>
    </w:lvl>
  </w:abstractNum>
  <w:abstractNum w:abstractNumId="4">
    <w:nsid w:val="7C2D25F0"/>
    <w:multiLevelType w:val="multilevel"/>
    <w:tmpl w:val="7C2D25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VjMTRiY2QxYmJlMjllYWNhNjZjMTAzYThmMWJiZjQifQ=="/>
  </w:docVars>
  <w:rsids>
    <w:rsidRoot w:val="00172A27"/>
    <w:rsid w:val="0000394F"/>
    <w:rsid w:val="00007A13"/>
    <w:rsid w:val="0001637F"/>
    <w:rsid w:val="00016C99"/>
    <w:rsid w:val="00016D41"/>
    <w:rsid w:val="00016DCD"/>
    <w:rsid w:val="00020F66"/>
    <w:rsid w:val="000236B7"/>
    <w:rsid w:val="00026541"/>
    <w:rsid w:val="000272A3"/>
    <w:rsid w:val="0003138A"/>
    <w:rsid w:val="0004025C"/>
    <w:rsid w:val="00042723"/>
    <w:rsid w:val="00046F21"/>
    <w:rsid w:val="00050084"/>
    <w:rsid w:val="000530FF"/>
    <w:rsid w:val="00053E10"/>
    <w:rsid w:val="000620DD"/>
    <w:rsid w:val="000627B7"/>
    <w:rsid w:val="00063FB1"/>
    <w:rsid w:val="00073E9D"/>
    <w:rsid w:val="00081A9E"/>
    <w:rsid w:val="00081D87"/>
    <w:rsid w:val="00084CCE"/>
    <w:rsid w:val="0008691A"/>
    <w:rsid w:val="00086C55"/>
    <w:rsid w:val="00086E51"/>
    <w:rsid w:val="00090FD5"/>
    <w:rsid w:val="00092A23"/>
    <w:rsid w:val="000968DD"/>
    <w:rsid w:val="000970E6"/>
    <w:rsid w:val="00097201"/>
    <w:rsid w:val="000974D9"/>
    <w:rsid w:val="000A013F"/>
    <w:rsid w:val="000A0BB6"/>
    <w:rsid w:val="000A4FF3"/>
    <w:rsid w:val="000A599B"/>
    <w:rsid w:val="000B13D0"/>
    <w:rsid w:val="000B2D75"/>
    <w:rsid w:val="000B3923"/>
    <w:rsid w:val="000B59F8"/>
    <w:rsid w:val="000B77F9"/>
    <w:rsid w:val="000B7EE0"/>
    <w:rsid w:val="000C561C"/>
    <w:rsid w:val="000C62B0"/>
    <w:rsid w:val="000C6CE9"/>
    <w:rsid w:val="000D08A9"/>
    <w:rsid w:val="000D2EB8"/>
    <w:rsid w:val="000D2FD9"/>
    <w:rsid w:val="000D476C"/>
    <w:rsid w:val="000D6859"/>
    <w:rsid w:val="000E5888"/>
    <w:rsid w:val="000F0F3D"/>
    <w:rsid w:val="000F101F"/>
    <w:rsid w:val="000F22EF"/>
    <w:rsid w:val="000F2D0A"/>
    <w:rsid w:val="000F6C66"/>
    <w:rsid w:val="0010066B"/>
    <w:rsid w:val="00100950"/>
    <w:rsid w:val="001043DC"/>
    <w:rsid w:val="00105F6E"/>
    <w:rsid w:val="00111B38"/>
    <w:rsid w:val="00112A97"/>
    <w:rsid w:val="00113156"/>
    <w:rsid w:val="00115CD5"/>
    <w:rsid w:val="0011797C"/>
    <w:rsid w:val="00125726"/>
    <w:rsid w:val="00125ACF"/>
    <w:rsid w:val="00125C6A"/>
    <w:rsid w:val="0012743D"/>
    <w:rsid w:val="00127C7B"/>
    <w:rsid w:val="00130814"/>
    <w:rsid w:val="001329BA"/>
    <w:rsid w:val="00132BE3"/>
    <w:rsid w:val="0013335C"/>
    <w:rsid w:val="00136300"/>
    <w:rsid w:val="00136387"/>
    <w:rsid w:val="00137876"/>
    <w:rsid w:val="001465AC"/>
    <w:rsid w:val="0014672D"/>
    <w:rsid w:val="00146F48"/>
    <w:rsid w:val="0015271F"/>
    <w:rsid w:val="001530A4"/>
    <w:rsid w:val="00154141"/>
    <w:rsid w:val="00161418"/>
    <w:rsid w:val="001624BB"/>
    <w:rsid w:val="00162B15"/>
    <w:rsid w:val="00163FBC"/>
    <w:rsid w:val="00165B6A"/>
    <w:rsid w:val="001678F7"/>
    <w:rsid w:val="00170E6B"/>
    <w:rsid w:val="00174DAC"/>
    <w:rsid w:val="001750E4"/>
    <w:rsid w:val="00180C24"/>
    <w:rsid w:val="001810ED"/>
    <w:rsid w:val="001813DD"/>
    <w:rsid w:val="00183CCF"/>
    <w:rsid w:val="00184BFC"/>
    <w:rsid w:val="00186E97"/>
    <w:rsid w:val="00187BC0"/>
    <w:rsid w:val="001905F7"/>
    <w:rsid w:val="00192254"/>
    <w:rsid w:val="001930C9"/>
    <w:rsid w:val="001938DE"/>
    <w:rsid w:val="0019395A"/>
    <w:rsid w:val="00195A48"/>
    <w:rsid w:val="00196D20"/>
    <w:rsid w:val="001A36D0"/>
    <w:rsid w:val="001A4CC2"/>
    <w:rsid w:val="001A5C2B"/>
    <w:rsid w:val="001A7960"/>
    <w:rsid w:val="001B12BF"/>
    <w:rsid w:val="001B287A"/>
    <w:rsid w:val="001B54B5"/>
    <w:rsid w:val="001C421C"/>
    <w:rsid w:val="001C42E8"/>
    <w:rsid w:val="001C7175"/>
    <w:rsid w:val="001C7613"/>
    <w:rsid w:val="001D1989"/>
    <w:rsid w:val="001D283D"/>
    <w:rsid w:val="001D5451"/>
    <w:rsid w:val="001D7F0D"/>
    <w:rsid w:val="001E5120"/>
    <w:rsid w:val="001F5585"/>
    <w:rsid w:val="00202216"/>
    <w:rsid w:val="002023D7"/>
    <w:rsid w:val="00204EC0"/>
    <w:rsid w:val="00205A0F"/>
    <w:rsid w:val="00207D31"/>
    <w:rsid w:val="00216C6D"/>
    <w:rsid w:val="00217F05"/>
    <w:rsid w:val="002219B9"/>
    <w:rsid w:val="002243E9"/>
    <w:rsid w:val="0022497B"/>
    <w:rsid w:val="00227BE1"/>
    <w:rsid w:val="00227CFD"/>
    <w:rsid w:val="0023071D"/>
    <w:rsid w:val="00232ED4"/>
    <w:rsid w:val="00234ACA"/>
    <w:rsid w:val="002350B3"/>
    <w:rsid w:val="00235B08"/>
    <w:rsid w:val="002429FB"/>
    <w:rsid w:val="00245BA9"/>
    <w:rsid w:val="002514E8"/>
    <w:rsid w:val="00253FCC"/>
    <w:rsid w:val="0025405F"/>
    <w:rsid w:val="002549AE"/>
    <w:rsid w:val="00255705"/>
    <w:rsid w:val="002570EC"/>
    <w:rsid w:val="002577FC"/>
    <w:rsid w:val="002607D8"/>
    <w:rsid w:val="00262959"/>
    <w:rsid w:val="00262E3B"/>
    <w:rsid w:val="00264146"/>
    <w:rsid w:val="00265ED8"/>
    <w:rsid w:val="00267B16"/>
    <w:rsid w:val="00270DED"/>
    <w:rsid w:val="00270EE6"/>
    <w:rsid w:val="002732D3"/>
    <w:rsid w:val="00273963"/>
    <w:rsid w:val="00273DD4"/>
    <w:rsid w:val="00274ADF"/>
    <w:rsid w:val="00275639"/>
    <w:rsid w:val="002830A3"/>
    <w:rsid w:val="00283FB4"/>
    <w:rsid w:val="002844D3"/>
    <w:rsid w:val="002849C2"/>
    <w:rsid w:val="00285211"/>
    <w:rsid w:val="00287092"/>
    <w:rsid w:val="0028748D"/>
    <w:rsid w:val="002905B6"/>
    <w:rsid w:val="0029095D"/>
    <w:rsid w:val="00291C54"/>
    <w:rsid w:val="00297795"/>
    <w:rsid w:val="002A4499"/>
    <w:rsid w:val="002A5BFA"/>
    <w:rsid w:val="002B7314"/>
    <w:rsid w:val="002C089E"/>
    <w:rsid w:val="002C0C26"/>
    <w:rsid w:val="002C12DB"/>
    <w:rsid w:val="002C4251"/>
    <w:rsid w:val="002D3543"/>
    <w:rsid w:val="002D5E47"/>
    <w:rsid w:val="002D70BB"/>
    <w:rsid w:val="002E00B6"/>
    <w:rsid w:val="002E0D63"/>
    <w:rsid w:val="002E202E"/>
    <w:rsid w:val="002E3D64"/>
    <w:rsid w:val="002E5E70"/>
    <w:rsid w:val="002F46DB"/>
    <w:rsid w:val="002F4C12"/>
    <w:rsid w:val="002F5862"/>
    <w:rsid w:val="00300139"/>
    <w:rsid w:val="003020A7"/>
    <w:rsid w:val="0030630F"/>
    <w:rsid w:val="00306350"/>
    <w:rsid w:val="00307947"/>
    <w:rsid w:val="00310DF6"/>
    <w:rsid w:val="00312AEB"/>
    <w:rsid w:val="00314147"/>
    <w:rsid w:val="00314D97"/>
    <w:rsid w:val="00320C6D"/>
    <w:rsid w:val="003234C1"/>
    <w:rsid w:val="00323F20"/>
    <w:rsid w:val="003259E0"/>
    <w:rsid w:val="00327B91"/>
    <w:rsid w:val="00331BF3"/>
    <w:rsid w:val="00335D20"/>
    <w:rsid w:val="00337BFB"/>
    <w:rsid w:val="0034222B"/>
    <w:rsid w:val="00342375"/>
    <w:rsid w:val="00343516"/>
    <w:rsid w:val="0034487A"/>
    <w:rsid w:val="00344D4A"/>
    <w:rsid w:val="00347B67"/>
    <w:rsid w:val="003531DE"/>
    <w:rsid w:val="003568C3"/>
    <w:rsid w:val="0035752B"/>
    <w:rsid w:val="00357856"/>
    <w:rsid w:val="00357903"/>
    <w:rsid w:val="00360311"/>
    <w:rsid w:val="00362847"/>
    <w:rsid w:val="00365501"/>
    <w:rsid w:val="00370E38"/>
    <w:rsid w:val="003722DC"/>
    <w:rsid w:val="0037339D"/>
    <w:rsid w:val="003765D8"/>
    <w:rsid w:val="00376712"/>
    <w:rsid w:val="00386497"/>
    <w:rsid w:val="00387FB4"/>
    <w:rsid w:val="003904C8"/>
    <w:rsid w:val="003948C4"/>
    <w:rsid w:val="00395BD5"/>
    <w:rsid w:val="003A2EF2"/>
    <w:rsid w:val="003B2B54"/>
    <w:rsid w:val="003B4C25"/>
    <w:rsid w:val="003B533D"/>
    <w:rsid w:val="003B5F69"/>
    <w:rsid w:val="003B664A"/>
    <w:rsid w:val="003C2BD3"/>
    <w:rsid w:val="003D0F25"/>
    <w:rsid w:val="003D1BFD"/>
    <w:rsid w:val="003D1C8B"/>
    <w:rsid w:val="003D3A10"/>
    <w:rsid w:val="003D3BF6"/>
    <w:rsid w:val="003D3E40"/>
    <w:rsid w:val="003D56EF"/>
    <w:rsid w:val="003E2496"/>
    <w:rsid w:val="003E47FF"/>
    <w:rsid w:val="003F3926"/>
    <w:rsid w:val="003F3E99"/>
    <w:rsid w:val="003F49FA"/>
    <w:rsid w:val="003F4A52"/>
    <w:rsid w:val="003F4C21"/>
    <w:rsid w:val="003F6BD9"/>
    <w:rsid w:val="003F7F46"/>
    <w:rsid w:val="00400BDD"/>
    <w:rsid w:val="0040568B"/>
    <w:rsid w:val="00405B4F"/>
    <w:rsid w:val="00412ADA"/>
    <w:rsid w:val="00415ABB"/>
    <w:rsid w:val="00416CB7"/>
    <w:rsid w:val="00417556"/>
    <w:rsid w:val="004224DA"/>
    <w:rsid w:val="00422C93"/>
    <w:rsid w:val="004240F2"/>
    <w:rsid w:val="004247C2"/>
    <w:rsid w:val="0042484C"/>
    <w:rsid w:val="00425768"/>
    <w:rsid w:val="00430C33"/>
    <w:rsid w:val="00431B05"/>
    <w:rsid w:val="00432BF0"/>
    <w:rsid w:val="004434FC"/>
    <w:rsid w:val="00444B83"/>
    <w:rsid w:val="004478C6"/>
    <w:rsid w:val="00450E1D"/>
    <w:rsid w:val="004512C7"/>
    <w:rsid w:val="004537FB"/>
    <w:rsid w:val="0045391A"/>
    <w:rsid w:val="00457D84"/>
    <w:rsid w:val="00460BB8"/>
    <w:rsid w:val="00461FA3"/>
    <w:rsid w:val="00462785"/>
    <w:rsid w:val="00463221"/>
    <w:rsid w:val="00463FD1"/>
    <w:rsid w:val="00473B47"/>
    <w:rsid w:val="00474DE6"/>
    <w:rsid w:val="00476B74"/>
    <w:rsid w:val="00481776"/>
    <w:rsid w:val="0048183C"/>
    <w:rsid w:val="00483481"/>
    <w:rsid w:val="0048440E"/>
    <w:rsid w:val="00484718"/>
    <w:rsid w:val="004865A3"/>
    <w:rsid w:val="00486D13"/>
    <w:rsid w:val="00487BC8"/>
    <w:rsid w:val="00491DD6"/>
    <w:rsid w:val="00492556"/>
    <w:rsid w:val="00492D8F"/>
    <w:rsid w:val="00494048"/>
    <w:rsid w:val="004970F8"/>
    <w:rsid w:val="00497DBD"/>
    <w:rsid w:val="004A0DAF"/>
    <w:rsid w:val="004A34CF"/>
    <w:rsid w:val="004A46F4"/>
    <w:rsid w:val="004A4795"/>
    <w:rsid w:val="004A4B94"/>
    <w:rsid w:val="004B08D4"/>
    <w:rsid w:val="004B0DCA"/>
    <w:rsid w:val="004B2A93"/>
    <w:rsid w:val="004B4E87"/>
    <w:rsid w:val="004B539D"/>
    <w:rsid w:val="004B6E5B"/>
    <w:rsid w:val="004C08AC"/>
    <w:rsid w:val="004C0B66"/>
    <w:rsid w:val="004C3F49"/>
    <w:rsid w:val="004D1B14"/>
    <w:rsid w:val="004D4DA5"/>
    <w:rsid w:val="004E07C0"/>
    <w:rsid w:val="004E1528"/>
    <w:rsid w:val="004E308C"/>
    <w:rsid w:val="004E46CB"/>
    <w:rsid w:val="004E725F"/>
    <w:rsid w:val="004F0148"/>
    <w:rsid w:val="004F2B76"/>
    <w:rsid w:val="004F3645"/>
    <w:rsid w:val="00500D01"/>
    <w:rsid w:val="00504CFF"/>
    <w:rsid w:val="00506D14"/>
    <w:rsid w:val="0051196C"/>
    <w:rsid w:val="005137DA"/>
    <w:rsid w:val="00513BF2"/>
    <w:rsid w:val="005173A6"/>
    <w:rsid w:val="005214AC"/>
    <w:rsid w:val="00521779"/>
    <w:rsid w:val="00521E40"/>
    <w:rsid w:val="00526344"/>
    <w:rsid w:val="00527EDC"/>
    <w:rsid w:val="00531911"/>
    <w:rsid w:val="00532B33"/>
    <w:rsid w:val="00535144"/>
    <w:rsid w:val="005352E1"/>
    <w:rsid w:val="00535430"/>
    <w:rsid w:val="00536246"/>
    <w:rsid w:val="005472BC"/>
    <w:rsid w:val="0054740D"/>
    <w:rsid w:val="00552059"/>
    <w:rsid w:val="00552C93"/>
    <w:rsid w:val="005561D7"/>
    <w:rsid w:val="00561C21"/>
    <w:rsid w:val="00561D31"/>
    <w:rsid w:val="00563895"/>
    <w:rsid w:val="005645E6"/>
    <w:rsid w:val="0056787E"/>
    <w:rsid w:val="00567D46"/>
    <w:rsid w:val="0057769D"/>
    <w:rsid w:val="0058113E"/>
    <w:rsid w:val="0058285B"/>
    <w:rsid w:val="00583310"/>
    <w:rsid w:val="005846F2"/>
    <w:rsid w:val="005849A9"/>
    <w:rsid w:val="00584F0C"/>
    <w:rsid w:val="005854FB"/>
    <w:rsid w:val="00585A02"/>
    <w:rsid w:val="00586966"/>
    <w:rsid w:val="00591CA5"/>
    <w:rsid w:val="00591D1A"/>
    <w:rsid w:val="00592F00"/>
    <w:rsid w:val="0059488B"/>
    <w:rsid w:val="00594D83"/>
    <w:rsid w:val="005A14F3"/>
    <w:rsid w:val="005A1CC5"/>
    <w:rsid w:val="005A5612"/>
    <w:rsid w:val="005B22A4"/>
    <w:rsid w:val="005B2452"/>
    <w:rsid w:val="005B4C1F"/>
    <w:rsid w:val="005B7C95"/>
    <w:rsid w:val="005C0612"/>
    <w:rsid w:val="005C0DB9"/>
    <w:rsid w:val="005C0FF6"/>
    <w:rsid w:val="005C18B9"/>
    <w:rsid w:val="005C21EE"/>
    <w:rsid w:val="005C376C"/>
    <w:rsid w:val="005C39EA"/>
    <w:rsid w:val="005D2961"/>
    <w:rsid w:val="005D2B9C"/>
    <w:rsid w:val="005D2D8F"/>
    <w:rsid w:val="005D6EF3"/>
    <w:rsid w:val="005D7164"/>
    <w:rsid w:val="005D7190"/>
    <w:rsid w:val="005E0466"/>
    <w:rsid w:val="005E11F0"/>
    <w:rsid w:val="005E12D5"/>
    <w:rsid w:val="005F3217"/>
    <w:rsid w:val="005F34BB"/>
    <w:rsid w:val="005F72F4"/>
    <w:rsid w:val="005F73F0"/>
    <w:rsid w:val="006058BB"/>
    <w:rsid w:val="00606500"/>
    <w:rsid w:val="00606715"/>
    <w:rsid w:val="00611947"/>
    <w:rsid w:val="00617363"/>
    <w:rsid w:val="006224E7"/>
    <w:rsid w:val="00623981"/>
    <w:rsid w:val="00624FEC"/>
    <w:rsid w:val="0062754D"/>
    <w:rsid w:val="006345F3"/>
    <w:rsid w:val="00635A1A"/>
    <w:rsid w:val="006407B7"/>
    <w:rsid w:val="0064183A"/>
    <w:rsid w:val="0065138F"/>
    <w:rsid w:val="00651FD0"/>
    <w:rsid w:val="00653282"/>
    <w:rsid w:val="00655479"/>
    <w:rsid w:val="0065567F"/>
    <w:rsid w:val="006557EE"/>
    <w:rsid w:val="00655894"/>
    <w:rsid w:val="006568AF"/>
    <w:rsid w:val="00660AF8"/>
    <w:rsid w:val="00660BB2"/>
    <w:rsid w:val="006617BD"/>
    <w:rsid w:val="00663633"/>
    <w:rsid w:val="0066471D"/>
    <w:rsid w:val="00664B30"/>
    <w:rsid w:val="00665979"/>
    <w:rsid w:val="00665C9C"/>
    <w:rsid w:val="00666DAC"/>
    <w:rsid w:val="006728BE"/>
    <w:rsid w:val="00673CA0"/>
    <w:rsid w:val="00674B5A"/>
    <w:rsid w:val="00684DAC"/>
    <w:rsid w:val="00685691"/>
    <w:rsid w:val="00687623"/>
    <w:rsid w:val="00690937"/>
    <w:rsid w:val="0069104B"/>
    <w:rsid w:val="006A2C16"/>
    <w:rsid w:val="006B10AC"/>
    <w:rsid w:val="006B15B6"/>
    <w:rsid w:val="006B1DB6"/>
    <w:rsid w:val="006B2D41"/>
    <w:rsid w:val="006B2FC4"/>
    <w:rsid w:val="006B302C"/>
    <w:rsid w:val="006B39F9"/>
    <w:rsid w:val="006B5CA7"/>
    <w:rsid w:val="006C2747"/>
    <w:rsid w:val="006C5653"/>
    <w:rsid w:val="006C60D3"/>
    <w:rsid w:val="006D0495"/>
    <w:rsid w:val="006D0AA6"/>
    <w:rsid w:val="006D36F6"/>
    <w:rsid w:val="006D52B6"/>
    <w:rsid w:val="006D63F9"/>
    <w:rsid w:val="006D67E5"/>
    <w:rsid w:val="006D74CC"/>
    <w:rsid w:val="006E3571"/>
    <w:rsid w:val="006F34C6"/>
    <w:rsid w:val="006F41DA"/>
    <w:rsid w:val="00705BD8"/>
    <w:rsid w:val="007067D3"/>
    <w:rsid w:val="00712BD7"/>
    <w:rsid w:val="00715E57"/>
    <w:rsid w:val="00721170"/>
    <w:rsid w:val="007231EE"/>
    <w:rsid w:val="0072335A"/>
    <w:rsid w:val="00724B87"/>
    <w:rsid w:val="0073452B"/>
    <w:rsid w:val="007459E7"/>
    <w:rsid w:val="007506FD"/>
    <w:rsid w:val="00751A67"/>
    <w:rsid w:val="007549C8"/>
    <w:rsid w:val="007554E3"/>
    <w:rsid w:val="0075689D"/>
    <w:rsid w:val="00762137"/>
    <w:rsid w:val="00766224"/>
    <w:rsid w:val="00766F64"/>
    <w:rsid w:val="00767104"/>
    <w:rsid w:val="00767478"/>
    <w:rsid w:val="007674F3"/>
    <w:rsid w:val="0077138C"/>
    <w:rsid w:val="007754EA"/>
    <w:rsid w:val="007911A0"/>
    <w:rsid w:val="00792052"/>
    <w:rsid w:val="0079207E"/>
    <w:rsid w:val="00793A6A"/>
    <w:rsid w:val="00793E70"/>
    <w:rsid w:val="00795EEA"/>
    <w:rsid w:val="007A2875"/>
    <w:rsid w:val="007A31B9"/>
    <w:rsid w:val="007A5E09"/>
    <w:rsid w:val="007A6077"/>
    <w:rsid w:val="007A7D9F"/>
    <w:rsid w:val="007B0B0E"/>
    <w:rsid w:val="007B1962"/>
    <w:rsid w:val="007B2CF3"/>
    <w:rsid w:val="007B4661"/>
    <w:rsid w:val="007B4C65"/>
    <w:rsid w:val="007B71E6"/>
    <w:rsid w:val="007C65B3"/>
    <w:rsid w:val="007C6D54"/>
    <w:rsid w:val="007D2242"/>
    <w:rsid w:val="007D60DA"/>
    <w:rsid w:val="007E14DB"/>
    <w:rsid w:val="007E1EFD"/>
    <w:rsid w:val="007E21BE"/>
    <w:rsid w:val="007E2F5A"/>
    <w:rsid w:val="007E3C03"/>
    <w:rsid w:val="007E4868"/>
    <w:rsid w:val="007E5008"/>
    <w:rsid w:val="007E639A"/>
    <w:rsid w:val="007E6A9D"/>
    <w:rsid w:val="007F11C6"/>
    <w:rsid w:val="007F482C"/>
    <w:rsid w:val="007F4EB1"/>
    <w:rsid w:val="007F5918"/>
    <w:rsid w:val="00805C93"/>
    <w:rsid w:val="0080742D"/>
    <w:rsid w:val="00814795"/>
    <w:rsid w:val="00817206"/>
    <w:rsid w:val="00820766"/>
    <w:rsid w:val="0082380B"/>
    <w:rsid w:val="008251A1"/>
    <w:rsid w:val="008263E2"/>
    <w:rsid w:val="008263E4"/>
    <w:rsid w:val="0083051C"/>
    <w:rsid w:val="008309A8"/>
    <w:rsid w:val="00833FA9"/>
    <w:rsid w:val="008403CD"/>
    <w:rsid w:val="0084094C"/>
    <w:rsid w:val="008427DA"/>
    <w:rsid w:val="00842966"/>
    <w:rsid w:val="008455C7"/>
    <w:rsid w:val="00850054"/>
    <w:rsid w:val="0085171D"/>
    <w:rsid w:val="00854F19"/>
    <w:rsid w:val="008565A0"/>
    <w:rsid w:val="00857094"/>
    <w:rsid w:val="00861A84"/>
    <w:rsid w:val="00865720"/>
    <w:rsid w:val="00870650"/>
    <w:rsid w:val="00871AB4"/>
    <w:rsid w:val="008737E6"/>
    <w:rsid w:val="008747B2"/>
    <w:rsid w:val="00875B2C"/>
    <w:rsid w:val="0087626E"/>
    <w:rsid w:val="00877379"/>
    <w:rsid w:val="008807FE"/>
    <w:rsid w:val="00881C68"/>
    <w:rsid w:val="0088252F"/>
    <w:rsid w:val="00885641"/>
    <w:rsid w:val="008861D0"/>
    <w:rsid w:val="00886513"/>
    <w:rsid w:val="00887EC0"/>
    <w:rsid w:val="00893BD2"/>
    <w:rsid w:val="008A25D3"/>
    <w:rsid w:val="008A4861"/>
    <w:rsid w:val="008A4CB4"/>
    <w:rsid w:val="008A5E40"/>
    <w:rsid w:val="008A65A3"/>
    <w:rsid w:val="008A6A3B"/>
    <w:rsid w:val="008B1F31"/>
    <w:rsid w:val="008B2E71"/>
    <w:rsid w:val="008B64EF"/>
    <w:rsid w:val="008B7729"/>
    <w:rsid w:val="008C2C7E"/>
    <w:rsid w:val="008C3446"/>
    <w:rsid w:val="008C480B"/>
    <w:rsid w:val="008C7B89"/>
    <w:rsid w:val="008C7C25"/>
    <w:rsid w:val="008D19C5"/>
    <w:rsid w:val="008D1E8F"/>
    <w:rsid w:val="008D26F9"/>
    <w:rsid w:val="008D3CDF"/>
    <w:rsid w:val="008D5116"/>
    <w:rsid w:val="008E0FFC"/>
    <w:rsid w:val="008E2F0D"/>
    <w:rsid w:val="008E4F01"/>
    <w:rsid w:val="008E53DE"/>
    <w:rsid w:val="008E756B"/>
    <w:rsid w:val="008F4FC5"/>
    <w:rsid w:val="008F55F8"/>
    <w:rsid w:val="008F59A9"/>
    <w:rsid w:val="009016ED"/>
    <w:rsid w:val="009023CA"/>
    <w:rsid w:val="009063D1"/>
    <w:rsid w:val="00911F33"/>
    <w:rsid w:val="0091227D"/>
    <w:rsid w:val="00912EFF"/>
    <w:rsid w:val="00913747"/>
    <w:rsid w:val="00913757"/>
    <w:rsid w:val="00916D2F"/>
    <w:rsid w:val="0092132F"/>
    <w:rsid w:val="009240C5"/>
    <w:rsid w:val="00930AE6"/>
    <w:rsid w:val="009316D6"/>
    <w:rsid w:val="0093453E"/>
    <w:rsid w:val="009419C6"/>
    <w:rsid w:val="00945543"/>
    <w:rsid w:val="00945D1E"/>
    <w:rsid w:val="009462F5"/>
    <w:rsid w:val="009509C6"/>
    <w:rsid w:val="00953BDB"/>
    <w:rsid w:val="009550B7"/>
    <w:rsid w:val="009551C2"/>
    <w:rsid w:val="00955F27"/>
    <w:rsid w:val="009577F3"/>
    <w:rsid w:val="00957AAC"/>
    <w:rsid w:val="00963C1D"/>
    <w:rsid w:val="00966013"/>
    <w:rsid w:val="009763C1"/>
    <w:rsid w:val="009817D5"/>
    <w:rsid w:val="009828B2"/>
    <w:rsid w:val="00983F17"/>
    <w:rsid w:val="00986C27"/>
    <w:rsid w:val="009940DA"/>
    <w:rsid w:val="009A14F1"/>
    <w:rsid w:val="009A14FC"/>
    <w:rsid w:val="009A2C14"/>
    <w:rsid w:val="009A2D94"/>
    <w:rsid w:val="009A677E"/>
    <w:rsid w:val="009B027B"/>
    <w:rsid w:val="009B0B06"/>
    <w:rsid w:val="009B215B"/>
    <w:rsid w:val="009B49A7"/>
    <w:rsid w:val="009B511A"/>
    <w:rsid w:val="009B6DBF"/>
    <w:rsid w:val="009B78E0"/>
    <w:rsid w:val="009C136C"/>
    <w:rsid w:val="009C13FB"/>
    <w:rsid w:val="009C3577"/>
    <w:rsid w:val="009D0140"/>
    <w:rsid w:val="009D1ED7"/>
    <w:rsid w:val="009D2EED"/>
    <w:rsid w:val="009D33E5"/>
    <w:rsid w:val="009D69AC"/>
    <w:rsid w:val="009E2191"/>
    <w:rsid w:val="009E2DF6"/>
    <w:rsid w:val="009E33AD"/>
    <w:rsid w:val="009E489A"/>
    <w:rsid w:val="009E5198"/>
    <w:rsid w:val="009E7909"/>
    <w:rsid w:val="009E7AED"/>
    <w:rsid w:val="009F3DD5"/>
    <w:rsid w:val="009F44F1"/>
    <w:rsid w:val="009F51D2"/>
    <w:rsid w:val="009F55D5"/>
    <w:rsid w:val="009F6601"/>
    <w:rsid w:val="009F718C"/>
    <w:rsid w:val="00A027F7"/>
    <w:rsid w:val="00A02C9B"/>
    <w:rsid w:val="00A02E18"/>
    <w:rsid w:val="00A032CD"/>
    <w:rsid w:val="00A069B6"/>
    <w:rsid w:val="00A074EF"/>
    <w:rsid w:val="00A10E96"/>
    <w:rsid w:val="00A142B0"/>
    <w:rsid w:val="00A14D8B"/>
    <w:rsid w:val="00A162F6"/>
    <w:rsid w:val="00A1645C"/>
    <w:rsid w:val="00A1664A"/>
    <w:rsid w:val="00A201D9"/>
    <w:rsid w:val="00A239ED"/>
    <w:rsid w:val="00A24AE0"/>
    <w:rsid w:val="00A310B6"/>
    <w:rsid w:val="00A31944"/>
    <w:rsid w:val="00A374C0"/>
    <w:rsid w:val="00A45F09"/>
    <w:rsid w:val="00A46D3B"/>
    <w:rsid w:val="00A502C8"/>
    <w:rsid w:val="00A5098C"/>
    <w:rsid w:val="00A51C85"/>
    <w:rsid w:val="00A55D91"/>
    <w:rsid w:val="00A56485"/>
    <w:rsid w:val="00A57EBB"/>
    <w:rsid w:val="00A60952"/>
    <w:rsid w:val="00A60D7F"/>
    <w:rsid w:val="00A60D89"/>
    <w:rsid w:val="00A60EC4"/>
    <w:rsid w:val="00A6357A"/>
    <w:rsid w:val="00A63D62"/>
    <w:rsid w:val="00A6426E"/>
    <w:rsid w:val="00A643B5"/>
    <w:rsid w:val="00A649B8"/>
    <w:rsid w:val="00A64B9D"/>
    <w:rsid w:val="00A6519A"/>
    <w:rsid w:val="00A665BF"/>
    <w:rsid w:val="00A66941"/>
    <w:rsid w:val="00A67361"/>
    <w:rsid w:val="00A67450"/>
    <w:rsid w:val="00A757EA"/>
    <w:rsid w:val="00A77684"/>
    <w:rsid w:val="00A804E2"/>
    <w:rsid w:val="00A83284"/>
    <w:rsid w:val="00A83993"/>
    <w:rsid w:val="00A86F04"/>
    <w:rsid w:val="00AA0A7F"/>
    <w:rsid w:val="00AA37F1"/>
    <w:rsid w:val="00AA3988"/>
    <w:rsid w:val="00AA45BA"/>
    <w:rsid w:val="00AA5B34"/>
    <w:rsid w:val="00AA5D8D"/>
    <w:rsid w:val="00AB5CB3"/>
    <w:rsid w:val="00AB5D1D"/>
    <w:rsid w:val="00AC0D8B"/>
    <w:rsid w:val="00AC3837"/>
    <w:rsid w:val="00AC44F0"/>
    <w:rsid w:val="00AC5EF8"/>
    <w:rsid w:val="00AD2111"/>
    <w:rsid w:val="00AD21D5"/>
    <w:rsid w:val="00AD42B4"/>
    <w:rsid w:val="00AD50B7"/>
    <w:rsid w:val="00AD7E8D"/>
    <w:rsid w:val="00AE032D"/>
    <w:rsid w:val="00AE449B"/>
    <w:rsid w:val="00AE72AB"/>
    <w:rsid w:val="00AE78B1"/>
    <w:rsid w:val="00AF2E0D"/>
    <w:rsid w:val="00AF3EA3"/>
    <w:rsid w:val="00AF4405"/>
    <w:rsid w:val="00AF740C"/>
    <w:rsid w:val="00B00ACC"/>
    <w:rsid w:val="00B00C44"/>
    <w:rsid w:val="00B00ED0"/>
    <w:rsid w:val="00B02508"/>
    <w:rsid w:val="00B02C9B"/>
    <w:rsid w:val="00B13AB1"/>
    <w:rsid w:val="00B17A94"/>
    <w:rsid w:val="00B21FB4"/>
    <w:rsid w:val="00B27035"/>
    <w:rsid w:val="00B30B35"/>
    <w:rsid w:val="00B32F32"/>
    <w:rsid w:val="00B331DF"/>
    <w:rsid w:val="00B35B9D"/>
    <w:rsid w:val="00B4196D"/>
    <w:rsid w:val="00B42A58"/>
    <w:rsid w:val="00B4633F"/>
    <w:rsid w:val="00B50DB2"/>
    <w:rsid w:val="00B524CE"/>
    <w:rsid w:val="00B5284E"/>
    <w:rsid w:val="00B533AF"/>
    <w:rsid w:val="00B537DA"/>
    <w:rsid w:val="00B54A3F"/>
    <w:rsid w:val="00B56CB2"/>
    <w:rsid w:val="00B61C61"/>
    <w:rsid w:val="00B63752"/>
    <w:rsid w:val="00B640C8"/>
    <w:rsid w:val="00B64FE8"/>
    <w:rsid w:val="00B70132"/>
    <w:rsid w:val="00B7357C"/>
    <w:rsid w:val="00B736D6"/>
    <w:rsid w:val="00B73E65"/>
    <w:rsid w:val="00B741DD"/>
    <w:rsid w:val="00B75547"/>
    <w:rsid w:val="00B76306"/>
    <w:rsid w:val="00B763EB"/>
    <w:rsid w:val="00B764DF"/>
    <w:rsid w:val="00B77508"/>
    <w:rsid w:val="00B775C9"/>
    <w:rsid w:val="00B77E1B"/>
    <w:rsid w:val="00B80124"/>
    <w:rsid w:val="00B90217"/>
    <w:rsid w:val="00B90430"/>
    <w:rsid w:val="00B938C7"/>
    <w:rsid w:val="00B96CC4"/>
    <w:rsid w:val="00BA1DAD"/>
    <w:rsid w:val="00BA25AD"/>
    <w:rsid w:val="00BA28BD"/>
    <w:rsid w:val="00BA5D8C"/>
    <w:rsid w:val="00BC0516"/>
    <w:rsid w:val="00BC2FED"/>
    <w:rsid w:val="00BC3264"/>
    <w:rsid w:val="00BC3A3D"/>
    <w:rsid w:val="00BC4182"/>
    <w:rsid w:val="00BC4AA0"/>
    <w:rsid w:val="00BC71EC"/>
    <w:rsid w:val="00BD0B8A"/>
    <w:rsid w:val="00BD351E"/>
    <w:rsid w:val="00BD46C4"/>
    <w:rsid w:val="00BD5C35"/>
    <w:rsid w:val="00BD7DAB"/>
    <w:rsid w:val="00BE1D99"/>
    <w:rsid w:val="00BE23B9"/>
    <w:rsid w:val="00BE4657"/>
    <w:rsid w:val="00BF1223"/>
    <w:rsid w:val="00BF3ADD"/>
    <w:rsid w:val="00BF51A1"/>
    <w:rsid w:val="00BF6E77"/>
    <w:rsid w:val="00C00565"/>
    <w:rsid w:val="00C0683B"/>
    <w:rsid w:val="00C11BAF"/>
    <w:rsid w:val="00C17C22"/>
    <w:rsid w:val="00C21F05"/>
    <w:rsid w:val="00C24421"/>
    <w:rsid w:val="00C25B04"/>
    <w:rsid w:val="00C30332"/>
    <w:rsid w:val="00C33FC8"/>
    <w:rsid w:val="00C349AB"/>
    <w:rsid w:val="00C37BAB"/>
    <w:rsid w:val="00C4123C"/>
    <w:rsid w:val="00C4135E"/>
    <w:rsid w:val="00C42C4C"/>
    <w:rsid w:val="00C435EF"/>
    <w:rsid w:val="00C436B7"/>
    <w:rsid w:val="00C43A9E"/>
    <w:rsid w:val="00C445BC"/>
    <w:rsid w:val="00C452E0"/>
    <w:rsid w:val="00C45A07"/>
    <w:rsid w:val="00C461C0"/>
    <w:rsid w:val="00C51038"/>
    <w:rsid w:val="00C53685"/>
    <w:rsid w:val="00C53B8C"/>
    <w:rsid w:val="00C54590"/>
    <w:rsid w:val="00C54C0A"/>
    <w:rsid w:val="00C55B4E"/>
    <w:rsid w:val="00C60169"/>
    <w:rsid w:val="00C609F7"/>
    <w:rsid w:val="00C60C70"/>
    <w:rsid w:val="00C63322"/>
    <w:rsid w:val="00C63DBA"/>
    <w:rsid w:val="00C66F8B"/>
    <w:rsid w:val="00C77418"/>
    <w:rsid w:val="00C87668"/>
    <w:rsid w:val="00C9059A"/>
    <w:rsid w:val="00C912A5"/>
    <w:rsid w:val="00C92E18"/>
    <w:rsid w:val="00C96F99"/>
    <w:rsid w:val="00C97ECB"/>
    <w:rsid w:val="00CA03D2"/>
    <w:rsid w:val="00CA17E0"/>
    <w:rsid w:val="00CA3542"/>
    <w:rsid w:val="00CA64A0"/>
    <w:rsid w:val="00CA6E11"/>
    <w:rsid w:val="00CB53A1"/>
    <w:rsid w:val="00CB682E"/>
    <w:rsid w:val="00CB6C22"/>
    <w:rsid w:val="00CB6EF7"/>
    <w:rsid w:val="00CC0B91"/>
    <w:rsid w:val="00CC2104"/>
    <w:rsid w:val="00CC2DFF"/>
    <w:rsid w:val="00CC3BAE"/>
    <w:rsid w:val="00CC5694"/>
    <w:rsid w:val="00CC6334"/>
    <w:rsid w:val="00CC7092"/>
    <w:rsid w:val="00CC7F32"/>
    <w:rsid w:val="00CD44F8"/>
    <w:rsid w:val="00CD7ED6"/>
    <w:rsid w:val="00CE03C2"/>
    <w:rsid w:val="00CE1C0B"/>
    <w:rsid w:val="00CE4007"/>
    <w:rsid w:val="00CF0718"/>
    <w:rsid w:val="00CF4205"/>
    <w:rsid w:val="00CF442C"/>
    <w:rsid w:val="00D00895"/>
    <w:rsid w:val="00D00C1D"/>
    <w:rsid w:val="00D019D3"/>
    <w:rsid w:val="00D04EFB"/>
    <w:rsid w:val="00D05C96"/>
    <w:rsid w:val="00D07F61"/>
    <w:rsid w:val="00D121F2"/>
    <w:rsid w:val="00D128DB"/>
    <w:rsid w:val="00D16D64"/>
    <w:rsid w:val="00D21978"/>
    <w:rsid w:val="00D21E3F"/>
    <w:rsid w:val="00D246A8"/>
    <w:rsid w:val="00D24885"/>
    <w:rsid w:val="00D26440"/>
    <w:rsid w:val="00D27C91"/>
    <w:rsid w:val="00D319C3"/>
    <w:rsid w:val="00D407CB"/>
    <w:rsid w:val="00D428A8"/>
    <w:rsid w:val="00D4292D"/>
    <w:rsid w:val="00D42B1C"/>
    <w:rsid w:val="00D46AB3"/>
    <w:rsid w:val="00D516E0"/>
    <w:rsid w:val="00D52046"/>
    <w:rsid w:val="00D52471"/>
    <w:rsid w:val="00D53B1B"/>
    <w:rsid w:val="00D54E6C"/>
    <w:rsid w:val="00D54F48"/>
    <w:rsid w:val="00D55DA3"/>
    <w:rsid w:val="00D55FA7"/>
    <w:rsid w:val="00D56956"/>
    <w:rsid w:val="00D57811"/>
    <w:rsid w:val="00D654B1"/>
    <w:rsid w:val="00D65753"/>
    <w:rsid w:val="00D65B12"/>
    <w:rsid w:val="00D672AA"/>
    <w:rsid w:val="00D70E8F"/>
    <w:rsid w:val="00D71D82"/>
    <w:rsid w:val="00D76F49"/>
    <w:rsid w:val="00D77DF6"/>
    <w:rsid w:val="00D80D99"/>
    <w:rsid w:val="00D80DA6"/>
    <w:rsid w:val="00D841FD"/>
    <w:rsid w:val="00D846D8"/>
    <w:rsid w:val="00D914B0"/>
    <w:rsid w:val="00D93093"/>
    <w:rsid w:val="00D942FA"/>
    <w:rsid w:val="00D964CA"/>
    <w:rsid w:val="00D9655A"/>
    <w:rsid w:val="00DA0306"/>
    <w:rsid w:val="00DA0A15"/>
    <w:rsid w:val="00DA0C45"/>
    <w:rsid w:val="00DA3107"/>
    <w:rsid w:val="00DA38D7"/>
    <w:rsid w:val="00DB11B3"/>
    <w:rsid w:val="00DB4C26"/>
    <w:rsid w:val="00DB4DB4"/>
    <w:rsid w:val="00DB4F3C"/>
    <w:rsid w:val="00DB7859"/>
    <w:rsid w:val="00DC161B"/>
    <w:rsid w:val="00DC1AD7"/>
    <w:rsid w:val="00DC21E6"/>
    <w:rsid w:val="00DC664D"/>
    <w:rsid w:val="00DD0AA7"/>
    <w:rsid w:val="00DD2650"/>
    <w:rsid w:val="00DD2DB5"/>
    <w:rsid w:val="00DD3270"/>
    <w:rsid w:val="00DD4C84"/>
    <w:rsid w:val="00DD5591"/>
    <w:rsid w:val="00DD7C57"/>
    <w:rsid w:val="00DE39A2"/>
    <w:rsid w:val="00DE6373"/>
    <w:rsid w:val="00DE63AC"/>
    <w:rsid w:val="00DF0796"/>
    <w:rsid w:val="00DF127E"/>
    <w:rsid w:val="00DF2ECA"/>
    <w:rsid w:val="00DF446C"/>
    <w:rsid w:val="00DF768B"/>
    <w:rsid w:val="00DF77E7"/>
    <w:rsid w:val="00E045A1"/>
    <w:rsid w:val="00E05A31"/>
    <w:rsid w:val="00E07FA0"/>
    <w:rsid w:val="00E17025"/>
    <w:rsid w:val="00E17EA3"/>
    <w:rsid w:val="00E20A7B"/>
    <w:rsid w:val="00E24B4A"/>
    <w:rsid w:val="00E31592"/>
    <w:rsid w:val="00E32D31"/>
    <w:rsid w:val="00E4039F"/>
    <w:rsid w:val="00E419E0"/>
    <w:rsid w:val="00E452D2"/>
    <w:rsid w:val="00E45C42"/>
    <w:rsid w:val="00E477F2"/>
    <w:rsid w:val="00E47A8D"/>
    <w:rsid w:val="00E5125C"/>
    <w:rsid w:val="00E55EFA"/>
    <w:rsid w:val="00E60DCF"/>
    <w:rsid w:val="00E62194"/>
    <w:rsid w:val="00E66D09"/>
    <w:rsid w:val="00E71544"/>
    <w:rsid w:val="00E747E7"/>
    <w:rsid w:val="00E7494D"/>
    <w:rsid w:val="00E774D0"/>
    <w:rsid w:val="00E810BD"/>
    <w:rsid w:val="00E81975"/>
    <w:rsid w:val="00E81F69"/>
    <w:rsid w:val="00E83D09"/>
    <w:rsid w:val="00E85D49"/>
    <w:rsid w:val="00E8649E"/>
    <w:rsid w:val="00E91443"/>
    <w:rsid w:val="00E92A2D"/>
    <w:rsid w:val="00EA0149"/>
    <w:rsid w:val="00EA0AA3"/>
    <w:rsid w:val="00EA4E6D"/>
    <w:rsid w:val="00EB3315"/>
    <w:rsid w:val="00EB3BCA"/>
    <w:rsid w:val="00EB508D"/>
    <w:rsid w:val="00EC38B0"/>
    <w:rsid w:val="00EC43D8"/>
    <w:rsid w:val="00EE06C8"/>
    <w:rsid w:val="00EE0AD9"/>
    <w:rsid w:val="00EE12E6"/>
    <w:rsid w:val="00EE15A4"/>
    <w:rsid w:val="00EE2F50"/>
    <w:rsid w:val="00EF3E9B"/>
    <w:rsid w:val="00EF41F0"/>
    <w:rsid w:val="00EF6855"/>
    <w:rsid w:val="00EF77FA"/>
    <w:rsid w:val="00F02352"/>
    <w:rsid w:val="00F03DAF"/>
    <w:rsid w:val="00F04551"/>
    <w:rsid w:val="00F05A6D"/>
    <w:rsid w:val="00F10924"/>
    <w:rsid w:val="00F109D0"/>
    <w:rsid w:val="00F153E2"/>
    <w:rsid w:val="00F16D96"/>
    <w:rsid w:val="00F172AE"/>
    <w:rsid w:val="00F216C4"/>
    <w:rsid w:val="00F21C53"/>
    <w:rsid w:val="00F22DC0"/>
    <w:rsid w:val="00F277EB"/>
    <w:rsid w:val="00F27C48"/>
    <w:rsid w:val="00F3076C"/>
    <w:rsid w:val="00F32963"/>
    <w:rsid w:val="00F403B2"/>
    <w:rsid w:val="00F414BC"/>
    <w:rsid w:val="00F447B7"/>
    <w:rsid w:val="00F4480E"/>
    <w:rsid w:val="00F51931"/>
    <w:rsid w:val="00F53078"/>
    <w:rsid w:val="00F55E6A"/>
    <w:rsid w:val="00F56248"/>
    <w:rsid w:val="00F56A6E"/>
    <w:rsid w:val="00F57194"/>
    <w:rsid w:val="00F63359"/>
    <w:rsid w:val="00F633E3"/>
    <w:rsid w:val="00F66168"/>
    <w:rsid w:val="00F67E07"/>
    <w:rsid w:val="00F67F01"/>
    <w:rsid w:val="00F703EE"/>
    <w:rsid w:val="00F71631"/>
    <w:rsid w:val="00F71E09"/>
    <w:rsid w:val="00F728FD"/>
    <w:rsid w:val="00F7399A"/>
    <w:rsid w:val="00F74A11"/>
    <w:rsid w:val="00F77BE9"/>
    <w:rsid w:val="00F80E67"/>
    <w:rsid w:val="00F8219C"/>
    <w:rsid w:val="00F835A4"/>
    <w:rsid w:val="00F842A9"/>
    <w:rsid w:val="00F84912"/>
    <w:rsid w:val="00F914A2"/>
    <w:rsid w:val="00F91577"/>
    <w:rsid w:val="00F944AB"/>
    <w:rsid w:val="00F96976"/>
    <w:rsid w:val="00F96D60"/>
    <w:rsid w:val="00FA22E9"/>
    <w:rsid w:val="00FA4902"/>
    <w:rsid w:val="00FB1917"/>
    <w:rsid w:val="00FB6E20"/>
    <w:rsid w:val="00FC097B"/>
    <w:rsid w:val="00FC5177"/>
    <w:rsid w:val="00FD2559"/>
    <w:rsid w:val="00FD2E15"/>
    <w:rsid w:val="00FD3F8A"/>
    <w:rsid w:val="00FD484A"/>
    <w:rsid w:val="00FE305B"/>
    <w:rsid w:val="00FE3355"/>
    <w:rsid w:val="00FE3D27"/>
    <w:rsid w:val="00FE4F9C"/>
    <w:rsid w:val="00FF21D8"/>
    <w:rsid w:val="00FF48FD"/>
    <w:rsid w:val="00FF5757"/>
    <w:rsid w:val="00FF7D0D"/>
    <w:rsid w:val="01CF7782"/>
    <w:rsid w:val="023B6BC5"/>
    <w:rsid w:val="03936CB9"/>
    <w:rsid w:val="039B791C"/>
    <w:rsid w:val="043A35D9"/>
    <w:rsid w:val="04B95D27"/>
    <w:rsid w:val="05A86160"/>
    <w:rsid w:val="060317A8"/>
    <w:rsid w:val="06A822A4"/>
    <w:rsid w:val="082500FC"/>
    <w:rsid w:val="09CB082F"/>
    <w:rsid w:val="0A5B7E05"/>
    <w:rsid w:val="0B760B22"/>
    <w:rsid w:val="0D2F096C"/>
    <w:rsid w:val="0E122ED0"/>
    <w:rsid w:val="0E407A3D"/>
    <w:rsid w:val="0EB14497"/>
    <w:rsid w:val="0FC3006E"/>
    <w:rsid w:val="0FC337A3"/>
    <w:rsid w:val="105C6685"/>
    <w:rsid w:val="118539B9"/>
    <w:rsid w:val="120A5960"/>
    <w:rsid w:val="12382C51"/>
    <w:rsid w:val="132E255A"/>
    <w:rsid w:val="14977C8B"/>
    <w:rsid w:val="15542DDF"/>
    <w:rsid w:val="15CA5E3E"/>
    <w:rsid w:val="19457086"/>
    <w:rsid w:val="19C31523"/>
    <w:rsid w:val="1A143B2C"/>
    <w:rsid w:val="1B4F2243"/>
    <w:rsid w:val="1BF26B2B"/>
    <w:rsid w:val="1E155F45"/>
    <w:rsid w:val="1E845724"/>
    <w:rsid w:val="1E9516DF"/>
    <w:rsid w:val="1F244811"/>
    <w:rsid w:val="213056EF"/>
    <w:rsid w:val="218E68BA"/>
    <w:rsid w:val="21FE134A"/>
    <w:rsid w:val="24343749"/>
    <w:rsid w:val="24930B4D"/>
    <w:rsid w:val="24D40A88"/>
    <w:rsid w:val="25090731"/>
    <w:rsid w:val="271B299E"/>
    <w:rsid w:val="27E17743"/>
    <w:rsid w:val="28BD36C1"/>
    <w:rsid w:val="2A091BD9"/>
    <w:rsid w:val="2A2B114A"/>
    <w:rsid w:val="2A4E4E38"/>
    <w:rsid w:val="2A8935C5"/>
    <w:rsid w:val="2B98280F"/>
    <w:rsid w:val="2C844B41"/>
    <w:rsid w:val="2CF04DB6"/>
    <w:rsid w:val="2D44498E"/>
    <w:rsid w:val="2D5C5ABE"/>
    <w:rsid w:val="2DBE22D5"/>
    <w:rsid w:val="2E04418C"/>
    <w:rsid w:val="2F292845"/>
    <w:rsid w:val="30395C43"/>
    <w:rsid w:val="30D62B4C"/>
    <w:rsid w:val="31537297"/>
    <w:rsid w:val="31CD6F8B"/>
    <w:rsid w:val="31FB248A"/>
    <w:rsid w:val="33683A35"/>
    <w:rsid w:val="33AF6948"/>
    <w:rsid w:val="348F22D5"/>
    <w:rsid w:val="349124F1"/>
    <w:rsid w:val="34EE16F2"/>
    <w:rsid w:val="35C3492C"/>
    <w:rsid w:val="36CD6163"/>
    <w:rsid w:val="37621F23"/>
    <w:rsid w:val="376D0FF4"/>
    <w:rsid w:val="37CC02BF"/>
    <w:rsid w:val="394C2E8B"/>
    <w:rsid w:val="394D7CC7"/>
    <w:rsid w:val="39643CC4"/>
    <w:rsid w:val="3A4722E6"/>
    <w:rsid w:val="3A557167"/>
    <w:rsid w:val="3ABC22CE"/>
    <w:rsid w:val="3B675D5A"/>
    <w:rsid w:val="3B9D5C20"/>
    <w:rsid w:val="3C1063F2"/>
    <w:rsid w:val="3D2832C7"/>
    <w:rsid w:val="3ECF5007"/>
    <w:rsid w:val="403623E8"/>
    <w:rsid w:val="408D55B4"/>
    <w:rsid w:val="416F3F03"/>
    <w:rsid w:val="434F35D7"/>
    <w:rsid w:val="43EE7018"/>
    <w:rsid w:val="46A01EDB"/>
    <w:rsid w:val="46D83FB0"/>
    <w:rsid w:val="46EB5A91"/>
    <w:rsid w:val="4A912D42"/>
    <w:rsid w:val="4B6D116B"/>
    <w:rsid w:val="4B6F7F85"/>
    <w:rsid w:val="4B7D49B2"/>
    <w:rsid w:val="4BBE0B8F"/>
    <w:rsid w:val="4C0B44E0"/>
    <w:rsid w:val="4CC704CB"/>
    <w:rsid w:val="4E094A4F"/>
    <w:rsid w:val="4EA03605"/>
    <w:rsid w:val="51114346"/>
    <w:rsid w:val="51D3684D"/>
    <w:rsid w:val="5239151B"/>
    <w:rsid w:val="537E3E17"/>
    <w:rsid w:val="53D02297"/>
    <w:rsid w:val="541D74A6"/>
    <w:rsid w:val="54D04518"/>
    <w:rsid w:val="55095259"/>
    <w:rsid w:val="556F788D"/>
    <w:rsid w:val="57160908"/>
    <w:rsid w:val="5A971D60"/>
    <w:rsid w:val="5AF947C9"/>
    <w:rsid w:val="5B547D34"/>
    <w:rsid w:val="5BB13EF2"/>
    <w:rsid w:val="5D215911"/>
    <w:rsid w:val="5D900CE9"/>
    <w:rsid w:val="5DA86D0D"/>
    <w:rsid w:val="5E800D5D"/>
    <w:rsid w:val="5ED75B83"/>
    <w:rsid w:val="5F304531"/>
    <w:rsid w:val="603E4A2C"/>
    <w:rsid w:val="608E7761"/>
    <w:rsid w:val="60C4072A"/>
    <w:rsid w:val="619A3EE4"/>
    <w:rsid w:val="62FA03DF"/>
    <w:rsid w:val="63235455"/>
    <w:rsid w:val="648F351A"/>
    <w:rsid w:val="64B92463"/>
    <w:rsid w:val="64F1206D"/>
    <w:rsid w:val="669929BC"/>
    <w:rsid w:val="67F33708"/>
    <w:rsid w:val="6ABF7612"/>
    <w:rsid w:val="6BBF5D79"/>
    <w:rsid w:val="6D3237A9"/>
    <w:rsid w:val="6E142EAD"/>
    <w:rsid w:val="71E41203"/>
    <w:rsid w:val="72C94904"/>
    <w:rsid w:val="73A56E44"/>
    <w:rsid w:val="741144D9"/>
    <w:rsid w:val="741B5358"/>
    <w:rsid w:val="74AC4202"/>
    <w:rsid w:val="74D80A35"/>
    <w:rsid w:val="752244C4"/>
    <w:rsid w:val="75F7788F"/>
    <w:rsid w:val="76397D18"/>
    <w:rsid w:val="764C17F9"/>
    <w:rsid w:val="76E23F0B"/>
    <w:rsid w:val="774B7D02"/>
    <w:rsid w:val="7D3C4044"/>
    <w:rsid w:val="7F1857D5"/>
    <w:rsid w:val="7F3B68AE"/>
    <w:rsid w:val="7FA53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9"/>
    <w:pPr>
      <w:keepNext/>
      <w:keepLines/>
      <w:spacing w:before="100" w:after="90"/>
      <w:jc w:val="center"/>
      <w:outlineLvl w:val="0"/>
    </w:pPr>
    <w:rPr>
      <w:b/>
      <w:bCs/>
      <w:kern w:val="44"/>
      <w:sz w:val="36"/>
      <w:szCs w:val="44"/>
    </w:rPr>
  </w:style>
  <w:style w:type="paragraph" w:styleId="3">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link w:val="29"/>
    <w:qFormat/>
    <w:uiPriority w:val="0"/>
    <w:pPr>
      <w:keepNext/>
      <w:keepLines/>
      <w:spacing w:before="160" w:after="170"/>
      <w:ind w:firstLine="200" w:firstLineChars="200"/>
      <w:outlineLvl w:val="3"/>
    </w:pPr>
    <w:rPr>
      <w:rFonts w:ascii="Cambria" w:hAnsi="Cambria" w:eastAsia="宋体" w:cs="Times New Roman"/>
      <w:b/>
      <w:bCs/>
      <w:sz w:val="24"/>
      <w:szCs w:val="28"/>
    </w:rPr>
  </w:style>
  <w:style w:type="paragraph" w:styleId="5">
    <w:name w:val="heading 5"/>
    <w:basedOn w:val="1"/>
    <w:next w:val="1"/>
    <w:link w:val="31"/>
    <w:unhideWhenUsed/>
    <w:qFormat/>
    <w:uiPriority w:val="9"/>
    <w:pPr>
      <w:keepNext/>
      <w:keepLines/>
      <w:spacing w:before="160" w:after="170"/>
      <w:ind w:firstLine="200" w:firstLineChars="200"/>
      <w:outlineLvl w:val="4"/>
    </w:pPr>
    <w:rPr>
      <w:b/>
      <w:bCs/>
      <w:sz w:val="24"/>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link w:val="27"/>
    <w:qFormat/>
    <w:uiPriority w:val="0"/>
    <w:pPr>
      <w:ind w:firstLine="420" w:firstLineChars="200"/>
    </w:pPr>
    <w:rPr>
      <w:rFonts w:ascii="Times New Roman" w:hAnsi="Times New Roman" w:eastAsia="宋体" w:cs="Times New Roman"/>
      <w:szCs w:val="24"/>
    </w:rPr>
  </w:style>
  <w:style w:type="paragraph" w:styleId="7">
    <w:name w:val="annotation text"/>
    <w:basedOn w:val="1"/>
    <w:link w:val="39"/>
    <w:semiHidden/>
    <w:unhideWhenUsed/>
    <w:qFormat/>
    <w:uiPriority w:val="99"/>
    <w:pPr>
      <w:jc w:val="left"/>
    </w:pPr>
  </w:style>
  <w:style w:type="paragraph" w:styleId="8">
    <w:name w:val="Body Text"/>
    <w:basedOn w:val="1"/>
    <w:qFormat/>
    <w:uiPriority w:val="0"/>
    <w:pPr>
      <w:spacing w:after="120"/>
    </w:pPr>
  </w:style>
  <w:style w:type="paragraph" w:styleId="9">
    <w:name w:val="Body Text Indent"/>
    <w:basedOn w:val="1"/>
    <w:semiHidden/>
    <w:unhideWhenUsed/>
    <w:qFormat/>
    <w:uiPriority w:val="99"/>
    <w:pPr>
      <w:spacing w:after="120"/>
      <w:ind w:left="420" w:leftChars="200"/>
    </w:pPr>
  </w:style>
  <w:style w:type="paragraph" w:styleId="10">
    <w:name w:val="Plain Text"/>
    <w:basedOn w:val="1"/>
    <w:link w:val="37"/>
    <w:qFormat/>
    <w:uiPriority w:val="99"/>
    <w:rPr>
      <w:rFonts w:ascii="宋体" w:hAnsi="Courier New" w:eastAsia="宋体" w:cs="Times New Roman"/>
      <w:kern w:val="10"/>
      <w:szCs w:val="21"/>
    </w:rPr>
  </w:style>
  <w:style w:type="paragraph" w:styleId="11">
    <w:name w:val="Date"/>
    <w:basedOn w:val="1"/>
    <w:next w:val="1"/>
    <w:link w:val="41"/>
    <w:semiHidden/>
    <w:unhideWhenUsed/>
    <w:qFormat/>
    <w:uiPriority w:val="99"/>
    <w:pPr>
      <w:ind w:left="100" w:leftChars="2500"/>
    </w:pPr>
  </w:style>
  <w:style w:type="paragraph" w:styleId="12">
    <w:name w:val="Balloon Text"/>
    <w:basedOn w:val="1"/>
    <w:link w:val="33"/>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Normal (Web)"/>
    <w:basedOn w:val="1"/>
    <w:unhideWhenUsed/>
    <w:qFormat/>
    <w:uiPriority w:val="0"/>
    <w:pPr>
      <w:spacing w:beforeAutospacing="1" w:afterAutospacing="1"/>
      <w:jc w:val="left"/>
    </w:pPr>
    <w:rPr>
      <w:rFonts w:cs="Times New Roman"/>
      <w:kern w:val="0"/>
      <w:sz w:val="24"/>
    </w:rPr>
  </w:style>
  <w:style w:type="paragraph" w:styleId="18">
    <w:name w:val="Body Text First Indent 2"/>
    <w:basedOn w:val="9"/>
    <w:qFormat/>
    <w:uiPriority w:val="0"/>
    <w:pPr>
      <w:spacing w:after="0"/>
      <w:ind w:left="200" w:firstLine="200" w:firstLineChars="200"/>
    </w:pPr>
    <w:rPr>
      <w:rFonts w:ascii="Times New Roman" w:hAnsi="Times New Roman" w:eastAsia="宋体" w:cs="Times New Roman"/>
      <w:szCs w:val="24"/>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qFormat/>
    <w:uiPriority w:val="99"/>
    <w:rPr>
      <w:color w:val="0000FF"/>
      <w:u w:val="single"/>
    </w:rPr>
  </w:style>
  <w:style w:type="character" w:styleId="23">
    <w:name w:val="annotation reference"/>
    <w:basedOn w:val="21"/>
    <w:semiHidden/>
    <w:unhideWhenUsed/>
    <w:qFormat/>
    <w:uiPriority w:val="99"/>
    <w:rPr>
      <w:sz w:val="21"/>
      <w:szCs w:val="21"/>
    </w:rPr>
  </w:style>
  <w:style w:type="character" w:customStyle="1" w:styleId="24">
    <w:name w:val="标题 2 字符"/>
    <w:basedOn w:val="21"/>
    <w:link w:val="3"/>
    <w:qFormat/>
    <w:uiPriority w:val="9"/>
    <w:rPr>
      <w:rFonts w:asciiTheme="majorHAnsi" w:hAnsiTheme="majorHAnsi" w:eastAsiaTheme="majorEastAsia" w:cstheme="majorBidi"/>
      <w:b/>
      <w:bCs/>
      <w:kern w:val="2"/>
      <w:sz w:val="32"/>
      <w:szCs w:val="32"/>
    </w:rPr>
  </w:style>
  <w:style w:type="character" w:customStyle="1" w:styleId="25">
    <w:name w:val="页眉 字符"/>
    <w:basedOn w:val="21"/>
    <w:link w:val="14"/>
    <w:qFormat/>
    <w:uiPriority w:val="99"/>
    <w:rPr>
      <w:sz w:val="18"/>
      <w:szCs w:val="18"/>
    </w:rPr>
  </w:style>
  <w:style w:type="character" w:customStyle="1" w:styleId="26">
    <w:name w:val="页脚 字符"/>
    <w:basedOn w:val="21"/>
    <w:link w:val="13"/>
    <w:qFormat/>
    <w:uiPriority w:val="99"/>
    <w:rPr>
      <w:sz w:val="18"/>
      <w:szCs w:val="18"/>
    </w:rPr>
  </w:style>
  <w:style w:type="character" w:customStyle="1" w:styleId="27">
    <w:name w:val="正文缩进 字符"/>
    <w:link w:val="6"/>
    <w:qFormat/>
    <w:uiPriority w:val="0"/>
    <w:rPr>
      <w:rFonts w:ascii="Times New Roman" w:hAnsi="Times New Roman" w:eastAsia="宋体" w:cs="Times New Roman"/>
      <w:szCs w:val="24"/>
    </w:rPr>
  </w:style>
  <w:style w:type="table" w:customStyle="1" w:styleId="28">
    <w:name w:val="网格型1"/>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
    <w:name w:val="标题 4 字符"/>
    <w:basedOn w:val="21"/>
    <w:link w:val="4"/>
    <w:qFormat/>
    <w:uiPriority w:val="0"/>
    <w:rPr>
      <w:rFonts w:ascii="Cambria" w:hAnsi="Cambria" w:eastAsia="宋体" w:cs="Times New Roman"/>
      <w:b/>
      <w:bCs/>
      <w:sz w:val="24"/>
      <w:szCs w:val="28"/>
    </w:rPr>
  </w:style>
  <w:style w:type="character" w:customStyle="1" w:styleId="30">
    <w:name w:val="标题 1 字符"/>
    <w:basedOn w:val="21"/>
    <w:link w:val="2"/>
    <w:qFormat/>
    <w:uiPriority w:val="9"/>
    <w:rPr>
      <w:b/>
      <w:bCs/>
      <w:kern w:val="44"/>
      <w:sz w:val="36"/>
      <w:szCs w:val="44"/>
    </w:rPr>
  </w:style>
  <w:style w:type="character" w:customStyle="1" w:styleId="31">
    <w:name w:val="标题 5 字符"/>
    <w:basedOn w:val="21"/>
    <w:link w:val="5"/>
    <w:qFormat/>
    <w:uiPriority w:val="9"/>
    <w:rPr>
      <w:b/>
      <w:bCs/>
      <w:sz w:val="24"/>
      <w:szCs w:val="28"/>
    </w:rPr>
  </w:style>
  <w:style w:type="paragraph" w:customStyle="1" w:styleId="3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33">
    <w:name w:val="批注框文本 字符"/>
    <w:basedOn w:val="21"/>
    <w:link w:val="12"/>
    <w:semiHidden/>
    <w:qFormat/>
    <w:uiPriority w:val="99"/>
    <w:rPr>
      <w:rFonts w:asciiTheme="minorHAnsi" w:hAnsiTheme="minorHAnsi" w:eastAsiaTheme="minorEastAsia" w:cstheme="minorBidi"/>
      <w:kern w:val="2"/>
      <w:sz w:val="18"/>
      <w:szCs w:val="18"/>
    </w:rPr>
  </w:style>
  <w:style w:type="paragraph" w:styleId="34">
    <w:name w:val="List Paragraph"/>
    <w:basedOn w:val="1"/>
    <w:unhideWhenUsed/>
    <w:qFormat/>
    <w:uiPriority w:val="99"/>
    <w:pPr>
      <w:ind w:firstLine="420" w:firstLineChars="200"/>
    </w:pPr>
  </w:style>
  <w:style w:type="table" w:customStyle="1" w:styleId="35">
    <w:name w:val="网格型2"/>
    <w:basedOn w:val="1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6">
    <w:name w:val="纯文本 字符"/>
    <w:basedOn w:val="21"/>
    <w:qFormat/>
    <w:uiPriority w:val="99"/>
    <w:rPr>
      <w:rFonts w:hAnsi="Courier New" w:cs="Courier New" w:asciiTheme="minorEastAsia" w:eastAsiaTheme="minorEastAsia"/>
      <w:kern w:val="2"/>
      <w:sz w:val="21"/>
      <w:szCs w:val="22"/>
    </w:rPr>
  </w:style>
  <w:style w:type="character" w:customStyle="1" w:styleId="37">
    <w:name w:val="纯文本 字符1"/>
    <w:link w:val="10"/>
    <w:qFormat/>
    <w:uiPriority w:val="0"/>
    <w:rPr>
      <w:rFonts w:ascii="宋体" w:hAnsi="Courier New"/>
      <w:kern w:val="10"/>
      <w:sz w:val="21"/>
      <w:szCs w:val="21"/>
    </w:rPr>
  </w:style>
  <w:style w:type="paragraph" w:customStyle="1" w:styleId="3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9">
    <w:name w:val="批注文字 字符"/>
    <w:basedOn w:val="21"/>
    <w:link w:val="7"/>
    <w:semiHidden/>
    <w:qFormat/>
    <w:uiPriority w:val="99"/>
    <w:rPr>
      <w:rFonts w:asciiTheme="minorHAnsi" w:hAnsiTheme="minorHAnsi" w:eastAsiaTheme="minorEastAsia" w:cstheme="minorBidi"/>
      <w:kern w:val="2"/>
      <w:sz w:val="21"/>
      <w:szCs w:val="22"/>
    </w:rPr>
  </w:style>
  <w:style w:type="paragraph" w:customStyle="1" w:styleId="40">
    <w:name w:val="_Style 35"/>
    <w:basedOn w:val="1"/>
    <w:next w:val="34"/>
    <w:qFormat/>
    <w:uiPriority w:val="34"/>
    <w:pPr>
      <w:ind w:firstLine="420" w:firstLineChars="200"/>
    </w:pPr>
    <w:rPr>
      <w:rFonts w:ascii="Calibri" w:hAnsi="Calibri" w:eastAsia="宋体" w:cs="Times New Roman"/>
      <w:szCs w:val="21"/>
    </w:rPr>
  </w:style>
  <w:style w:type="character" w:customStyle="1" w:styleId="41">
    <w:name w:val="日期 字符"/>
    <w:basedOn w:val="21"/>
    <w:link w:val="11"/>
    <w:semiHidden/>
    <w:qFormat/>
    <w:uiPriority w:val="99"/>
    <w:rPr>
      <w:kern w:val="2"/>
      <w:sz w:val="21"/>
      <w:szCs w:val="22"/>
    </w:rPr>
  </w:style>
  <w:style w:type="character" w:customStyle="1" w:styleId="42">
    <w:name w:val="font11"/>
    <w:basedOn w:val="21"/>
    <w:qFormat/>
    <w:uiPriority w:val="0"/>
    <w:rPr>
      <w:rFonts w:hint="eastAsia" w:ascii="宋体" w:hAnsi="宋体" w:eastAsia="宋体" w:cs="宋体"/>
      <w:color w:val="000000"/>
      <w:sz w:val="22"/>
      <w:szCs w:val="22"/>
      <w:u w:val="none"/>
    </w:rPr>
  </w:style>
  <w:style w:type="character" w:customStyle="1" w:styleId="43">
    <w:name w:val="font41"/>
    <w:basedOn w:val="21"/>
    <w:qFormat/>
    <w:uiPriority w:val="0"/>
    <w:rPr>
      <w:rFonts w:ascii="Calibri" w:hAnsi="Calibri" w:cs="Calibri"/>
      <w:color w:val="000000"/>
      <w:sz w:val="22"/>
      <w:szCs w:val="22"/>
      <w:u w:val="none"/>
    </w:rPr>
  </w:style>
  <w:style w:type="character" w:customStyle="1" w:styleId="44">
    <w:name w:val="font51"/>
    <w:basedOn w:val="21"/>
    <w:qFormat/>
    <w:uiPriority w:val="0"/>
    <w:rPr>
      <w:rFonts w:ascii="Segoe UI Symbol" w:hAnsi="Segoe UI Symbol" w:eastAsia="Segoe UI Symbol" w:cs="Segoe UI Symbol"/>
      <w:color w:val="000000"/>
      <w:sz w:val="22"/>
      <w:szCs w:val="22"/>
      <w:u w:val="none"/>
    </w:rPr>
  </w:style>
  <w:style w:type="character" w:customStyle="1" w:styleId="45">
    <w:name w:val="font61"/>
    <w:basedOn w:val="21"/>
    <w:qFormat/>
    <w:uiPriority w:val="0"/>
    <w:rPr>
      <w:rFonts w:hint="default" w:ascii="Calibri" w:hAnsi="Calibri" w:cs="Calibri"/>
      <w:color w:val="000000"/>
      <w:sz w:val="22"/>
      <w:szCs w:val="22"/>
      <w:u w:val="none"/>
    </w:rPr>
  </w:style>
  <w:style w:type="character" w:customStyle="1" w:styleId="46">
    <w:name w:val="font71"/>
    <w:basedOn w:val="21"/>
    <w:qFormat/>
    <w:uiPriority w:val="0"/>
    <w:rPr>
      <w:rFonts w:hint="eastAsia" w:ascii="宋体" w:hAnsi="宋体" w:eastAsia="宋体" w:cs="宋体"/>
      <w:color w:val="000000"/>
      <w:sz w:val="22"/>
      <w:szCs w:val="22"/>
      <w:u w:val="none"/>
    </w:rPr>
  </w:style>
  <w:style w:type="character" w:customStyle="1" w:styleId="47">
    <w:name w:val="font01"/>
    <w:basedOn w:val="21"/>
    <w:qFormat/>
    <w:uiPriority w:val="0"/>
    <w:rPr>
      <w:rFonts w:hint="eastAsia" w:ascii="宋体" w:hAnsi="宋体" w:eastAsia="宋体" w:cs="宋体"/>
      <w:color w:val="000000"/>
      <w:sz w:val="22"/>
      <w:szCs w:val="22"/>
      <w:u w:val="none"/>
    </w:rPr>
  </w:style>
  <w:style w:type="paragraph" w:customStyle="1" w:styleId="48">
    <w:name w:val="null3"/>
    <w:hidden/>
    <w:qFormat/>
    <w:uiPriority w:val="0"/>
    <w:rPr>
      <w:rFonts w:hint="eastAsia" w:asciiTheme="minorHAnsi" w:hAnsiTheme="minorHAnsi" w:eastAsiaTheme="minorEastAsia" w:cstheme="minorBidi"/>
      <w:lang w:val="en-US" w:eastAsia="zh-Hans" w:bidi="ar-SA"/>
    </w:rPr>
  </w:style>
  <w:style w:type="character" w:customStyle="1" w:styleId="49">
    <w:name w:val="font21"/>
    <w:basedOn w:val="21"/>
    <w:qFormat/>
    <w:uiPriority w:val="0"/>
    <w:rPr>
      <w:rFonts w:hint="eastAsia" w:ascii="宋体" w:hAnsi="宋体" w:eastAsia="宋体" w:cs="宋体"/>
      <w:color w:val="000000"/>
      <w:sz w:val="21"/>
      <w:szCs w:val="21"/>
      <w:u w:val="none"/>
    </w:rPr>
  </w:style>
  <w:style w:type="character" w:customStyle="1" w:styleId="50">
    <w:name w:val="font31"/>
    <w:basedOn w:val="21"/>
    <w:qFormat/>
    <w:uiPriority w:val="0"/>
    <w:rPr>
      <w:rFonts w:ascii="Calibri" w:hAnsi="Calibri" w:cs="Calibri"/>
      <w:color w:val="000000"/>
      <w:sz w:val="21"/>
      <w:szCs w:val="21"/>
      <w:u w:val="none"/>
    </w:rPr>
  </w:style>
  <w:style w:type="paragraph" w:customStyle="1" w:styleId="51">
    <w:name w:val="列出段落1"/>
    <w:basedOn w:val="1"/>
    <w:qFormat/>
    <w:uiPriority w:val="34"/>
    <w:pPr>
      <w:ind w:firstLine="420" w:firstLineChars="200"/>
    </w:pPr>
    <w:rPr>
      <w:rFonts w:ascii="Times New Roman" w:hAnsi="Times New Roman" w:eastAsia="宋体" w:cs="Calibri"/>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0B3D27-3B60-4239-9D2E-A5549BD77CA1}">
  <ds:schemaRefs/>
</ds:datastoreItem>
</file>

<file path=docProps/app.xml><?xml version="1.0" encoding="utf-8"?>
<Properties xmlns="http://schemas.openxmlformats.org/officeDocument/2006/extended-properties" xmlns:vt="http://schemas.openxmlformats.org/officeDocument/2006/docPropsVTypes">
  <Template>Normal</Template>
  <Pages>38</Pages>
  <Words>20262</Words>
  <Characters>20866</Characters>
  <Lines>1</Lines>
  <Paragraphs>1</Paragraphs>
  <TotalTime>0</TotalTime>
  <ScaleCrop>false</ScaleCrop>
  <LinksUpToDate>false</LinksUpToDate>
  <CharactersWithSpaces>21167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2021-06-06T03:46:00Z</dcterms:created>
  <dc:creator>安安的电脑</dc:creator>
  <cp:lastModifiedBy>姜宇</cp:lastModifiedBy>
  <cp:lastPrinted>2025-04-11T02:25:00Z</cp:lastPrinted>
  <dcterms:modified xsi:type="dcterms:W3CDTF">2026-09-14T08:18:09Z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2052-12.1.0.28032</vt:lpwstr>
  </property>
  <property fmtid="{D5CDD505-2E9C-101B-9397-08002B2CF9AE}" pid="3" name="ICV">
    <vt:lpwstr>6C0A5BB9CAAE439A83EB62A6DD555EF8_13</vt:lpwstr>
  </property>
  <property fmtid="{D5CDD505-2E9C-101B-9397-08002B2CF9AE}" pid="4" name="KSOTemplateDocerSaveRecord">
    <vt:lpwstr>eyJoZGlkIjoiZDYxNzQwMWY4MzNlNjA1OTlmNzkxYjE4MGVmNTM1NDAiLCJ1c2VySWQiOiIxMzc0NTExODkxNDUifQ==</vt:lpwstr>
  </property>
</Properties>
</file>