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69625">
      <w:pPr>
        <w:spacing w:line="360" w:lineRule="auto"/>
        <w:ind w:firstLine="420" w:firstLineChars="200"/>
        <w:rPr>
          <w:rFonts w:hint="eastAsia" w:eastAsiaTheme="minorEastAsia"/>
          <w:lang w:val="en-US" w:eastAsia="zh-CN"/>
        </w:rPr>
      </w:pPr>
      <w:r>
        <w:rPr>
          <w:rFonts w:hint="eastAsia"/>
          <w:lang w:val="en-US" w:eastAsia="zh-CN"/>
        </w:rPr>
        <w:t xml:space="preserve"> </w:t>
      </w:r>
    </w:p>
    <w:p w14:paraId="131760A5">
      <w:pPr>
        <w:spacing w:line="360" w:lineRule="auto"/>
        <w:ind w:firstLine="420" w:firstLineChars="200"/>
      </w:pPr>
    </w:p>
    <w:p w14:paraId="0DC028DF">
      <w:pPr>
        <w:spacing w:line="360" w:lineRule="auto"/>
        <w:ind w:firstLine="420" w:firstLineChars="200"/>
      </w:pPr>
    </w:p>
    <w:p w14:paraId="0BEEE4F5">
      <w:pPr>
        <w:spacing w:line="360" w:lineRule="auto"/>
      </w:pPr>
    </w:p>
    <w:p w14:paraId="3B68E343">
      <w:pPr>
        <w:jc w:val="center"/>
        <w:rPr>
          <w:b/>
          <w:sz w:val="44"/>
          <w:szCs w:val="44"/>
        </w:rPr>
      </w:pPr>
      <w:r>
        <w:rPr>
          <w:rFonts w:hint="eastAsia"/>
          <w:b/>
          <w:sz w:val="44"/>
          <w:szCs w:val="44"/>
        </w:rPr>
        <w:t>购买开展公共场所健康危害因素国家专项所需仪器项目</w:t>
      </w:r>
    </w:p>
    <w:p w14:paraId="7F5761A7">
      <w:pPr>
        <w:jc w:val="center"/>
        <w:rPr>
          <w:b/>
          <w:sz w:val="44"/>
          <w:szCs w:val="44"/>
        </w:rPr>
      </w:pPr>
    </w:p>
    <w:p w14:paraId="487CCE29">
      <w:pPr>
        <w:jc w:val="center"/>
        <w:rPr>
          <w:rFonts w:hint="default" w:eastAsiaTheme="minorEastAsia"/>
          <w:lang w:val="en-US" w:eastAsia="zh-CN"/>
        </w:rPr>
      </w:pPr>
      <w:r>
        <w:rPr>
          <w:rFonts w:hint="eastAsia"/>
          <w:b/>
          <w:sz w:val="30"/>
          <w:szCs w:val="30"/>
        </w:rPr>
        <w:t>项目编号：</w:t>
      </w:r>
      <w:r>
        <w:rPr>
          <w:b/>
          <w:sz w:val="30"/>
          <w:szCs w:val="30"/>
        </w:rPr>
        <w:t>BACDCCG202</w:t>
      </w:r>
      <w:r>
        <w:rPr>
          <w:rFonts w:hint="eastAsia"/>
          <w:b/>
          <w:sz w:val="30"/>
          <w:szCs w:val="30"/>
          <w:lang w:val="en-US" w:eastAsia="zh-CN"/>
        </w:rPr>
        <w:t>6002</w:t>
      </w:r>
    </w:p>
    <w:p w14:paraId="5052C718">
      <w:pPr>
        <w:spacing w:line="360" w:lineRule="auto"/>
        <w:ind w:firstLine="420" w:firstLineChars="200"/>
      </w:pPr>
    </w:p>
    <w:p w14:paraId="3892F746">
      <w:pPr>
        <w:spacing w:line="360" w:lineRule="auto"/>
        <w:ind w:firstLine="420" w:firstLineChars="200"/>
      </w:pPr>
    </w:p>
    <w:p w14:paraId="52A68AC8">
      <w:pPr>
        <w:spacing w:line="360" w:lineRule="auto"/>
        <w:ind w:firstLine="420" w:firstLineChars="200"/>
      </w:pPr>
    </w:p>
    <w:p w14:paraId="53F1FF5D">
      <w:pPr>
        <w:spacing w:line="360" w:lineRule="auto"/>
        <w:ind w:firstLine="420" w:firstLineChars="200"/>
      </w:pPr>
    </w:p>
    <w:p w14:paraId="194E31C9">
      <w:pPr>
        <w:spacing w:line="360" w:lineRule="auto"/>
        <w:ind w:firstLine="420" w:firstLineChars="200"/>
      </w:pPr>
    </w:p>
    <w:p w14:paraId="14C5305F">
      <w:pPr>
        <w:spacing w:line="360" w:lineRule="auto"/>
        <w:jc w:val="center"/>
        <w:rPr>
          <w:b/>
          <w:sz w:val="72"/>
          <w:szCs w:val="72"/>
        </w:rPr>
      </w:pPr>
      <w:r>
        <w:rPr>
          <w:rFonts w:hint="eastAsia"/>
          <w:b/>
          <w:sz w:val="72"/>
          <w:szCs w:val="72"/>
        </w:rPr>
        <w:t>招标文件</w:t>
      </w:r>
    </w:p>
    <w:p w14:paraId="2819DC55">
      <w:pPr>
        <w:spacing w:line="360" w:lineRule="auto"/>
        <w:ind w:firstLine="420" w:firstLineChars="200"/>
      </w:pPr>
    </w:p>
    <w:p w14:paraId="099D246E">
      <w:pPr>
        <w:spacing w:line="360" w:lineRule="auto"/>
        <w:ind w:firstLine="420" w:firstLineChars="200"/>
      </w:pPr>
    </w:p>
    <w:p w14:paraId="589C18BC">
      <w:pPr>
        <w:spacing w:line="360" w:lineRule="auto"/>
        <w:ind w:firstLine="420" w:firstLineChars="200"/>
      </w:pPr>
    </w:p>
    <w:p w14:paraId="5A9EA4CA">
      <w:pPr>
        <w:spacing w:line="360" w:lineRule="auto"/>
        <w:ind w:firstLine="420" w:firstLineChars="200"/>
      </w:pPr>
    </w:p>
    <w:p w14:paraId="0512425E">
      <w:pPr>
        <w:spacing w:line="360" w:lineRule="auto"/>
        <w:ind w:firstLine="420" w:firstLineChars="200"/>
      </w:pPr>
    </w:p>
    <w:p w14:paraId="6E903514">
      <w:pPr>
        <w:spacing w:line="360" w:lineRule="auto"/>
      </w:pPr>
    </w:p>
    <w:p w14:paraId="5ED4B8CC">
      <w:pPr>
        <w:spacing w:line="360" w:lineRule="auto"/>
      </w:pPr>
    </w:p>
    <w:p w14:paraId="15EB4026">
      <w:pPr>
        <w:spacing w:line="360" w:lineRule="auto"/>
        <w:ind w:firstLine="420" w:firstLineChars="200"/>
      </w:pPr>
    </w:p>
    <w:p w14:paraId="2975D251">
      <w:pPr>
        <w:spacing w:line="360" w:lineRule="auto"/>
        <w:jc w:val="center"/>
        <w:rPr>
          <w:rFonts w:hint="eastAsia"/>
          <w:b/>
          <w:sz w:val="30"/>
          <w:szCs w:val="30"/>
        </w:rPr>
      </w:pPr>
      <w:r>
        <w:rPr>
          <w:rFonts w:hint="eastAsia"/>
          <w:b/>
          <w:sz w:val="30"/>
          <w:szCs w:val="30"/>
        </w:rPr>
        <w:t>深圳市宝安区疾病预防控制中心</w:t>
      </w:r>
    </w:p>
    <w:p w14:paraId="780F4D7E">
      <w:pPr>
        <w:spacing w:line="360" w:lineRule="auto"/>
        <w:jc w:val="center"/>
        <w:rPr>
          <w:b/>
          <w:sz w:val="30"/>
          <w:szCs w:val="30"/>
        </w:rPr>
      </w:pPr>
      <w:r>
        <w:rPr>
          <w:rFonts w:hint="eastAsia"/>
          <w:b/>
          <w:sz w:val="30"/>
          <w:szCs w:val="30"/>
          <w:lang w:eastAsia="zh-CN"/>
        </w:rPr>
        <w:t>（</w:t>
      </w:r>
      <w:r>
        <w:rPr>
          <w:rFonts w:hint="eastAsia"/>
          <w:b/>
          <w:sz w:val="30"/>
          <w:szCs w:val="30"/>
          <w:lang w:val="en-US" w:eastAsia="zh-CN"/>
        </w:rPr>
        <w:t>深圳市宝安区卫生监督所</w:t>
      </w:r>
      <w:r>
        <w:rPr>
          <w:rFonts w:hint="eastAsia"/>
          <w:b/>
          <w:sz w:val="30"/>
          <w:szCs w:val="30"/>
          <w:lang w:eastAsia="zh-CN"/>
        </w:rPr>
        <w:t>）</w:t>
      </w:r>
    </w:p>
    <w:p w14:paraId="4E7C5FDB">
      <w:pPr>
        <w:spacing w:line="360" w:lineRule="auto"/>
        <w:jc w:val="center"/>
        <w:rPr>
          <w:b/>
          <w:sz w:val="30"/>
          <w:szCs w:val="30"/>
        </w:rPr>
      </w:pPr>
      <w:r>
        <w:rPr>
          <w:rFonts w:hint="eastAsia"/>
          <w:b/>
          <w:sz w:val="30"/>
          <w:szCs w:val="30"/>
        </w:rPr>
        <w:t>二〇二</w:t>
      </w:r>
      <w:r>
        <w:rPr>
          <w:rFonts w:hint="eastAsia"/>
          <w:b/>
          <w:sz w:val="30"/>
          <w:szCs w:val="30"/>
          <w:lang w:val="en-US" w:eastAsia="zh-CN"/>
        </w:rPr>
        <w:t>六</w:t>
      </w:r>
      <w:r>
        <w:rPr>
          <w:rFonts w:hint="eastAsia"/>
          <w:b/>
          <w:sz w:val="30"/>
          <w:szCs w:val="30"/>
        </w:rPr>
        <w:t>年</w:t>
      </w:r>
      <w:r>
        <w:rPr>
          <w:rFonts w:hint="eastAsia"/>
          <w:b/>
          <w:sz w:val="30"/>
          <w:szCs w:val="30"/>
          <w:lang w:val="en-US" w:eastAsia="zh-CN"/>
        </w:rPr>
        <w:t>九</w:t>
      </w:r>
      <w:r>
        <w:rPr>
          <w:rFonts w:hint="eastAsia"/>
          <w:b/>
          <w:sz w:val="30"/>
          <w:szCs w:val="30"/>
        </w:rPr>
        <w:t>月</w:t>
      </w:r>
    </w:p>
    <w:p w14:paraId="2C0999F4">
      <w:pPr>
        <w:spacing w:line="360" w:lineRule="auto"/>
        <w:ind w:firstLine="420" w:firstLineChars="200"/>
      </w:pPr>
    </w:p>
    <w:p w14:paraId="031C4C3E">
      <w:pPr>
        <w:spacing w:line="360" w:lineRule="auto"/>
        <w:ind w:firstLine="420" w:firstLineChars="200"/>
        <w:sectPr>
          <w:headerReference r:id="rId3" w:type="default"/>
          <w:footerReference r:id="rId4" w:type="default"/>
          <w:pgSz w:w="11906" w:h="16838"/>
          <w:pgMar w:top="1418" w:right="1474" w:bottom="1418" w:left="1474" w:header="851" w:footer="992" w:gutter="0"/>
          <w:cols w:space="425" w:num="1"/>
          <w:docGrid w:type="lines" w:linePitch="312" w:charSpace="0"/>
        </w:sectPr>
      </w:pPr>
    </w:p>
    <w:p w14:paraId="3822372A">
      <w:pPr>
        <w:pStyle w:val="2"/>
      </w:pPr>
      <w:bookmarkStart w:id="0" w:name="_Toc61539108"/>
      <w:bookmarkStart w:id="1" w:name="_Toc86939328"/>
      <w:r>
        <w:rPr>
          <w:rFonts w:hint="eastAsia"/>
        </w:rPr>
        <w:t xml:space="preserve">第一章  </w:t>
      </w:r>
      <w:bookmarkEnd w:id="0"/>
      <w:r>
        <w:rPr>
          <w:rFonts w:hint="eastAsia"/>
        </w:rPr>
        <w:t>招标公告</w:t>
      </w:r>
      <w:bookmarkEnd w:id="1"/>
    </w:p>
    <w:p w14:paraId="50498E3F">
      <w:pPr>
        <w:spacing w:line="360" w:lineRule="auto"/>
        <w:ind w:firstLine="420" w:firstLineChars="200"/>
      </w:pPr>
      <w:bookmarkStart w:id="2" w:name="_Hlk69568487"/>
      <w:r>
        <w:rPr>
          <w:rFonts w:hint="eastAsia"/>
        </w:rPr>
        <w:t>深圳市宝安区疾病预防控制中心</w:t>
      </w:r>
      <w:bookmarkEnd w:id="2"/>
      <w:r>
        <w:rPr>
          <w:rFonts w:hint="eastAsia"/>
          <w:color w:val="000000" w:themeColor="text1"/>
          <w14:textFill>
            <w14:solidFill>
              <w14:schemeClr w14:val="tx1"/>
            </w14:solidFill>
          </w14:textFill>
        </w:rPr>
        <w:t>就</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购买开展公共场所健康危害因素国家专项所需仪器项目</w:t>
      </w:r>
      <w:r>
        <w:rPr>
          <w:rFonts w:hint="eastAsia"/>
          <w:color w:val="000000" w:themeColor="text1"/>
          <w:lang w:eastAsia="zh-CN"/>
          <w14:textFill>
            <w14:solidFill>
              <w14:schemeClr w14:val="tx1"/>
            </w14:solidFill>
          </w14:textFill>
        </w:rPr>
        <w:t>》</w:t>
      </w:r>
      <w:r>
        <w:rPr>
          <w:rFonts w:hint="eastAsia"/>
        </w:rPr>
        <w:t>接受以下投标人提交密封响应文件。有关事项如下：</w:t>
      </w:r>
    </w:p>
    <w:p w14:paraId="2E44EA54">
      <w:pPr>
        <w:pStyle w:val="5"/>
        <w:ind w:firstLine="482"/>
      </w:pPr>
      <w:bookmarkStart w:id="3" w:name="_Hlk69568538"/>
      <w:r>
        <w:rPr>
          <w:rFonts w:hint="eastAsia"/>
        </w:rPr>
        <w:t>一、项目基本信息</w:t>
      </w:r>
    </w:p>
    <w:p w14:paraId="70E7D994">
      <w:pPr>
        <w:ind w:firstLine="420" w:firstLineChars="200"/>
        <w:jc w:val="both"/>
        <w:rPr>
          <w:color w:val="000000" w:themeColor="text1"/>
          <w14:textFill>
            <w14:solidFill>
              <w14:schemeClr w14:val="tx1"/>
            </w14:solidFill>
          </w14:textFill>
        </w:rPr>
      </w:pPr>
      <w:r>
        <w:rPr>
          <w:rFonts w:hint="eastAsia"/>
        </w:rPr>
        <w:t>1、项</w:t>
      </w:r>
      <w:r>
        <w:rPr>
          <w:rFonts w:hint="eastAsia"/>
          <w:color w:val="000000" w:themeColor="text1"/>
          <w14:textFill>
            <w14:solidFill>
              <w14:schemeClr w14:val="tx1"/>
            </w14:solidFill>
          </w14:textFill>
        </w:rPr>
        <w:t>目名称：购买开展公共场所健康危害因素国家专项所需仪器项目</w:t>
      </w:r>
    </w:p>
    <w:p w14:paraId="4B18ECCE">
      <w:pPr>
        <w:spacing w:line="360" w:lineRule="auto"/>
        <w:ind w:firstLine="420" w:firstLineChars="200"/>
        <w:rPr>
          <w:rFonts w:hint="default" w:eastAsiaTheme="minorEastAsia"/>
          <w:lang w:val="en-US" w:eastAsia="zh-CN"/>
        </w:rPr>
      </w:pPr>
      <w:r>
        <w:rPr>
          <w:rFonts w:hint="eastAsia"/>
        </w:rPr>
        <w:t>2、</w:t>
      </w:r>
      <w:r>
        <w:t>项目编号：BACDCCG202</w:t>
      </w:r>
      <w:r>
        <w:rPr>
          <w:rFonts w:hint="eastAsia"/>
          <w:lang w:val="en-US" w:eastAsia="zh-CN"/>
        </w:rPr>
        <w:t>6002</w:t>
      </w:r>
    </w:p>
    <w:p w14:paraId="2915F678">
      <w:pPr>
        <w:spacing w:line="360" w:lineRule="auto"/>
        <w:ind w:firstLine="420" w:firstLineChars="200"/>
      </w:pPr>
      <w:r>
        <w:rPr>
          <w:rFonts w:hint="eastAsia"/>
        </w:rPr>
        <w:t>3、项目类别：货物类</w:t>
      </w:r>
      <w:bookmarkStart w:id="186" w:name="_GoBack"/>
      <w:bookmarkEnd w:id="186"/>
    </w:p>
    <w:p w14:paraId="47B4BA25">
      <w:pPr>
        <w:spacing w:line="360" w:lineRule="auto"/>
        <w:ind w:firstLine="420" w:firstLineChars="200"/>
      </w:pPr>
      <w:r>
        <w:t>4</w:t>
      </w:r>
      <w:r>
        <w:rPr>
          <w:rFonts w:hint="eastAsia"/>
        </w:rPr>
        <w:t>、</w:t>
      </w:r>
      <w:r>
        <w:t>采购单位：</w:t>
      </w:r>
      <w:r>
        <w:rPr>
          <w:rFonts w:hint="eastAsia"/>
        </w:rPr>
        <w:t>深圳市宝安区疾病预防控制中心</w:t>
      </w:r>
    </w:p>
    <w:p w14:paraId="77A380F1">
      <w:pPr>
        <w:spacing w:line="360" w:lineRule="auto"/>
        <w:ind w:firstLine="420" w:firstLineChars="200"/>
      </w:pPr>
      <w:r>
        <w:t>5</w:t>
      </w:r>
      <w:r>
        <w:rPr>
          <w:rFonts w:hint="eastAsia"/>
        </w:rPr>
        <w:t>、采购方式：公开招标</w:t>
      </w:r>
    </w:p>
    <w:p w14:paraId="2CAD69A2">
      <w:pPr>
        <w:spacing w:line="360" w:lineRule="auto"/>
        <w:ind w:firstLine="420" w:firstLineChars="200"/>
      </w:pPr>
      <w:r>
        <w:rPr>
          <w:rFonts w:hint="eastAsia"/>
        </w:rPr>
        <w:t>6、评标方法：</w:t>
      </w:r>
      <w:r>
        <w:rPr>
          <w:rFonts w:hint="eastAsia"/>
          <w:lang w:val="en-US" w:eastAsia="zh-CN"/>
        </w:rPr>
        <w:t>综合评分</w:t>
      </w:r>
      <w:r>
        <w:rPr>
          <w:rFonts w:hint="eastAsia"/>
        </w:rPr>
        <w:t>法</w:t>
      </w:r>
    </w:p>
    <w:bookmarkEnd w:id="3"/>
    <w:p w14:paraId="1C9D3DC6">
      <w:pPr>
        <w:pStyle w:val="5"/>
        <w:ind w:firstLine="482"/>
      </w:pPr>
      <w:r>
        <w:rPr>
          <w:rFonts w:hint="eastAsia"/>
        </w:rPr>
        <w:t>二、采购预算</w:t>
      </w:r>
    </w:p>
    <w:p w14:paraId="00304D3A">
      <w:pPr>
        <w:spacing w:line="360" w:lineRule="auto"/>
        <w:ind w:firstLine="420" w:firstLineChars="200"/>
      </w:pPr>
      <w:r>
        <w:rPr>
          <w:rFonts w:hint="eastAsia"/>
        </w:rPr>
        <w:t>本项目采购预算金额为</w:t>
      </w:r>
      <w:r>
        <w:rPr>
          <w:rFonts w:hint="eastAsia"/>
          <w:lang w:val="en-US" w:eastAsia="zh-CN"/>
        </w:rPr>
        <w:t>80000</w:t>
      </w:r>
      <w:r>
        <w:rPr>
          <w:rFonts w:hint="eastAsia"/>
        </w:rPr>
        <w:t>.00元。</w:t>
      </w:r>
    </w:p>
    <w:p w14:paraId="56D23D7A">
      <w:pPr>
        <w:pStyle w:val="5"/>
        <w:ind w:firstLine="482"/>
      </w:pPr>
      <w:bookmarkStart w:id="4" w:name="_Hlk69568757"/>
      <w:r>
        <w:rPr>
          <w:rFonts w:hint="eastAsia"/>
        </w:rPr>
        <w:t>三、需落实的采购政策</w:t>
      </w:r>
    </w:p>
    <w:p w14:paraId="12B711C7">
      <w:pPr>
        <w:spacing w:line="360" w:lineRule="auto"/>
        <w:ind w:firstLine="420" w:firstLineChars="200"/>
      </w:pPr>
      <w:r>
        <w:rPr>
          <w:rFonts w:hint="eastAsia"/>
        </w:rPr>
        <w:t>按照相关规定执行，详见采购需求标准。</w:t>
      </w:r>
    </w:p>
    <w:p w14:paraId="54E48530">
      <w:pPr>
        <w:pStyle w:val="5"/>
        <w:ind w:firstLine="482"/>
      </w:pPr>
      <w:r>
        <w:rPr>
          <w:rFonts w:hint="eastAsia"/>
        </w:rPr>
        <w:t>四、供应商资格要求</w:t>
      </w:r>
    </w:p>
    <w:p w14:paraId="17EDF4D1">
      <w:pPr>
        <w:spacing w:line="360" w:lineRule="auto"/>
        <w:ind w:firstLine="420" w:firstLineChars="200"/>
      </w:pPr>
      <w:r>
        <w:rPr>
          <w:rFonts w:hint="eastAsia"/>
        </w:rPr>
        <w:t>1、</w:t>
      </w:r>
      <w:bookmarkStart w:id="5" w:name="_Hlk145674892"/>
      <w:r>
        <w:rPr>
          <w:rFonts w:hint="eastAsia"/>
        </w:rPr>
        <w:t>投标人</w:t>
      </w:r>
      <w:bookmarkEnd w:id="5"/>
      <w:r>
        <w:rPr>
          <w:rFonts w:hint="eastAsia"/>
        </w:rPr>
        <w:t>必须是在中华人民共和国境内注册的独立法人或其他组织</w:t>
      </w:r>
      <w:bookmarkStart w:id="6" w:name="_Hlk145674976"/>
      <w:r>
        <w:rPr>
          <w:rFonts w:hint="eastAsia"/>
        </w:rPr>
        <w:t>（提供营业执照复印件）；</w:t>
      </w:r>
      <w:bookmarkEnd w:id="6"/>
    </w:p>
    <w:p w14:paraId="4D4C9845">
      <w:pPr>
        <w:spacing w:line="360" w:lineRule="auto"/>
        <w:ind w:firstLine="420" w:firstLineChars="200"/>
      </w:pPr>
      <w:r>
        <w:rPr>
          <w:rFonts w:hint="eastAsia"/>
        </w:rPr>
        <w:t>2、投标人参加本次政府采购活动前3年内在经营活动中没有重大违法记录（提供声明函）；</w:t>
      </w:r>
    </w:p>
    <w:p w14:paraId="6650B73B">
      <w:pPr>
        <w:spacing w:line="360" w:lineRule="auto"/>
        <w:ind w:firstLine="420" w:firstLineChars="200"/>
      </w:pPr>
      <w:r>
        <w:rPr>
          <w:rFonts w:hint="eastAsia"/>
        </w:rPr>
        <w:t>3、截至开标时间为止，未被深圳市各级政府采购主管部门行政处罚（指禁止参与政府采购活动且在有效期内）的投标人；</w:t>
      </w:r>
    </w:p>
    <w:p w14:paraId="695B0D8A">
      <w:pPr>
        <w:spacing w:line="360" w:lineRule="auto"/>
        <w:ind w:firstLine="420" w:firstLineChars="200"/>
      </w:pPr>
      <w:r>
        <w:rPr>
          <w:rFonts w:hint="eastAsia"/>
        </w:rPr>
        <w:t>4、通过“信用中国”网站（www.creditchina.gov.cn）和中国政府采购网（www.ccgp.gov.cn）查询信用记录（相关信息以中标通知书发出前的查询结果为准），被列入失信被执行人、重大税收违法案件当事人名单或政府采购严重违法失信行为记录名单的供应商，拒绝参与本项目的采购活动(网上查询)；</w:t>
      </w:r>
    </w:p>
    <w:p w14:paraId="7D15A032">
      <w:pPr>
        <w:spacing w:line="360" w:lineRule="auto"/>
        <w:ind w:firstLine="420" w:firstLineChars="200"/>
      </w:pPr>
      <w:r>
        <w:rPr>
          <w:rFonts w:hint="eastAsia"/>
        </w:rPr>
        <w:t>5、本项目不接受联合体投标。</w:t>
      </w:r>
    </w:p>
    <w:p w14:paraId="4680CD8F">
      <w:pPr>
        <w:pStyle w:val="5"/>
        <w:ind w:firstLine="482"/>
      </w:pPr>
      <w:r>
        <w:rPr>
          <w:rFonts w:hint="eastAsia"/>
        </w:rPr>
        <w:t>五、获取采购文件的时间、地点及方式</w:t>
      </w:r>
    </w:p>
    <w:bookmarkEnd w:id="4"/>
    <w:p w14:paraId="434AD16E">
      <w:pPr>
        <w:spacing w:line="360" w:lineRule="auto"/>
        <w:ind w:firstLine="420" w:firstLineChars="200"/>
        <w:rPr>
          <w:rFonts w:hint="eastAsia"/>
          <w:highlight w:val="yellow"/>
        </w:rPr>
      </w:pPr>
      <w:r>
        <w:rPr>
          <w:rFonts w:hint="eastAsia"/>
        </w:rPr>
        <w:t>1、获取招标文件时间：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3</w:t>
      </w:r>
      <w:r>
        <w:rPr>
          <w:rFonts w:hint="eastAsia"/>
          <w:highlight w:val="yellow"/>
        </w:rPr>
        <w:t>日起至202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11</w:t>
      </w:r>
      <w:r>
        <w:rPr>
          <w:rFonts w:hint="eastAsia"/>
          <w:highlight w:val="yellow"/>
        </w:rPr>
        <w:t>日</w:t>
      </w:r>
    </w:p>
    <w:p w14:paraId="133E1003">
      <w:pPr>
        <w:spacing w:line="360" w:lineRule="auto"/>
        <w:ind w:firstLine="420" w:firstLineChars="200"/>
        <w:rPr>
          <w:rFonts w:hint="default" w:eastAsiaTheme="minorEastAsia"/>
          <w:lang w:val="en-US" w:eastAsia="zh-CN"/>
        </w:rPr>
      </w:pPr>
      <w:r>
        <w:rPr>
          <w:rFonts w:hint="eastAsia"/>
        </w:rPr>
        <w:t>2、获取招标文件地点：</w:t>
      </w:r>
      <w:r>
        <w:rPr>
          <w:rFonts w:hint="eastAsia"/>
          <w:lang w:val="en-US" w:eastAsia="zh-CN"/>
        </w:rPr>
        <w:t>线上下载</w:t>
      </w:r>
    </w:p>
    <w:p w14:paraId="2BD0B0C9">
      <w:pPr>
        <w:spacing w:line="360" w:lineRule="auto"/>
        <w:ind w:firstLine="420" w:firstLineChars="200"/>
      </w:pPr>
      <w:r>
        <w:rPr>
          <w:rFonts w:hint="eastAsia"/>
          <w:lang w:val="en-US" w:eastAsia="zh-CN"/>
        </w:rPr>
        <w:t>3</w:t>
      </w:r>
      <w:r>
        <w:rPr>
          <w:rFonts w:hint="eastAsia"/>
        </w:rPr>
        <w:t>、联系人：</w:t>
      </w:r>
      <w:r>
        <w:rPr>
          <w:rFonts w:hint="eastAsia"/>
          <w:lang w:val="en-US" w:eastAsia="zh-CN"/>
        </w:rPr>
        <w:t>姜</w:t>
      </w:r>
      <w:r>
        <w:rPr>
          <w:rFonts w:hint="eastAsia"/>
        </w:rPr>
        <w:t>工</w:t>
      </w:r>
    </w:p>
    <w:p w14:paraId="001ACD70">
      <w:pPr>
        <w:spacing w:line="360" w:lineRule="auto"/>
        <w:ind w:firstLine="420" w:firstLineChars="200"/>
        <w:rPr>
          <w:rFonts w:hint="eastAsia" w:eastAsiaTheme="minorEastAsia"/>
          <w:lang w:eastAsia="zh-CN"/>
        </w:rPr>
      </w:pPr>
      <w:r>
        <w:rPr>
          <w:rFonts w:hint="eastAsia"/>
        </w:rPr>
        <w:t>5、联系电话：</w:t>
      </w:r>
      <w:r>
        <w:t xml:space="preserve">0755- </w:t>
      </w:r>
      <w:r>
        <w:rPr>
          <w:rFonts w:hint="eastAsia"/>
          <w:lang w:eastAsia="zh-CN"/>
        </w:rPr>
        <w:t>27751586</w:t>
      </w:r>
    </w:p>
    <w:p w14:paraId="1F4800EE">
      <w:pPr>
        <w:pStyle w:val="5"/>
        <w:ind w:firstLine="482"/>
      </w:pPr>
      <w:r>
        <w:rPr>
          <w:rFonts w:hint="eastAsia"/>
        </w:rPr>
        <w:t>六、投标截止时间</w:t>
      </w:r>
    </w:p>
    <w:p w14:paraId="285869A1">
      <w:pPr>
        <w:spacing w:line="360" w:lineRule="auto"/>
        <w:ind w:firstLine="420" w:firstLineChars="200"/>
      </w:pPr>
      <w:r>
        <w:rPr>
          <w:rFonts w:hint="eastAsia"/>
        </w:rPr>
        <w:t>1、递交投标文件时间：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11</w:t>
      </w:r>
      <w:r>
        <w:rPr>
          <w:rFonts w:hint="eastAsia"/>
          <w:highlight w:val="yellow"/>
        </w:rPr>
        <w:t>日</w:t>
      </w:r>
      <w:r>
        <w:rPr>
          <w:rFonts w:hint="eastAsia"/>
        </w:rPr>
        <w:t>下午1</w:t>
      </w:r>
      <w:r>
        <w:rPr>
          <w:rFonts w:hint="eastAsia"/>
          <w:lang w:val="en-US" w:eastAsia="zh-CN"/>
        </w:rPr>
        <w:t>8</w:t>
      </w:r>
      <w:r>
        <w:rPr>
          <w:rFonts w:hint="eastAsia"/>
        </w:rPr>
        <w:t>：</w:t>
      </w:r>
      <w:r>
        <w:t>0</w:t>
      </w:r>
      <w:r>
        <w:rPr>
          <w:rFonts w:hint="eastAsia"/>
        </w:rPr>
        <w:t>0前（可快递，以签收时间为准）。</w:t>
      </w:r>
    </w:p>
    <w:p w14:paraId="62D90C12">
      <w:pPr>
        <w:spacing w:line="360" w:lineRule="auto"/>
        <w:ind w:firstLine="420" w:firstLineChars="200"/>
      </w:pPr>
      <w:r>
        <w:t>2</w:t>
      </w:r>
      <w:r>
        <w:rPr>
          <w:rFonts w:hint="eastAsia"/>
        </w:rPr>
        <w:t>、递交投标文件地点：深圳市宝安区海秀路3号（深圳市宝安区疾病预防控制中心）</w:t>
      </w:r>
      <w:r>
        <w:rPr>
          <w:rFonts w:hint="eastAsia"/>
          <w:lang w:val="en-US" w:eastAsia="zh-CN"/>
        </w:rPr>
        <w:t>525，</w:t>
      </w:r>
      <w:r>
        <w:rPr>
          <w:rFonts w:hint="eastAsia"/>
        </w:rPr>
        <w:t>如无法进入大楼可放置保安室。</w:t>
      </w:r>
    </w:p>
    <w:p w14:paraId="3BB0EC6D">
      <w:pPr>
        <w:pStyle w:val="5"/>
        <w:ind w:firstLine="482"/>
      </w:pPr>
      <w:r>
        <w:rPr>
          <w:rFonts w:hint="eastAsia"/>
        </w:rPr>
        <w:t>七、采购公告查询：</w:t>
      </w:r>
    </w:p>
    <w:p w14:paraId="0D6ADBEE">
      <w:pPr>
        <w:spacing w:line="360" w:lineRule="auto"/>
        <w:ind w:firstLine="420" w:firstLineChars="200"/>
      </w:pPr>
      <w:r>
        <w:rPr>
          <w:rFonts w:hint="eastAsia"/>
        </w:rPr>
        <w:t>https://www.bawjxt.net/baqjbyfkzzx/(深圳市宝安区疾病预防控制中心官网)</w:t>
      </w:r>
    </w:p>
    <w:p w14:paraId="5783F421">
      <w:pPr>
        <w:spacing w:line="360" w:lineRule="auto"/>
        <w:ind w:firstLine="420" w:firstLineChars="200"/>
      </w:pPr>
    </w:p>
    <w:p w14:paraId="7C397871">
      <w:pPr>
        <w:spacing w:line="360" w:lineRule="auto"/>
        <w:ind w:firstLine="420" w:firstLineChars="200"/>
      </w:pPr>
    </w:p>
    <w:p w14:paraId="4FBE17F7">
      <w:pPr>
        <w:spacing w:line="360" w:lineRule="auto"/>
        <w:ind w:firstLine="5460" w:firstLineChars="2600"/>
        <w:rPr>
          <w:rFonts w:hint="eastAsia"/>
        </w:rPr>
      </w:pPr>
      <w:r>
        <w:rPr>
          <w:rFonts w:hint="eastAsia"/>
        </w:rPr>
        <w:t>深圳市宝安区疾病预防控制中心</w:t>
      </w:r>
    </w:p>
    <w:p w14:paraId="43CE7AD1">
      <w:pPr>
        <w:spacing w:line="360" w:lineRule="auto"/>
        <w:ind w:firstLine="5460" w:firstLineChars="2600"/>
        <w:rPr>
          <w:rFonts w:hint="eastAsia" w:eastAsiaTheme="minorEastAsia"/>
          <w:lang w:eastAsia="zh-CN"/>
        </w:rPr>
      </w:pPr>
      <w:r>
        <w:rPr>
          <w:rFonts w:hint="eastAsia"/>
          <w:lang w:eastAsia="zh-CN"/>
        </w:rPr>
        <w:t>（</w:t>
      </w:r>
      <w:r>
        <w:rPr>
          <w:rFonts w:hint="eastAsia"/>
          <w:lang w:val="en-US" w:eastAsia="zh-CN"/>
        </w:rPr>
        <w:t>深圳市宝安区卫生监督所</w:t>
      </w:r>
      <w:r>
        <w:rPr>
          <w:rFonts w:hint="eastAsia"/>
          <w:lang w:eastAsia="zh-CN"/>
        </w:rPr>
        <w:t>）</w:t>
      </w:r>
    </w:p>
    <w:p w14:paraId="1FE86B6C">
      <w:pPr>
        <w:spacing w:line="360" w:lineRule="auto"/>
        <w:ind w:firstLine="5880" w:firstLineChars="2800"/>
      </w:pPr>
      <w:r>
        <w:rPr>
          <w:rFonts w:hint="eastAsia"/>
        </w:rPr>
        <w:t>2</w:t>
      </w:r>
      <w:r>
        <w:t>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3</w:t>
      </w:r>
      <w:r>
        <w:rPr>
          <w:rFonts w:hint="eastAsia"/>
        </w:rPr>
        <w:t>日</w:t>
      </w:r>
    </w:p>
    <w:p w14:paraId="4EEFC1AD">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68E0E3FF">
      <w:pPr>
        <w:pStyle w:val="2"/>
      </w:pPr>
      <w:bookmarkStart w:id="7" w:name="_Toc61539109"/>
      <w:bookmarkStart w:id="8" w:name="_Toc86939329"/>
      <w:r>
        <w:rPr>
          <w:rFonts w:hint="eastAsia"/>
        </w:rPr>
        <w:t>第二章  用户需求书</w:t>
      </w:r>
      <w:bookmarkEnd w:id="7"/>
      <w:bookmarkEnd w:id="8"/>
    </w:p>
    <w:p w14:paraId="53BC6BE8">
      <w:pPr>
        <w:pStyle w:val="3"/>
      </w:pPr>
      <w:bookmarkStart w:id="9" w:name="_Toc86939330"/>
      <w:bookmarkStart w:id="10" w:name="_Toc86741961"/>
      <w:r>
        <w:rPr>
          <w:rFonts w:hint="eastAsia"/>
        </w:rPr>
        <w:t>一、货物清单</w:t>
      </w:r>
    </w:p>
    <w:p w14:paraId="66E1DB54">
      <w:pPr>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val="en-US" w:eastAsia="zh-CN"/>
        </w:rPr>
        <w:t>1、</w:t>
      </w:r>
      <w:r>
        <w:rPr>
          <w:rFonts w:hint="eastAsia" w:ascii="仿宋_GB2312" w:hAnsi="仿宋_GB2312" w:eastAsia="仿宋_GB2312" w:cs="仿宋_GB2312"/>
          <w:b w:val="0"/>
          <w:bCs w:val="0"/>
          <w:sz w:val="24"/>
          <w:szCs w:val="24"/>
        </w:rPr>
        <w:t>配置清单：</w:t>
      </w:r>
    </w:p>
    <w:tbl>
      <w:tblPr>
        <w:tblStyle w:val="17"/>
        <w:tblW w:w="0" w:type="auto"/>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448"/>
        <w:gridCol w:w="3045"/>
        <w:gridCol w:w="860"/>
        <w:gridCol w:w="880"/>
        <w:gridCol w:w="818"/>
      </w:tblGrid>
      <w:tr w14:paraId="19C3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5360FEA1">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序号</w:t>
            </w:r>
          </w:p>
        </w:tc>
        <w:tc>
          <w:tcPr>
            <w:tcW w:w="2448" w:type="dxa"/>
            <w:noWrap w:val="0"/>
            <w:vAlign w:val="center"/>
          </w:tcPr>
          <w:p w14:paraId="67C50A1A">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货物名称</w:t>
            </w:r>
          </w:p>
        </w:tc>
        <w:tc>
          <w:tcPr>
            <w:tcW w:w="3045" w:type="dxa"/>
            <w:noWrap w:val="0"/>
            <w:vAlign w:val="center"/>
          </w:tcPr>
          <w:p w14:paraId="0055164D">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规格（长*宽*高）</w:t>
            </w:r>
          </w:p>
        </w:tc>
        <w:tc>
          <w:tcPr>
            <w:tcW w:w="860" w:type="dxa"/>
            <w:noWrap w:val="0"/>
            <w:vAlign w:val="center"/>
          </w:tcPr>
          <w:p w14:paraId="58DD3D68">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数量</w:t>
            </w:r>
          </w:p>
        </w:tc>
        <w:tc>
          <w:tcPr>
            <w:tcW w:w="880" w:type="dxa"/>
            <w:noWrap w:val="0"/>
            <w:vAlign w:val="center"/>
          </w:tcPr>
          <w:p w14:paraId="77494463">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单位</w:t>
            </w:r>
          </w:p>
        </w:tc>
        <w:tc>
          <w:tcPr>
            <w:tcW w:w="818" w:type="dxa"/>
            <w:noWrap w:val="0"/>
            <w:vAlign w:val="center"/>
          </w:tcPr>
          <w:p w14:paraId="39EA6E26">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备注</w:t>
            </w:r>
          </w:p>
        </w:tc>
      </w:tr>
      <w:tr w14:paraId="7A34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004675FF">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1</w:t>
            </w:r>
          </w:p>
        </w:tc>
        <w:tc>
          <w:tcPr>
            <w:tcW w:w="2448" w:type="dxa"/>
            <w:noWrap w:val="0"/>
            <w:vAlign w:val="center"/>
          </w:tcPr>
          <w:p w14:paraId="0839D6FE">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kern w:val="0"/>
                <w:sz w:val="24"/>
                <w:szCs w:val="24"/>
              </w:rPr>
              <w:t>六级筛孔撞击式空气微生物采样头</w:t>
            </w:r>
          </w:p>
        </w:tc>
        <w:tc>
          <w:tcPr>
            <w:tcW w:w="3045" w:type="dxa"/>
            <w:noWrap w:val="0"/>
            <w:vAlign w:val="center"/>
          </w:tcPr>
          <w:p w14:paraId="54B79665">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w:t>
            </w:r>
          </w:p>
        </w:tc>
        <w:tc>
          <w:tcPr>
            <w:tcW w:w="860" w:type="dxa"/>
            <w:noWrap w:val="0"/>
            <w:vAlign w:val="center"/>
          </w:tcPr>
          <w:p w14:paraId="2825D86D">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10</w:t>
            </w:r>
          </w:p>
        </w:tc>
        <w:tc>
          <w:tcPr>
            <w:tcW w:w="880" w:type="dxa"/>
            <w:noWrap w:val="0"/>
            <w:vAlign w:val="center"/>
          </w:tcPr>
          <w:p w14:paraId="58C1DD6E">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台</w:t>
            </w:r>
          </w:p>
        </w:tc>
        <w:tc>
          <w:tcPr>
            <w:tcW w:w="818" w:type="dxa"/>
            <w:noWrap w:val="0"/>
            <w:vAlign w:val="center"/>
          </w:tcPr>
          <w:p w14:paraId="6260CA52">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r>
      <w:tr w14:paraId="25E2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05E3BF5E">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2</w:t>
            </w:r>
          </w:p>
        </w:tc>
        <w:tc>
          <w:tcPr>
            <w:tcW w:w="2448" w:type="dxa"/>
            <w:noWrap w:val="0"/>
            <w:vAlign w:val="center"/>
          </w:tcPr>
          <w:p w14:paraId="031726AA">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空气微生物采样器</w:t>
            </w:r>
          </w:p>
        </w:tc>
        <w:tc>
          <w:tcPr>
            <w:tcW w:w="3045" w:type="dxa"/>
            <w:noWrap w:val="0"/>
            <w:vAlign w:val="center"/>
          </w:tcPr>
          <w:p w14:paraId="0A0C8600">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w:t>
            </w:r>
          </w:p>
        </w:tc>
        <w:tc>
          <w:tcPr>
            <w:tcW w:w="860" w:type="dxa"/>
            <w:noWrap w:val="0"/>
            <w:vAlign w:val="center"/>
          </w:tcPr>
          <w:p w14:paraId="73088872">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3</w:t>
            </w:r>
          </w:p>
        </w:tc>
        <w:tc>
          <w:tcPr>
            <w:tcW w:w="880" w:type="dxa"/>
            <w:noWrap w:val="0"/>
            <w:vAlign w:val="center"/>
          </w:tcPr>
          <w:p w14:paraId="0DC83298">
            <w:pPr>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台</w:t>
            </w:r>
          </w:p>
        </w:tc>
        <w:tc>
          <w:tcPr>
            <w:tcW w:w="818" w:type="dxa"/>
            <w:noWrap w:val="0"/>
            <w:vAlign w:val="center"/>
          </w:tcPr>
          <w:p w14:paraId="6F2361D6">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r>
      <w:tr w14:paraId="58CE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15E83AFE">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rPr>
              <w:t>3</w:t>
            </w:r>
          </w:p>
        </w:tc>
        <w:tc>
          <w:tcPr>
            <w:tcW w:w="2448" w:type="dxa"/>
            <w:noWrap w:val="0"/>
            <w:vAlign w:val="top"/>
          </w:tcPr>
          <w:p w14:paraId="29D18FB3">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rPr>
              <w:t>温湿度计</w:t>
            </w:r>
          </w:p>
        </w:tc>
        <w:tc>
          <w:tcPr>
            <w:tcW w:w="3045" w:type="dxa"/>
            <w:noWrap w:val="0"/>
            <w:vAlign w:val="top"/>
          </w:tcPr>
          <w:p w14:paraId="1DF2E645">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c>
          <w:tcPr>
            <w:tcW w:w="860" w:type="dxa"/>
            <w:noWrap w:val="0"/>
            <w:vAlign w:val="top"/>
          </w:tcPr>
          <w:p w14:paraId="4CAAB2A3">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2</w:t>
            </w:r>
          </w:p>
        </w:tc>
        <w:tc>
          <w:tcPr>
            <w:tcW w:w="880" w:type="dxa"/>
            <w:noWrap w:val="0"/>
            <w:vAlign w:val="top"/>
          </w:tcPr>
          <w:p w14:paraId="2957A971">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台</w:t>
            </w:r>
          </w:p>
        </w:tc>
        <w:tc>
          <w:tcPr>
            <w:tcW w:w="818" w:type="dxa"/>
            <w:noWrap w:val="0"/>
            <w:vAlign w:val="top"/>
          </w:tcPr>
          <w:p w14:paraId="41374ACE">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r>
      <w:tr w14:paraId="54EF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noWrap w:val="0"/>
            <w:vAlign w:val="center"/>
          </w:tcPr>
          <w:p w14:paraId="5DE4EAA8">
            <w:pPr>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lang w:val="en-US" w:eastAsia="zh-CN"/>
              </w:rPr>
            </w:pPr>
            <w:r>
              <w:rPr>
                <w:rFonts w:hint="eastAsia" w:ascii="仿宋_GB2312" w:hAnsi="仿宋_GB2312" w:eastAsia="仿宋_GB2312" w:cs="仿宋_GB2312"/>
                <w:b w:val="0"/>
                <w:bCs w:val="0"/>
                <w:color w:val="000000"/>
                <w:kern w:val="0"/>
                <w:sz w:val="24"/>
                <w:szCs w:val="24"/>
                <w:lang w:val="en-US" w:eastAsia="zh-CN"/>
              </w:rPr>
              <w:t>4</w:t>
            </w:r>
          </w:p>
        </w:tc>
        <w:tc>
          <w:tcPr>
            <w:tcW w:w="2448" w:type="dxa"/>
            <w:noWrap w:val="0"/>
            <w:vAlign w:val="top"/>
          </w:tcPr>
          <w:p w14:paraId="570098C8">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rPr>
            </w:pPr>
            <w:r>
              <w:rPr>
                <w:rFonts w:hint="eastAsia" w:ascii="仿宋_GB2312" w:hAnsi="仿宋_GB2312" w:eastAsia="仿宋_GB2312" w:cs="仿宋_GB2312"/>
                <w:b w:val="0"/>
                <w:bCs w:val="0"/>
                <w:sz w:val="24"/>
                <w:szCs w:val="24"/>
                <w:vertAlign w:val="baseline"/>
              </w:rPr>
              <w:t>甲醛检测仪</w:t>
            </w:r>
          </w:p>
        </w:tc>
        <w:tc>
          <w:tcPr>
            <w:tcW w:w="3045" w:type="dxa"/>
            <w:noWrap w:val="0"/>
            <w:vAlign w:val="top"/>
          </w:tcPr>
          <w:p w14:paraId="18D781F5">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c>
          <w:tcPr>
            <w:tcW w:w="860" w:type="dxa"/>
            <w:noWrap w:val="0"/>
            <w:vAlign w:val="top"/>
          </w:tcPr>
          <w:p w14:paraId="75581100">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2</w:t>
            </w:r>
          </w:p>
        </w:tc>
        <w:tc>
          <w:tcPr>
            <w:tcW w:w="880" w:type="dxa"/>
            <w:noWrap w:val="0"/>
            <w:vAlign w:val="top"/>
          </w:tcPr>
          <w:p w14:paraId="5777E4A8">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台</w:t>
            </w:r>
          </w:p>
        </w:tc>
        <w:tc>
          <w:tcPr>
            <w:tcW w:w="818" w:type="dxa"/>
            <w:noWrap w:val="0"/>
            <w:vAlign w:val="top"/>
          </w:tcPr>
          <w:p w14:paraId="6A8B2F88">
            <w:pPr>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w:t>
            </w:r>
          </w:p>
        </w:tc>
      </w:tr>
    </w:tbl>
    <w:p w14:paraId="477FEDA3">
      <w:pPr>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val="en-US" w:eastAsia="zh-CN"/>
        </w:rPr>
        <w:t>2、技术参数要求；</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2429"/>
        <w:gridCol w:w="5585"/>
      </w:tblGrid>
      <w:tr w14:paraId="0AAF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3" w:type="dxa"/>
            <w:noWrap w:val="0"/>
            <w:vAlign w:val="center"/>
          </w:tcPr>
          <w:p w14:paraId="2277DFE3">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rPr>
              <w:t>序号</w:t>
            </w:r>
          </w:p>
        </w:tc>
        <w:tc>
          <w:tcPr>
            <w:tcW w:w="2429" w:type="dxa"/>
            <w:noWrap w:val="0"/>
            <w:vAlign w:val="center"/>
          </w:tcPr>
          <w:p w14:paraId="18EC1F84">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rPr>
              <w:t>货物名称</w:t>
            </w:r>
          </w:p>
        </w:tc>
        <w:tc>
          <w:tcPr>
            <w:tcW w:w="5585" w:type="dxa"/>
            <w:noWrap w:val="0"/>
            <w:vAlign w:val="center"/>
          </w:tcPr>
          <w:p w14:paraId="04D20C93">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rPr>
              <w:t>技术参数或功能要求</w:t>
            </w:r>
          </w:p>
        </w:tc>
      </w:tr>
      <w:tr w14:paraId="213F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3" w:type="dxa"/>
            <w:noWrap/>
            <w:vAlign w:val="center"/>
          </w:tcPr>
          <w:p w14:paraId="02DFC434">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c>
          <w:tcPr>
            <w:tcW w:w="2429" w:type="dxa"/>
            <w:noWrap w:val="0"/>
            <w:vAlign w:val="center"/>
          </w:tcPr>
          <w:p w14:paraId="46ADE99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六级筛孔撞击式空气微生物采样头</w:t>
            </w:r>
          </w:p>
        </w:tc>
        <w:tc>
          <w:tcPr>
            <w:tcW w:w="5585" w:type="dxa"/>
            <w:noWrap w:val="0"/>
            <w:vAlign w:val="center"/>
          </w:tcPr>
          <w:p w14:paraId="6996A344">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▲结构型式：六级筛孔板可独立分离、逐级叠装，级间定位准确、密封可靠，装配后不得出现错级、漏装。</w:t>
            </w:r>
          </w:p>
          <w:p w14:paraId="644EDB20">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分级捕获性能：六级分级捕获，各级捕获粒径范围及筛孔孔径应完全符合要求。</w:t>
            </w:r>
          </w:p>
          <w:p w14:paraId="1D625271">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▲额定采样流量：28.3 L/min 。与主机配套运行时流量误差 ≤±5% FS。</w:t>
            </w:r>
          </w:p>
          <w:p w14:paraId="140D61B5">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捕获率：≥98%</w:t>
            </w:r>
          </w:p>
          <w:p w14:paraId="2068267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筛孔数量及精度：每级筛孔数量 ≥400 个；同级各孔孔径一致，孔口光洁、无毛刺、无堵塞、无变形。</w:t>
            </w:r>
          </w:p>
          <w:p w14:paraId="1ADD8170">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▲主体材质：主体采用铝合金阳极氧化处理（或 304 不锈钢），耐腐蚀、不生锈，表面光洁，便于清洗消毒。</w:t>
            </w:r>
          </w:p>
          <w:p w14:paraId="1606B9F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密封性能：各级之间采用耐温耐腐蚀硅胶密封圈密封，整机气密性良好，采样过程中无侧漏、无旁路进气。</w:t>
            </w:r>
          </w:p>
          <w:p w14:paraId="18FD28E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气路接口：与恒流空气微生物采样器主机气路接口通用，采用硅胶管连接，连接可靠、不漏气。</w:t>
            </w:r>
          </w:p>
        </w:tc>
      </w:tr>
      <w:tr w14:paraId="48D0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3" w:type="dxa"/>
            <w:noWrap/>
            <w:vAlign w:val="center"/>
          </w:tcPr>
          <w:p w14:paraId="74CA88A6">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2429" w:type="dxa"/>
            <w:noWrap w:val="0"/>
            <w:vAlign w:val="center"/>
          </w:tcPr>
          <w:p w14:paraId="5CBCF3A8">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空气微生物采样器</w:t>
            </w:r>
          </w:p>
        </w:tc>
        <w:tc>
          <w:tcPr>
            <w:tcW w:w="5585" w:type="dxa"/>
            <w:noWrap w:val="0"/>
            <w:vAlign w:val="center"/>
          </w:tcPr>
          <w:p w14:paraId="3B97E2E6">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采样原理：六级筛孔撞击式，双功能阶式多级撞击采样器。</w:t>
            </w:r>
          </w:p>
          <w:p w14:paraId="07D18A1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捕获粒径分级：六级分级，各级捕获粒径及孔径为：</w:t>
            </w:r>
          </w:p>
          <w:p w14:paraId="59193E13">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第一级 &gt;7.0 μm，孔径 1.18 mm；</w:t>
            </w:r>
          </w:p>
          <w:p w14:paraId="7866BCD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第二级 4.7～7.0 μm，孔径 0.91 mm；</w:t>
            </w:r>
          </w:p>
          <w:p w14:paraId="2F97728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第三级 3.3～4.7 μm，孔径 0.71 mm；</w:t>
            </w:r>
          </w:p>
          <w:p w14:paraId="44A3874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第四级 2.1～3.3 μm，孔径 0.53 mm；</w:t>
            </w:r>
          </w:p>
          <w:p w14:paraId="52510E78">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第五级 1.1～2.1 μm，孔径 0.34 mm；</w:t>
            </w:r>
          </w:p>
          <w:p w14:paraId="25D4A4C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第六级 0.65～1.1 μm，孔径 0.25 mm。</w:t>
            </w:r>
          </w:p>
          <w:p w14:paraId="3F790D0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捕获率</w:t>
            </w:r>
            <w:r>
              <w:rPr>
                <w:rFonts w:hint="eastAsia" w:ascii="仿宋_GB2312" w:hAnsi="仿宋_GB2312" w:eastAsia="仿宋_GB2312" w:cs="仿宋_GB2312"/>
                <w:b w:val="0"/>
                <w:bCs w:val="0"/>
                <w:color w:val="000000"/>
                <w:sz w:val="24"/>
                <w:szCs w:val="24"/>
                <w:lang w:val="en-US" w:eastAsia="zh-CN"/>
              </w:rPr>
              <w:tab/>
            </w:r>
            <w:r>
              <w:rPr>
                <w:rFonts w:hint="eastAsia" w:ascii="仿宋_GB2312" w:hAnsi="仿宋_GB2312" w:eastAsia="仿宋_GB2312" w:cs="仿宋_GB2312"/>
                <w:b w:val="0"/>
                <w:bCs w:val="0"/>
                <w:color w:val="000000"/>
                <w:sz w:val="24"/>
                <w:szCs w:val="24"/>
                <w:lang w:val="en-US" w:eastAsia="zh-CN"/>
              </w:rPr>
              <w:t>≥98%</w:t>
            </w:r>
          </w:p>
          <w:p w14:paraId="226FB71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流量范围：</w:t>
            </w:r>
            <w:r>
              <w:rPr>
                <w:rFonts w:hint="eastAsia" w:ascii="仿宋_GB2312" w:hAnsi="仿宋_GB2312" w:eastAsia="仿宋_GB2312" w:cs="仿宋_GB2312"/>
                <w:b w:val="0"/>
                <w:bCs w:val="0"/>
                <w:color w:val="000000"/>
                <w:sz w:val="24"/>
                <w:szCs w:val="24"/>
                <w:lang w:val="en-US" w:eastAsia="zh-CN"/>
              </w:rPr>
              <w:tab/>
            </w:r>
            <w:r>
              <w:rPr>
                <w:rFonts w:hint="eastAsia" w:ascii="仿宋_GB2312" w:hAnsi="仿宋_GB2312" w:eastAsia="仿宋_GB2312" w:cs="仿宋_GB2312"/>
                <w:b w:val="0"/>
                <w:bCs w:val="0"/>
                <w:color w:val="000000"/>
                <w:sz w:val="24"/>
                <w:szCs w:val="24"/>
                <w:lang w:val="en-US" w:eastAsia="zh-CN"/>
              </w:rPr>
              <w:t>3～30 L/min，流量分辨率 0.01 L/min。</w:t>
            </w:r>
          </w:p>
          <w:p w14:paraId="5DB72934">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▲恒流方式：恒流恒压，精准闭环控制，流量不受电压波动和气阻变化的影响。</w:t>
            </w:r>
          </w:p>
          <w:p w14:paraId="03959323">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▲驱动控制</w:t>
            </w:r>
            <w:r>
              <w:rPr>
                <w:rFonts w:hint="eastAsia" w:ascii="仿宋_GB2312" w:hAnsi="仿宋_GB2312" w:eastAsia="仿宋_GB2312" w:cs="仿宋_GB2312"/>
                <w:b w:val="0"/>
                <w:bCs w:val="0"/>
                <w:color w:val="000000"/>
                <w:sz w:val="24"/>
                <w:szCs w:val="24"/>
                <w:lang w:val="en-US" w:eastAsia="zh-CN"/>
              </w:rPr>
              <w:tab/>
            </w:r>
            <w:r>
              <w:rPr>
                <w:rFonts w:hint="eastAsia" w:ascii="仿宋_GB2312" w:hAnsi="仿宋_GB2312" w:eastAsia="仿宋_GB2312" w:cs="仿宋_GB2312"/>
                <w:b w:val="0"/>
                <w:bCs w:val="0"/>
                <w:color w:val="000000"/>
                <w:sz w:val="24"/>
                <w:szCs w:val="24"/>
                <w:lang w:val="en-US" w:eastAsia="zh-CN"/>
              </w:rPr>
              <w:t>：采用双核心驱动（双核处理器架构），采样控制与数据处理独立运行。</w:t>
            </w:r>
          </w:p>
          <w:p w14:paraId="615F3AA5">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屏幕显示：可同屏显示负载阻力、实时流量、运行时间、标况体积、电池电量、日期时间、气压、温度。</w:t>
            </w:r>
          </w:p>
          <w:p w14:paraId="5D52F9BB">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▲负载能力：28.3 L/min 流量时，可克服阻力 ≥9 kPa。</w:t>
            </w:r>
          </w:p>
          <w:p w14:paraId="5A7D52C2">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▲流量误差及报警：流量误差 &lt;±2.5% FS；具备流量报警功能，流量偏差超过 ±5% FS 时仪器自动弹出提示框，并可选择继续采样或暂停采样。</w:t>
            </w:r>
          </w:p>
          <w:p w14:paraId="0A54AB7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压力测量</w:t>
            </w:r>
            <w:r>
              <w:rPr>
                <w:rFonts w:hint="eastAsia" w:ascii="仿宋_GB2312" w:hAnsi="仿宋_GB2312" w:eastAsia="仿宋_GB2312" w:cs="仿宋_GB2312"/>
                <w:b w:val="0"/>
                <w:bCs w:val="0"/>
                <w:color w:val="000000"/>
                <w:sz w:val="24"/>
                <w:szCs w:val="24"/>
                <w:lang w:val="en-US" w:eastAsia="zh-CN"/>
              </w:rPr>
              <w:tab/>
            </w:r>
            <w:r>
              <w:rPr>
                <w:rFonts w:hint="eastAsia" w:ascii="仿宋_GB2312" w:hAnsi="仿宋_GB2312" w:eastAsia="仿宋_GB2312" w:cs="仿宋_GB2312"/>
                <w:b w:val="0"/>
                <w:bCs w:val="0"/>
                <w:color w:val="000000"/>
                <w:sz w:val="24"/>
                <w:szCs w:val="24"/>
                <w:lang w:val="en-US" w:eastAsia="zh-CN"/>
              </w:rPr>
              <w:t>计前压力（-40～40）kPa，分辨率 0.01 kPa，误差 ≤±2.5%；大气压（60～130）kPa，分辨率 0.01 kPa，误差 ≤±500 Pa。</w:t>
            </w:r>
          </w:p>
          <w:p w14:paraId="0B36A6D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数据存储与导出：大容量存储芯片，可存储 ≥5000 组采样数据、≥2000 条故障报警记录；数据可查询、可导出可选配蓝牙打印机打印（支持蓝牙 5.2 版本）。</w:t>
            </w:r>
          </w:p>
          <w:p w14:paraId="6B4C1806">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供电与续航：内置大容量可充电锂离子电池，超长待机，充满电可连续工作 ≥6 小时；支持 DC 充电，可选配 Type-C 快充。</w:t>
            </w:r>
          </w:p>
          <w:p w14:paraId="47495E23">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运行噪声：&lt;70 dB(A)</w:t>
            </w:r>
          </w:p>
          <w:p w14:paraId="1BCF57F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显示与操作：5寸高亮彩色触摸液晶显示屏，中文图文界面，菜单式操作，简单灵敏。</w:t>
            </w:r>
          </w:p>
          <w:p w14:paraId="5794317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开机自检：具备开机自检功能，压差传感器故障时暂停进入系统。</w:t>
            </w:r>
          </w:p>
          <w:p w14:paraId="1FDEBEB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▲流量校准：开放式后台校准系统，用户可自行对仪器进行自校准。</w:t>
            </w:r>
          </w:p>
          <w:p w14:paraId="10507FF0">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体积计算：工况体积、标况体积自动计算并显示。</w:t>
            </w:r>
          </w:p>
          <w:p w14:paraId="5033A6D2">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定时模式：具备定时采样、循环采样、间歇采样、延时采样四种模式。</w:t>
            </w:r>
          </w:p>
          <w:p w14:paraId="3BED92D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定位功能：可选配北斗/GPS 双模定位。</w:t>
            </w:r>
          </w:p>
          <w:p w14:paraId="3482E83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结构要求：结构紧凑、体积小、重量轻、坚固耐用，便于随身携带至现场采样。</w:t>
            </w:r>
          </w:p>
        </w:tc>
      </w:tr>
      <w:tr w14:paraId="38D8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3" w:type="dxa"/>
            <w:noWrap/>
            <w:vAlign w:val="center"/>
          </w:tcPr>
          <w:p w14:paraId="39BBA433">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2429" w:type="dxa"/>
            <w:noWrap w:val="0"/>
            <w:vAlign w:val="center"/>
          </w:tcPr>
          <w:p w14:paraId="788A71F5">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温湿度计</w:t>
            </w:r>
          </w:p>
        </w:tc>
        <w:tc>
          <w:tcPr>
            <w:tcW w:w="5585" w:type="dxa"/>
            <w:noWrap w:val="0"/>
            <w:vAlign w:val="center"/>
          </w:tcPr>
          <w:p w14:paraId="3AB845DB">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1、温度</w:t>
            </w:r>
            <w:r>
              <w:rPr>
                <w:rFonts w:hint="eastAsia" w:ascii="仿宋_GB2312" w:hAnsi="仿宋_GB2312" w:eastAsia="仿宋_GB2312" w:cs="仿宋_GB2312"/>
                <w:b w:val="0"/>
                <w:bCs w:val="0"/>
                <w:color w:val="000000"/>
                <w:sz w:val="24"/>
                <w:szCs w:val="24"/>
                <w:lang w:val="en-US" w:eastAsia="zh-CN"/>
              </w:rPr>
              <w:tab/>
            </w:r>
          </w:p>
          <w:p w14:paraId="4A7A7A1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▲传感器类型：热敏电阻</w:t>
            </w:r>
          </w:p>
          <w:p w14:paraId="5A884A10">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范围 -20 ℃～60 ℃</w:t>
            </w:r>
          </w:p>
          <w:p w14:paraId="6F7E3293">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分辨率0.1℃</w:t>
            </w:r>
          </w:p>
          <w:p w14:paraId="075DA42F">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▲基本精度 ±0.5℃</w:t>
            </w:r>
          </w:p>
          <w:p w14:paraId="60614FDF">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2、湿度</w:t>
            </w:r>
            <w:r>
              <w:rPr>
                <w:rFonts w:hint="eastAsia" w:ascii="仿宋_GB2312" w:hAnsi="仿宋_GB2312" w:eastAsia="仿宋_GB2312" w:cs="仿宋_GB2312"/>
                <w:b w:val="0"/>
                <w:bCs w:val="0"/>
                <w:color w:val="000000"/>
                <w:sz w:val="24"/>
                <w:szCs w:val="24"/>
                <w:lang w:val="en-US" w:eastAsia="zh-CN"/>
              </w:rPr>
              <w:tab/>
            </w:r>
          </w:p>
          <w:p w14:paraId="24551727">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▲传感器类型：薄膜电容</w:t>
            </w:r>
          </w:p>
          <w:p w14:paraId="2084228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范围 0%RH～100 %RH</w:t>
            </w:r>
          </w:p>
          <w:p w14:paraId="3AD2D7CA">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分辨率 0.1%RH</w:t>
            </w:r>
          </w:p>
          <w:p w14:paraId="201BBEF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▲基本精度 ±2%RH</w:t>
            </w:r>
          </w:p>
          <w:p w14:paraId="6E80C3D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3、取样频率：2.5次/秒</w:t>
            </w:r>
          </w:p>
          <w:p w14:paraId="59C4CB22">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4、供电：9V碱性电池</w:t>
            </w:r>
          </w:p>
          <w:p w14:paraId="2A2C22BB">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5、响应时间：10s</w:t>
            </w:r>
          </w:p>
        </w:tc>
      </w:tr>
      <w:tr w14:paraId="7874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3" w:type="dxa"/>
            <w:noWrap/>
            <w:vAlign w:val="center"/>
          </w:tcPr>
          <w:p w14:paraId="11488797">
            <w:pPr>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4</w:t>
            </w:r>
          </w:p>
        </w:tc>
        <w:tc>
          <w:tcPr>
            <w:tcW w:w="2429" w:type="dxa"/>
            <w:noWrap w:val="0"/>
            <w:vAlign w:val="center"/>
          </w:tcPr>
          <w:p w14:paraId="6AEE73B5">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甲醛检测仪</w:t>
            </w:r>
          </w:p>
        </w:tc>
        <w:tc>
          <w:tcPr>
            <w:tcW w:w="5585" w:type="dxa"/>
            <w:noWrap w:val="0"/>
            <w:vAlign w:val="center"/>
          </w:tcPr>
          <w:p w14:paraId="2DD1A8E2">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▲1、符合国家标准《GB/T 18204.2 公共卫生场所检验方法 第2部分：化学污染物》中光电光度法的标准要求</w:t>
            </w:r>
          </w:p>
          <w:p w14:paraId="127EB740">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2、具有国家权威部门的测试报告</w:t>
            </w:r>
          </w:p>
          <w:p w14:paraId="3542BEE1">
            <w:pPr>
              <w:pageBreakBefore w:val="0"/>
              <w:widowControl/>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▲3、检测原理：试剂光电光度法</w:t>
            </w:r>
          </w:p>
          <w:p w14:paraId="4EE56FAC">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4、进样方式：泵吸式</w:t>
            </w:r>
          </w:p>
          <w:p w14:paraId="65DB8A2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▲5、检测范围/分辨率： 0-1.000ppm/0.001ppm</w:t>
            </w:r>
          </w:p>
          <w:p w14:paraId="1B3D7A68">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6、工作温度湿度： -10℃~40℃；0~95%RH（无冷凝）</w:t>
            </w:r>
          </w:p>
          <w:p w14:paraId="33E7A7C3">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default" w:ascii="仿宋_GB2312" w:hAnsi="仿宋_GB2312" w:eastAsia="仿宋_GB2312" w:cs="仿宋_GB2312"/>
                <w:b w:val="0"/>
                <w:bCs w:val="0"/>
                <w:color w:val="000000"/>
                <w:sz w:val="24"/>
                <w:szCs w:val="24"/>
                <w:lang w:val="en-US" w:eastAsia="zh-CN"/>
              </w:rPr>
              <w:t>7</w:t>
            </w:r>
            <w:r>
              <w:rPr>
                <w:rFonts w:hint="eastAsia" w:ascii="仿宋_GB2312" w:hAnsi="仿宋_GB2312" w:eastAsia="仿宋_GB2312" w:cs="仿宋_GB2312"/>
                <w:b w:val="0"/>
                <w:bCs w:val="0"/>
                <w:color w:val="000000"/>
                <w:sz w:val="24"/>
                <w:szCs w:val="24"/>
                <w:lang w:val="en-US" w:eastAsia="zh-CN"/>
              </w:rPr>
              <w:t>、电池：可选择可充电锂电池，也可以选择碱性干电池</w:t>
            </w:r>
          </w:p>
          <w:p w14:paraId="6EB8B818">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default" w:ascii="仿宋_GB2312" w:hAnsi="仿宋_GB2312" w:eastAsia="仿宋_GB2312" w:cs="仿宋_GB2312"/>
                <w:b w:val="0"/>
                <w:bCs w:val="0"/>
                <w:color w:val="000000"/>
                <w:sz w:val="24"/>
                <w:szCs w:val="24"/>
                <w:lang w:val="en-US" w:eastAsia="zh-CN"/>
              </w:rPr>
              <w:t>8</w:t>
            </w:r>
            <w:r>
              <w:rPr>
                <w:rFonts w:hint="eastAsia" w:ascii="仿宋_GB2312" w:hAnsi="仿宋_GB2312" w:eastAsia="仿宋_GB2312" w:cs="仿宋_GB2312"/>
                <w:b w:val="0"/>
                <w:bCs w:val="0"/>
                <w:color w:val="000000"/>
                <w:sz w:val="24"/>
                <w:szCs w:val="24"/>
                <w:lang w:val="en-US" w:eastAsia="zh-CN"/>
              </w:rPr>
              <w:t>、支持中文显示</w:t>
            </w:r>
          </w:p>
          <w:p w14:paraId="0C17770E">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w:t>
            </w:r>
            <w:r>
              <w:rPr>
                <w:rFonts w:hint="default" w:ascii="仿宋_GB2312" w:hAnsi="仿宋_GB2312" w:eastAsia="仿宋_GB2312" w:cs="仿宋_GB2312"/>
                <w:b w:val="0"/>
                <w:bCs w:val="0"/>
                <w:color w:val="000000"/>
                <w:sz w:val="24"/>
                <w:szCs w:val="24"/>
                <w:lang w:val="en-US" w:eastAsia="zh-CN"/>
              </w:rPr>
              <w:t>9</w:t>
            </w:r>
            <w:r>
              <w:rPr>
                <w:rFonts w:hint="eastAsia" w:ascii="仿宋_GB2312" w:hAnsi="仿宋_GB2312" w:eastAsia="仿宋_GB2312" w:cs="仿宋_GB2312"/>
                <w:b w:val="0"/>
                <w:bCs w:val="0"/>
                <w:color w:val="000000"/>
                <w:sz w:val="24"/>
                <w:szCs w:val="24"/>
                <w:lang w:val="en-US" w:eastAsia="zh-CN"/>
              </w:rPr>
              <w:t>、单点检测时间≤15分钟</w:t>
            </w:r>
          </w:p>
          <w:p w14:paraId="121BF5C0">
            <w:pPr>
              <w:pageBreakBefore w:val="0"/>
              <w:widowControl/>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1</w:t>
            </w:r>
            <w:r>
              <w:rPr>
                <w:rFonts w:hint="default" w:ascii="仿宋_GB2312" w:hAnsi="仿宋_GB2312" w:eastAsia="仿宋_GB2312" w:cs="仿宋_GB2312"/>
                <w:b w:val="0"/>
                <w:bCs w:val="0"/>
                <w:color w:val="000000"/>
                <w:sz w:val="24"/>
                <w:szCs w:val="24"/>
                <w:lang w:val="en-US" w:eastAsia="zh-CN"/>
              </w:rPr>
              <w:t>0</w:t>
            </w:r>
            <w:r>
              <w:rPr>
                <w:rFonts w:hint="eastAsia" w:ascii="仿宋_GB2312" w:hAnsi="仿宋_GB2312" w:eastAsia="仿宋_GB2312" w:cs="仿宋_GB2312"/>
                <w:b w:val="0"/>
                <w:bCs w:val="0"/>
                <w:color w:val="000000"/>
                <w:sz w:val="24"/>
                <w:szCs w:val="24"/>
                <w:lang w:val="en-US" w:eastAsia="zh-CN"/>
              </w:rPr>
              <w:t>、质保 整机质保 1 年</w:t>
            </w:r>
          </w:p>
          <w:p w14:paraId="5D00C03D">
            <w:pPr>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000000"/>
                <w:sz w:val="24"/>
                <w:szCs w:val="24"/>
                <w:lang w:val="en-US" w:eastAsia="zh-CN"/>
              </w:rPr>
            </w:pPr>
          </w:p>
        </w:tc>
      </w:tr>
    </w:tbl>
    <w:p w14:paraId="5CF7E831">
      <w:pPr>
        <w:spacing w:line="360" w:lineRule="auto"/>
        <w:jc w:val="left"/>
        <w:rPr>
          <w:rFonts w:ascii="宋体" w:hAnsi="宋体"/>
          <w:sz w:val="24"/>
        </w:rPr>
      </w:pPr>
    </w:p>
    <w:p w14:paraId="122AA842">
      <w:pPr>
        <w:pStyle w:val="3"/>
        <w:rPr>
          <w:rFonts w:hint="eastAsia"/>
        </w:rPr>
      </w:pPr>
    </w:p>
    <w:p w14:paraId="6B939CDF">
      <w:pPr>
        <w:pStyle w:val="3"/>
      </w:pPr>
      <w:r>
        <w:rPr>
          <w:rFonts w:hint="eastAsia"/>
        </w:rPr>
        <w:t>二、商务要求：</w:t>
      </w:r>
    </w:p>
    <w:p w14:paraId="2897D985">
      <w:pPr>
        <w:numPr>
          <w:ilvl w:val="0"/>
          <w:numId w:val="1"/>
        </w:numPr>
        <w:spacing w:line="360" w:lineRule="auto"/>
        <w:ind w:firstLine="480" w:firstLineChars="200"/>
        <w:jc w:val="left"/>
        <w:rPr>
          <w:rFonts w:ascii="宋体" w:hAnsi="宋体"/>
          <w:sz w:val="24"/>
        </w:rPr>
      </w:pPr>
      <w:r>
        <w:rPr>
          <w:rFonts w:hint="eastAsia" w:ascii="宋体" w:hAnsi="宋体"/>
          <w:sz w:val="24"/>
        </w:rPr>
        <w:t>项目预算金额：</w:t>
      </w:r>
      <w:r>
        <w:rPr>
          <w:rFonts w:hint="eastAsia" w:ascii="宋体" w:hAnsi="宋体"/>
          <w:sz w:val="24"/>
          <w:lang w:val="en-US" w:eastAsia="zh-CN"/>
        </w:rPr>
        <w:t>捌万</w:t>
      </w:r>
      <w:r>
        <w:rPr>
          <w:rFonts w:hint="eastAsia" w:ascii="宋体" w:hAnsi="宋体"/>
          <w:sz w:val="24"/>
        </w:rPr>
        <w:t>元（¥</w:t>
      </w:r>
      <w:r>
        <w:rPr>
          <w:rFonts w:hint="eastAsia" w:ascii="宋体" w:hAnsi="宋体"/>
          <w:sz w:val="24"/>
          <w:lang w:val="en-US" w:eastAsia="zh-CN"/>
        </w:rPr>
        <w:t>80000</w:t>
      </w:r>
      <w:r>
        <w:rPr>
          <w:rFonts w:hint="eastAsia" w:ascii="宋体" w:hAnsi="宋体"/>
          <w:sz w:val="24"/>
        </w:rPr>
        <w:t>.00）元。</w:t>
      </w:r>
    </w:p>
    <w:p w14:paraId="162269FC">
      <w:pPr>
        <w:numPr>
          <w:ilvl w:val="0"/>
          <w:numId w:val="1"/>
        </w:numPr>
        <w:spacing w:line="360" w:lineRule="auto"/>
        <w:ind w:firstLine="480"/>
        <w:jc w:val="left"/>
        <w:rPr>
          <w:rFonts w:ascii="宋体" w:hAnsi="宋体"/>
          <w:sz w:val="24"/>
        </w:rPr>
      </w:pPr>
      <w:r>
        <w:rPr>
          <w:rFonts w:hint="eastAsia" w:ascii="宋体" w:hAnsi="宋体"/>
          <w:sz w:val="24"/>
        </w:rPr>
        <w:t>报价要求：</w:t>
      </w:r>
    </w:p>
    <w:p w14:paraId="7D92B923">
      <w:pPr>
        <w:spacing w:line="360" w:lineRule="auto"/>
        <w:ind w:firstLine="480" w:firstLineChars="200"/>
        <w:jc w:val="left"/>
        <w:rPr>
          <w:rFonts w:ascii="宋体" w:hAnsi="宋体"/>
          <w:sz w:val="24"/>
        </w:rPr>
      </w:pPr>
      <w:r>
        <w:rPr>
          <w:rFonts w:hint="eastAsia" w:ascii="宋体" w:hAnsi="宋体"/>
          <w:sz w:val="24"/>
        </w:rPr>
        <w:t>（1）本项目预算控制金额及最高投标限价为人民币</w:t>
      </w:r>
      <w:r>
        <w:rPr>
          <w:rFonts w:hint="eastAsia" w:ascii="宋体" w:hAnsi="宋体"/>
          <w:sz w:val="24"/>
          <w:lang w:val="en-US" w:eastAsia="zh-CN"/>
        </w:rPr>
        <w:t>80000</w:t>
      </w:r>
      <w:r>
        <w:rPr>
          <w:rFonts w:ascii="宋体" w:hAnsi="宋体"/>
          <w:sz w:val="24"/>
        </w:rPr>
        <w:t>.00</w:t>
      </w:r>
      <w:r>
        <w:rPr>
          <w:rFonts w:hint="eastAsia" w:ascii="宋体" w:hAnsi="宋体"/>
          <w:sz w:val="24"/>
        </w:rPr>
        <w:t>元。超出此预算控制金额或最高投标限价的作无效投标处理；</w:t>
      </w:r>
    </w:p>
    <w:p w14:paraId="10B8B3A1">
      <w:pPr>
        <w:spacing w:line="360" w:lineRule="auto"/>
        <w:ind w:firstLine="480" w:firstLineChars="200"/>
        <w:jc w:val="left"/>
        <w:rPr>
          <w:rFonts w:ascii="宋体" w:hAnsi="宋体"/>
          <w:sz w:val="24"/>
        </w:rPr>
      </w:pPr>
      <w:r>
        <w:rPr>
          <w:rFonts w:hint="eastAsia" w:ascii="宋体" w:hAnsi="宋体"/>
          <w:sz w:val="24"/>
        </w:rPr>
        <w:t>（2）本次采购报价币种为人民币，单位为元；</w:t>
      </w:r>
    </w:p>
    <w:p w14:paraId="2D5E9F12">
      <w:pPr>
        <w:spacing w:line="360" w:lineRule="auto"/>
        <w:ind w:firstLine="480" w:firstLineChars="200"/>
        <w:jc w:val="left"/>
        <w:rPr>
          <w:rFonts w:ascii="宋体" w:hAnsi="宋体"/>
          <w:sz w:val="24"/>
        </w:rPr>
      </w:pPr>
      <w:r>
        <w:rPr>
          <w:rFonts w:hint="eastAsia" w:ascii="宋体" w:hAnsi="宋体"/>
          <w:sz w:val="24"/>
        </w:rPr>
        <w:t>（3）本项目服务费用采用包干制，包括但不限于人工费、设备费等服务成本、管理费用、法定税费和利润等一切费用。投标人应自行承担未来时期人工工资上调、劳动合同补偿和物价上涨等因素对服务价格造成的影响及风险；</w:t>
      </w:r>
    </w:p>
    <w:p w14:paraId="778FFB86">
      <w:pPr>
        <w:spacing w:line="360" w:lineRule="auto"/>
        <w:ind w:firstLine="480" w:firstLineChars="200"/>
        <w:jc w:val="left"/>
        <w:rPr>
          <w:rFonts w:ascii="宋体" w:hAnsi="宋体"/>
          <w:sz w:val="24"/>
        </w:rPr>
      </w:pPr>
      <w:r>
        <w:rPr>
          <w:rFonts w:hint="eastAsia" w:ascii="宋体" w:hAnsi="宋体"/>
          <w:sz w:val="24"/>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C1D99AF">
      <w:pPr>
        <w:numPr>
          <w:ilvl w:val="0"/>
          <w:numId w:val="1"/>
        </w:numPr>
        <w:spacing w:line="360" w:lineRule="auto"/>
        <w:ind w:firstLine="480" w:firstLineChars="200"/>
        <w:jc w:val="left"/>
        <w:rPr>
          <w:rFonts w:ascii="宋体" w:hAnsi="宋体"/>
          <w:sz w:val="24"/>
        </w:rPr>
      </w:pPr>
      <w:r>
        <w:rPr>
          <w:rFonts w:hint="eastAsia" w:ascii="宋体" w:hAnsi="宋体"/>
          <w:sz w:val="24"/>
        </w:rPr>
        <w:t>交货时间：自合同签订之日起10个工作日内完成供货，具体以采购单位实际需求为准。</w:t>
      </w:r>
    </w:p>
    <w:p w14:paraId="039170BC">
      <w:pPr>
        <w:numPr>
          <w:ilvl w:val="0"/>
          <w:numId w:val="1"/>
        </w:numPr>
        <w:spacing w:line="360" w:lineRule="auto"/>
        <w:ind w:firstLine="480"/>
        <w:jc w:val="left"/>
        <w:rPr>
          <w:rFonts w:ascii="宋体" w:hAnsi="宋体"/>
          <w:sz w:val="24"/>
        </w:rPr>
      </w:pPr>
      <w:r>
        <w:rPr>
          <w:rFonts w:hint="eastAsia" w:ascii="宋体" w:hAnsi="宋体"/>
          <w:sz w:val="24"/>
        </w:rPr>
        <w:t>交货地点：采购单位指定地点。</w:t>
      </w:r>
    </w:p>
    <w:p w14:paraId="7B4E747C">
      <w:pPr>
        <w:numPr>
          <w:ilvl w:val="0"/>
          <w:numId w:val="1"/>
        </w:numPr>
        <w:spacing w:line="360" w:lineRule="auto"/>
        <w:ind w:firstLine="480"/>
        <w:jc w:val="left"/>
        <w:rPr>
          <w:rFonts w:ascii="宋体" w:hAnsi="宋体"/>
          <w:sz w:val="24"/>
        </w:rPr>
      </w:pPr>
      <w:r>
        <w:rPr>
          <w:rFonts w:hint="eastAsia" w:ascii="宋体" w:hAnsi="宋体"/>
          <w:sz w:val="24"/>
        </w:rPr>
        <w:t>付款方式：</w:t>
      </w:r>
    </w:p>
    <w:p w14:paraId="22E79CAA">
      <w:pPr>
        <w:spacing w:line="360" w:lineRule="auto"/>
        <w:ind w:firstLine="480" w:firstLineChars="200"/>
        <w:rPr>
          <w:rFonts w:ascii="宋体" w:hAnsi="宋体"/>
          <w:bCs/>
          <w:color w:val="000000"/>
          <w:sz w:val="24"/>
        </w:rPr>
      </w:pPr>
      <w:r>
        <w:rPr>
          <w:rFonts w:hint="eastAsia" w:ascii="宋体" w:hAnsi="宋体"/>
          <w:bCs/>
          <w:color w:val="000000"/>
          <w:sz w:val="24"/>
        </w:rPr>
        <w:t>（</w:t>
      </w:r>
      <w:r>
        <w:rPr>
          <w:rFonts w:ascii="宋体" w:hAnsi="宋体"/>
          <w:bCs/>
          <w:color w:val="000000"/>
          <w:sz w:val="24"/>
        </w:rPr>
        <w:t>1</w:t>
      </w:r>
      <w:r>
        <w:rPr>
          <w:rFonts w:hint="eastAsia" w:ascii="宋体" w:hAnsi="宋体"/>
          <w:bCs/>
          <w:color w:val="000000"/>
          <w:sz w:val="24"/>
        </w:rPr>
        <w:t>）中标人供货完成后，采购人向中标人支付合同总价</w:t>
      </w:r>
      <w:r>
        <w:rPr>
          <w:rFonts w:ascii="宋体" w:hAnsi="宋体"/>
          <w:bCs/>
          <w:color w:val="000000"/>
          <w:sz w:val="24"/>
        </w:rPr>
        <w:t>100</w:t>
      </w:r>
      <w:r>
        <w:rPr>
          <w:rFonts w:hint="eastAsia" w:ascii="宋体" w:hAnsi="宋体"/>
          <w:bCs/>
          <w:color w:val="000000"/>
          <w:sz w:val="24"/>
        </w:rPr>
        <w:t>%的款项；</w:t>
      </w:r>
    </w:p>
    <w:p w14:paraId="7443D29F">
      <w:pPr>
        <w:spacing w:line="360" w:lineRule="auto"/>
        <w:ind w:firstLine="480" w:firstLineChars="200"/>
        <w:rPr>
          <w:rFonts w:ascii="宋体" w:hAnsi="宋体"/>
          <w:bCs/>
          <w:color w:val="000000"/>
          <w:sz w:val="24"/>
        </w:rPr>
      </w:pPr>
      <w:r>
        <w:rPr>
          <w:rFonts w:hint="eastAsia" w:ascii="宋体" w:hAnsi="宋体"/>
          <w:bCs/>
          <w:color w:val="000000"/>
          <w:sz w:val="24"/>
        </w:rPr>
        <w:t>（</w:t>
      </w:r>
      <w:r>
        <w:rPr>
          <w:rFonts w:ascii="宋体" w:hAnsi="宋体"/>
          <w:bCs/>
          <w:color w:val="000000"/>
          <w:sz w:val="24"/>
        </w:rPr>
        <w:t>2</w:t>
      </w:r>
      <w:r>
        <w:rPr>
          <w:rFonts w:hint="eastAsia" w:ascii="宋体" w:hAnsi="宋体"/>
          <w:bCs/>
          <w:color w:val="000000"/>
          <w:sz w:val="24"/>
        </w:rPr>
        <w:t>）中标人需向采购人提供相应金额的有效增值税发票，采购人在收到发票后15个工作日内支付；</w:t>
      </w:r>
    </w:p>
    <w:p w14:paraId="2C40F8F9">
      <w:pPr>
        <w:numPr>
          <w:ilvl w:val="0"/>
          <w:numId w:val="1"/>
        </w:numPr>
        <w:spacing w:line="360" w:lineRule="auto"/>
        <w:ind w:firstLine="480" w:firstLineChars="200"/>
        <w:jc w:val="left"/>
        <w:rPr>
          <w:rFonts w:ascii="宋体" w:hAnsi="宋体"/>
          <w:sz w:val="24"/>
        </w:rPr>
      </w:pPr>
      <w:r>
        <w:rPr>
          <w:rFonts w:hint="eastAsia" w:ascii="宋体" w:hAnsi="宋体"/>
          <w:sz w:val="24"/>
        </w:rPr>
        <w:t>验收方式：</w:t>
      </w:r>
    </w:p>
    <w:p w14:paraId="4B90D9D4">
      <w:pPr>
        <w:spacing w:line="360" w:lineRule="auto"/>
        <w:ind w:firstLine="480" w:firstLineChars="200"/>
        <w:rPr>
          <w:rFonts w:ascii="宋体" w:hAnsi="宋体"/>
          <w:bCs/>
          <w:color w:val="000000"/>
          <w:sz w:val="24"/>
        </w:rPr>
      </w:pPr>
      <w:r>
        <w:rPr>
          <w:rFonts w:hint="eastAsia" w:ascii="宋体" w:hAnsi="宋体"/>
          <w:bCs/>
          <w:color w:val="000000"/>
          <w:sz w:val="24"/>
        </w:rPr>
        <w:t>（</w:t>
      </w:r>
      <w:r>
        <w:rPr>
          <w:rFonts w:ascii="宋体" w:hAnsi="宋体"/>
          <w:bCs/>
          <w:color w:val="000000"/>
          <w:sz w:val="24"/>
        </w:rPr>
        <w:t>1</w:t>
      </w:r>
      <w:r>
        <w:rPr>
          <w:rFonts w:hint="eastAsia" w:ascii="宋体" w:hAnsi="宋体"/>
          <w:bCs/>
          <w:color w:val="000000"/>
          <w:sz w:val="24"/>
        </w:rPr>
        <w:t>）提供的货物必须为全新、经检验合格的产品；</w:t>
      </w:r>
    </w:p>
    <w:p w14:paraId="550440A1">
      <w:pPr>
        <w:spacing w:line="360" w:lineRule="auto"/>
        <w:ind w:firstLine="480" w:firstLineChars="200"/>
        <w:rPr>
          <w:rFonts w:ascii="宋体" w:hAnsi="宋体"/>
          <w:bCs/>
          <w:color w:val="000000"/>
          <w:sz w:val="24"/>
        </w:rPr>
      </w:pPr>
      <w:r>
        <w:rPr>
          <w:rFonts w:hint="eastAsia" w:ascii="宋体" w:hAnsi="宋体"/>
          <w:bCs/>
          <w:color w:val="000000"/>
          <w:sz w:val="24"/>
        </w:rPr>
        <w:t>（</w:t>
      </w:r>
      <w:r>
        <w:rPr>
          <w:rFonts w:ascii="宋体" w:hAnsi="宋体"/>
          <w:bCs/>
          <w:color w:val="000000"/>
          <w:sz w:val="24"/>
        </w:rPr>
        <w:t>2</w:t>
      </w:r>
      <w:r>
        <w:rPr>
          <w:rFonts w:hint="eastAsia" w:ascii="宋体" w:hAnsi="宋体"/>
          <w:bCs/>
          <w:color w:val="000000"/>
          <w:sz w:val="24"/>
        </w:rPr>
        <w:t>）投标人负责将货物安全无损运抵采购人指定地点,并承担设备的包装、运输、保险、装卸、安装调试、商检及计量检测、增值税等费用；</w:t>
      </w:r>
    </w:p>
    <w:p w14:paraId="04AA0A10">
      <w:pPr>
        <w:spacing w:line="360" w:lineRule="auto"/>
        <w:ind w:firstLine="480" w:firstLineChars="200"/>
        <w:rPr>
          <w:rFonts w:ascii="宋体" w:hAnsi="宋体"/>
          <w:bCs/>
          <w:color w:val="000000"/>
          <w:sz w:val="24"/>
        </w:rPr>
      </w:pPr>
      <w:r>
        <w:rPr>
          <w:rFonts w:hint="eastAsia" w:ascii="宋体" w:hAnsi="宋体"/>
          <w:bCs/>
          <w:color w:val="000000"/>
          <w:sz w:val="24"/>
        </w:rPr>
        <w:t>（</w:t>
      </w:r>
      <w:r>
        <w:rPr>
          <w:rFonts w:ascii="宋体" w:hAnsi="宋体"/>
          <w:bCs/>
          <w:color w:val="000000"/>
          <w:sz w:val="24"/>
        </w:rPr>
        <w:t>3</w:t>
      </w:r>
      <w:r>
        <w:rPr>
          <w:rFonts w:hint="eastAsia" w:ascii="宋体" w:hAnsi="宋体"/>
          <w:bCs/>
          <w:color w:val="000000"/>
          <w:sz w:val="24"/>
        </w:rPr>
        <w:t>）采购人有权检验或测试货物，以确认货物是否符合合同规格的要求，并且不承担额外的费用。如果发现所交货物与投标文件中所承诺的不符或存在质量、技术缺陷等,采购人可以拒绝接收该货物,投标人应在30日内采取补足、更换或退货等措施,以满足规格的要求，由此发生的一切损失和费用由投标人承担；</w:t>
      </w:r>
    </w:p>
    <w:p w14:paraId="5C111C9F">
      <w:pPr>
        <w:spacing w:line="360" w:lineRule="auto"/>
        <w:ind w:firstLine="480" w:firstLineChars="200"/>
        <w:rPr>
          <w:rFonts w:ascii="宋体" w:hAnsi="宋体"/>
          <w:bCs/>
          <w:color w:val="000000"/>
          <w:sz w:val="24"/>
        </w:rPr>
      </w:pPr>
      <w:r>
        <w:rPr>
          <w:rFonts w:hint="eastAsia" w:ascii="宋体" w:hAnsi="宋体"/>
          <w:bCs/>
          <w:color w:val="000000"/>
          <w:sz w:val="24"/>
        </w:rPr>
        <w:t>（4）当满足以下条件时，采购人才向中标人签发验收报告；</w:t>
      </w:r>
    </w:p>
    <w:p w14:paraId="272F4AC9">
      <w:pPr>
        <w:spacing w:line="360" w:lineRule="auto"/>
        <w:ind w:firstLine="480" w:firstLineChars="200"/>
        <w:rPr>
          <w:rFonts w:ascii="宋体" w:hAnsi="宋体"/>
          <w:bCs/>
          <w:color w:val="000000"/>
          <w:sz w:val="24"/>
        </w:rPr>
      </w:pPr>
      <w:r>
        <w:rPr>
          <w:rFonts w:hint="eastAsia" w:ascii="宋体" w:hAnsi="宋体"/>
          <w:bCs/>
          <w:color w:val="000000"/>
          <w:sz w:val="24"/>
        </w:rPr>
        <w:t>4.1货物符合招标文件技术规格书的要求，性能满足要求；</w:t>
      </w:r>
    </w:p>
    <w:p w14:paraId="24B0CF07">
      <w:pPr>
        <w:spacing w:line="360" w:lineRule="auto"/>
        <w:ind w:firstLine="480" w:firstLineChars="200"/>
        <w:rPr>
          <w:rFonts w:ascii="宋体" w:hAnsi="宋体"/>
          <w:bCs/>
          <w:color w:val="000000"/>
          <w:sz w:val="24"/>
        </w:rPr>
      </w:pPr>
      <w:r>
        <w:rPr>
          <w:rFonts w:hint="eastAsia" w:ascii="宋体" w:hAnsi="宋体"/>
          <w:bCs/>
          <w:color w:val="000000"/>
          <w:sz w:val="24"/>
        </w:rPr>
        <w:t>4.2货物具备产品合格证；</w:t>
      </w:r>
    </w:p>
    <w:p w14:paraId="1A6A63B3">
      <w:pPr>
        <w:spacing w:line="360" w:lineRule="auto"/>
        <w:ind w:firstLine="482" w:firstLineChars="200"/>
        <w:rPr>
          <w:rFonts w:hint="eastAsia" w:ascii="宋体" w:hAnsi="宋体"/>
          <w:b/>
          <w:bCs w:val="0"/>
          <w:color w:val="000000"/>
          <w:sz w:val="24"/>
        </w:rPr>
      </w:pPr>
      <w:r>
        <w:rPr>
          <w:rFonts w:hint="eastAsia" w:ascii="宋体" w:hAnsi="宋体"/>
          <w:b/>
          <w:bCs w:val="0"/>
          <w:color w:val="000000"/>
          <w:sz w:val="24"/>
        </w:rPr>
        <w:t>4</w:t>
      </w:r>
      <w:r>
        <w:rPr>
          <w:rFonts w:ascii="宋体" w:hAnsi="宋体"/>
          <w:b/>
          <w:bCs w:val="0"/>
          <w:color w:val="000000"/>
          <w:sz w:val="24"/>
        </w:rPr>
        <w:t>.3</w:t>
      </w:r>
      <w:r>
        <w:rPr>
          <w:rFonts w:hint="eastAsia" w:ascii="宋体" w:hAnsi="宋体"/>
          <w:b/>
          <w:bCs w:val="0"/>
          <w:color w:val="000000"/>
          <w:sz w:val="24"/>
        </w:rPr>
        <w:t>所交付货物保质期不少于</w:t>
      </w:r>
      <w:r>
        <w:rPr>
          <w:rFonts w:hint="eastAsia" w:ascii="宋体" w:hAnsi="宋体"/>
          <w:b/>
          <w:bCs w:val="0"/>
          <w:color w:val="000000"/>
          <w:sz w:val="24"/>
          <w:lang w:val="en-US" w:eastAsia="zh-CN"/>
        </w:rPr>
        <w:t>一年</w:t>
      </w:r>
      <w:r>
        <w:rPr>
          <w:rFonts w:hint="eastAsia" w:ascii="宋体" w:hAnsi="宋体"/>
          <w:b/>
          <w:bCs w:val="0"/>
          <w:color w:val="000000"/>
          <w:sz w:val="24"/>
        </w:rPr>
        <w:t>，以签收时间为准。</w:t>
      </w:r>
    </w:p>
    <w:p w14:paraId="7B618EC9">
      <w:pPr>
        <w:numPr>
          <w:ilvl w:val="0"/>
          <w:numId w:val="1"/>
        </w:numPr>
        <w:spacing w:line="360" w:lineRule="auto"/>
        <w:ind w:left="0" w:leftChars="0" w:firstLine="482" w:firstLineChars="200"/>
        <w:rPr>
          <w:rFonts w:hint="eastAsia" w:ascii="宋体" w:hAnsi="宋体"/>
          <w:b/>
          <w:bCs w:val="0"/>
          <w:color w:val="000000"/>
          <w:sz w:val="24"/>
          <w:lang w:val="en-US" w:eastAsia="zh-CN"/>
        </w:rPr>
      </w:pPr>
      <w:r>
        <w:rPr>
          <w:rFonts w:hint="eastAsia" w:ascii="宋体" w:hAnsi="宋体"/>
          <w:b/>
          <w:bCs w:val="0"/>
          <w:color w:val="000000"/>
          <w:sz w:val="24"/>
          <w:lang w:val="en-US" w:eastAsia="zh-CN"/>
        </w:rPr>
        <w:t>检定校准</w:t>
      </w:r>
    </w:p>
    <w:p w14:paraId="3E2DE108">
      <w:pPr>
        <w:numPr>
          <w:ilvl w:val="0"/>
          <w:numId w:val="0"/>
        </w:numPr>
        <w:spacing w:line="360" w:lineRule="auto"/>
        <w:ind w:leftChars="200"/>
        <w:rPr>
          <w:rFonts w:hint="default" w:ascii="宋体" w:hAnsi="宋体" w:eastAsiaTheme="minorEastAsia"/>
          <w:bCs/>
          <w:color w:val="000000"/>
          <w:sz w:val="24"/>
          <w:lang w:val="en-US" w:eastAsia="zh-CN"/>
        </w:rPr>
      </w:pPr>
      <w:r>
        <w:rPr>
          <w:rFonts w:hint="eastAsia" w:ascii="宋体" w:hAnsi="宋体"/>
          <w:b/>
          <w:bCs w:val="0"/>
          <w:color w:val="000000"/>
          <w:sz w:val="24"/>
          <w:lang w:val="en-US" w:eastAsia="zh-CN"/>
        </w:rPr>
        <w:t>要求交付</w:t>
      </w:r>
      <w:r>
        <w:rPr>
          <w:rFonts w:hint="eastAsia" w:ascii="宋体" w:hAnsi="宋体"/>
          <w:b/>
          <w:bCs w:val="0"/>
          <w:color w:val="000000"/>
          <w:sz w:val="24"/>
        </w:rPr>
        <w:t>货物</w:t>
      </w:r>
      <w:r>
        <w:rPr>
          <w:rFonts w:hint="eastAsia" w:ascii="宋体" w:hAnsi="宋体"/>
          <w:b/>
          <w:bCs w:val="0"/>
          <w:color w:val="000000"/>
          <w:sz w:val="24"/>
          <w:lang w:val="en-US" w:eastAsia="zh-CN"/>
        </w:rPr>
        <w:t>已通过有资质的检测机构检定校准，满足采购人使用要求。</w:t>
      </w:r>
    </w:p>
    <w:p w14:paraId="558905BE">
      <w:pPr>
        <w:numPr>
          <w:ilvl w:val="0"/>
          <w:numId w:val="1"/>
        </w:numPr>
        <w:spacing w:line="360" w:lineRule="auto"/>
        <w:ind w:firstLine="480" w:firstLineChars="200"/>
        <w:jc w:val="left"/>
        <w:rPr>
          <w:rFonts w:ascii="宋体" w:hAnsi="宋体"/>
          <w:sz w:val="24"/>
        </w:rPr>
      </w:pPr>
      <w:r>
        <w:rPr>
          <w:rFonts w:hint="eastAsia" w:ascii="宋体" w:hAnsi="宋体"/>
          <w:sz w:val="24"/>
        </w:rPr>
        <w:t>违约要求：</w:t>
      </w:r>
    </w:p>
    <w:p w14:paraId="4976DB77">
      <w:pPr>
        <w:spacing w:line="360" w:lineRule="auto"/>
        <w:ind w:firstLine="480" w:firstLineChars="200"/>
        <w:jc w:val="left"/>
        <w:rPr>
          <w:rFonts w:ascii="宋体" w:hAnsi="宋体"/>
          <w:sz w:val="24"/>
        </w:rPr>
      </w:pPr>
      <w:r>
        <w:rPr>
          <w:rFonts w:hint="eastAsia" w:ascii="宋体" w:hAnsi="宋体"/>
          <w:sz w:val="24"/>
        </w:rPr>
        <w:t>（1）如投标人未按照投标文件中承诺的时间交货或提供服务，投标人应承担延期交货和延期服务的违约责任，并赔偿采购人因此造成的实际经济损失。实际经济损失超出履约保证金额，采购人有权终止合同；</w:t>
      </w:r>
    </w:p>
    <w:p w14:paraId="551C1AF8">
      <w:pPr>
        <w:spacing w:line="360" w:lineRule="auto"/>
        <w:ind w:firstLine="480" w:firstLineChars="200"/>
        <w:jc w:val="left"/>
        <w:rPr>
          <w:rFonts w:ascii="宋体" w:hAnsi="宋体"/>
          <w:sz w:val="24"/>
        </w:rPr>
      </w:pPr>
      <w:r>
        <w:rPr>
          <w:rFonts w:hint="eastAsia" w:ascii="宋体" w:hAnsi="宋体"/>
          <w:sz w:val="24"/>
        </w:rPr>
        <w:t>（2）投标人所交设备的品种、型号、规格、质量、功能、技术参数等方面不能实质性满足招标文件要约的，采购人有权拒绝收货，投标人向采购人偿付项目采购金额千分之十的违约金；造成严重后果的，根据《深圳经济特区政府采购条例》第五十七条第（二）款规定，由主管部门对中标人进行处罚；</w:t>
      </w:r>
    </w:p>
    <w:p w14:paraId="4BECC150">
      <w:pPr>
        <w:spacing w:line="360" w:lineRule="auto"/>
        <w:ind w:firstLine="480" w:firstLineChars="200"/>
        <w:jc w:val="left"/>
        <w:rPr>
          <w:rFonts w:ascii="宋体" w:hAnsi="宋体"/>
          <w:sz w:val="24"/>
        </w:rPr>
      </w:pPr>
      <w:r>
        <w:rPr>
          <w:rFonts w:hint="eastAsia" w:ascii="宋体" w:hAnsi="宋体"/>
          <w:sz w:val="24"/>
        </w:rPr>
        <w:t>（3）投标人不能交付设备的，投标人向采购人偿付项目采购金额千分之十的违约金；造成严重后果的，根据《深圳经济特区政府采购条例》第五十七条第（二）款规定，由主管部门对中标人进行处罚；</w:t>
      </w:r>
    </w:p>
    <w:p w14:paraId="015C71E4">
      <w:pPr>
        <w:spacing w:line="360" w:lineRule="auto"/>
        <w:ind w:firstLine="480" w:firstLineChars="200"/>
        <w:jc w:val="left"/>
        <w:rPr>
          <w:rFonts w:ascii="宋体" w:hAnsi="宋体"/>
          <w:sz w:val="24"/>
        </w:rPr>
      </w:pPr>
      <w:r>
        <w:rPr>
          <w:rFonts w:hint="eastAsia" w:ascii="宋体" w:hAnsi="宋体"/>
          <w:sz w:val="24"/>
        </w:rPr>
        <w:t>（4）投标人逾期未交设备的，投标人向采购人每日偿付设备款千分之十的违约金。投标人超过交货期限30日仍未交货，采购人有权解除合同。</w:t>
      </w:r>
    </w:p>
    <w:p w14:paraId="42CF4938">
      <w:pPr>
        <w:numPr>
          <w:ilvl w:val="0"/>
          <w:numId w:val="1"/>
        </w:numPr>
        <w:spacing w:line="360" w:lineRule="auto"/>
        <w:ind w:firstLine="480" w:firstLineChars="200"/>
        <w:jc w:val="left"/>
      </w:pPr>
      <w:r>
        <w:rPr>
          <w:rFonts w:hint="eastAsia" w:ascii="宋体" w:hAnsi="宋体"/>
          <w:sz w:val="24"/>
        </w:rPr>
        <w:t>其他要求：中标人需配合采购单位信息管理系统，供货产品需有最小包装且将信息生成识别码贴于产品最小包包装外封面用于实时追踪产品信息。</w:t>
      </w:r>
    </w:p>
    <w:p w14:paraId="3441236B">
      <w:pPr>
        <w:spacing w:line="360" w:lineRule="auto"/>
        <w:ind w:firstLine="480" w:firstLineChars="200"/>
        <w:jc w:val="left"/>
        <w:rPr>
          <w:rFonts w:ascii="宋体" w:hAnsi="宋体"/>
          <w:sz w:val="24"/>
        </w:rPr>
      </w:pPr>
    </w:p>
    <w:p w14:paraId="53A55366">
      <w:pPr>
        <w:pStyle w:val="3"/>
        <w:rPr>
          <w:rFonts w:ascii="仿宋" w:hAnsi="仿宋" w:eastAsia="仿宋"/>
          <w:b w:val="0"/>
          <w:color w:val="000000"/>
        </w:rPr>
      </w:pPr>
      <w:r>
        <w:rPr>
          <w:rFonts w:hint="eastAsia"/>
          <w:lang w:val="en-US" w:eastAsia="zh-CN"/>
        </w:rPr>
        <w:t>三</w:t>
      </w:r>
      <w:r>
        <w:rPr>
          <w:rFonts w:hint="eastAsia"/>
        </w:rPr>
        <w:t>、评审因素和评审标准</w:t>
      </w:r>
    </w:p>
    <w:p w14:paraId="21E6D89F">
      <w:pPr>
        <w:spacing w:line="360" w:lineRule="auto"/>
        <w:ind w:firstLine="480" w:firstLineChars="200"/>
        <w:jc w:val="left"/>
        <w:rPr>
          <w:rFonts w:ascii="宋体" w:hAnsi="宋体"/>
          <w:sz w:val="24"/>
        </w:rPr>
      </w:pPr>
    </w:p>
    <w:tbl>
      <w:tblPr>
        <w:tblStyle w:val="16"/>
        <w:tblW w:w="97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5"/>
        <w:gridCol w:w="1144"/>
        <w:gridCol w:w="709"/>
        <w:gridCol w:w="5955"/>
        <w:gridCol w:w="1187"/>
      </w:tblGrid>
      <w:tr w14:paraId="4544B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63" w:type="dxa"/>
            <w:gridSpan w:val="4"/>
            <w:tcBorders>
              <w:top w:val="single" w:color="auto" w:sz="6" w:space="0"/>
              <w:left w:val="single" w:color="auto" w:sz="6" w:space="0"/>
              <w:bottom w:val="single" w:color="auto" w:sz="6" w:space="0"/>
              <w:right w:val="single" w:color="auto" w:sz="6" w:space="0"/>
            </w:tcBorders>
            <w:noWrap w:val="0"/>
            <w:vAlign w:val="center"/>
          </w:tcPr>
          <w:p w14:paraId="6CA07B56">
            <w:pPr>
              <w:autoSpaceDE w:val="0"/>
              <w:autoSpaceDN w:val="0"/>
              <w:adjustRightInd w:val="0"/>
              <w:spacing w:line="276" w:lineRule="auto"/>
              <w:jc w:val="center"/>
              <w:rPr>
                <w:rFonts w:ascii="宋体" w:hAnsi="宋体" w:cs="仿宋"/>
                <w:b/>
                <w:sz w:val="24"/>
                <w:lang w:val="zh-CN"/>
              </w:rPr>
            </w:pPr>
            <w:r>
              <w:rPr>
                <w:rFonts w:hint="eastAsia" w:ascii="宋体" w:hAnsi="宋体" w:cs="仿宋"/>
                <w:b/>
                <w:sz w:val="24"/>
                <w:lang w:val="zh-CN"/>
              </w:rPr>
              <w:t>评分项及评分规则</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32963668">
            <w:pPr>
              <w:autoSpaceDE w:val="0"/>
              <w:autoSpaceDN w:val="0"/>
              <w:adjustRightInd w:val="0"/>
              <w:spacing w:line="276" w:lineRule="auto"/>
              <w:jc w:val="center"/>
              <w:rPr>
                <w:rFonts w:hint="eastAsia" w:ascii="宋体" w:hAnsi="宋体" w:cs="仿宋"/>
                <w:b/>
                <w:sz w:val="24"/>
                <w:lang w:val="zh-CN"/>
              </w:rPr>
            </w:pPr>
            <w:r>
              <w:rPr>
                <w:rFonts w:hint="eastAsia" w:ascii="宋体" w:hAnsi="宋体" w:cs="仿宋"/>
                <w:b/>
                <w:sz w:val="24"/>
                <w:lang w:val="zh-CN"/>
              </w:rPr>
              <w:t>权重</w:t>
            </w:r>
          </w:p>
        </w:tc>
      </w:tr>
      <w:tr w14:paraId="1AEA1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63" w:type="dxa"/>
            <w:gridSpan w:val="4"/>
            <w:tcBorders>
              <w:top w:val="single" w:color="auto" w:sz="6" w:space="0"/>
              <w:left w:val="single" w:color="auto" w:sz="6" w:space="0"/>
              <w:bottom w:val="single" w:color="auto" w:sz="6" w:space="0"/>
              <w:right w:val="single" w:color="auto" w:sz="6" w:space="0"/>
            </w:tcBorders>
            <w:noWrap w:val="0"/>
            <w:vAlign w:val="center"/>
          </w:tcPr>
          <w:p w14:paraId="088BD4B3">
            <w:pPr>
              <w:autoSpaceDE w:val="0"/>
              <w:autoSpaceDN w:val="0"/>
              <w:adjustRightInd w:val="0"/>
              <w:spacing w:line="276" w:lineRule="auto"/>
              <w:jc w:val="center"/>
              <w:rPr>
                <w:rFonts w:hint="eastAsia" w:ascii="宋体" w:hAnsi="宋体" w:cs="仿宋"/>
                <w:b/>
                <w:sz w:val="24"/>
                <w:lang w:val="zh-CN"/>
              </w:rPr>
            </w:pPr>
            <w:r>
              <w:rPr>
                <w:rFonts w:hint="eastAsia" w:ascii="宋体" w:hAnsi="宋体" w:cs="仿宋"/>
                <w:b/>
                <w:sz w:val="24"/>
                <w:lang w:val="zh-CN"/>
              </w:rPr>
              <w:t>一、价格部分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7FB38900">
            <w:pPr>
              <w:autoSpaceDE w:val="0"/>
              <w:autoSpaceDN w:val="0"/>
              <w:adjustRightInd w:val="0"/>
              <w:spacing w:line="276" w:lineRule="auto"/>
              <w:jc w:val="center"/>
              <w:rPr>
                <w:rFonts w:hint="eastAsia" w:ascii="宋体" w:hAnsi="宋体" w:cs="仿宋"/>
                <w:b/>
                <w:sz w:val="24"/>
              </w:rPr>
            </w:pPr>
            <w:r>
              <w:rPr>
                <w:rFonts w:hint="eastAsia" w:ascii="宋体" w:hAnsi="宋体" w:cs="仿宋"/>
                <w:b/>
                <w:sz w:val="24"/>
              </w:rPr>
              <w:t>30</w:t>
            </w:r>
          </w:p>
        </w:tc>
      </w:tr>
      <w:tr w14:paraId="53557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63" w:type="dxa"/>
            <w:gridSpan w:val="4"/>
            <w:tcBorders>
              <w:top w:val="single" w:color="auto" w:sz="6" w:space="0"/>
              <w:left w:val="single" w:color="auto" w:sz="6" w:space="0"/>
              <w:bottom w:val="single" w:color="auto" w:sz="6" w:space="0"/>
              <w:right w:val="single" w:color="auto" w:sz="6" w:space="0"/>
            </w:tcBorders>
            <w:noWrap w:val="0"/>
            <w:vAlign w:val="center"/>
          </w:tcPr>
          <w:p w14:paraId="6C833E30">
            <w:pPr>
              <w:widowControl/>
              <w:spacing w:line="276" w:lineRule="auto"/>
              <w:ind w:left="420" w:hanging="420"/>
              <w:jc w:val="left"/>
              <w:rPr>
                <w:rFonts w:hint="eastAsia" w:ascii="宋体" w:hAnsi="宋体" w:cs="仿宋"/>
                <w:b/>
                <w:bCs/>
                <w:kern w:val="0"/>
                <w:sz w:val="24"/>
              </w:rPr>
            </w:pPr>
            <w:r>
              <w:rPr>
                <w:rFonts w:hint="eastAsia" w:ascii="宋体" w:hAnsi="宋体" w:cs="仿宋"/>
                <w:sz w:val="24"/>
              </w:rPr>
              <w:t>价格分采用低价优先法计算，计算公式如下：</w:t>
            </w:r>
          </w:p>
          <w:p w14:paraId="0F81D37D">
            <w:pPr>
              <w:widowControl/>
              <w:spacing w:line="276" w:lineRule="auto"/>
              <w:jc w:val="left"/>
              <w:rPr>
                <w:rFonts w:hint="eastAsia" w:ascii="宋体" w:hAnsi="宋体" w:cs="仿宋"/>
                <w:sz w:val="24"/>
              </w:rPr>
            </w:pPr>
            <w:r>
              <w:rPr>
                <w:rFonts w:hint="eastAsia" w:ascii="宋体" w:hAnsi="宋体" w:cs="仿宋"/>
                <w:sz w:val="24"/>
              </w:rPr>
              <w:t>投标报价得分 = Z/Sn ×30</w:t>
            </w:r>
          </w:p>
          <w:p w14:paraId="7BAF114F">
            <w:pPr>
              <w:widowControl/>
              <w:spacing w:line="276" w:lineRule="auto"/>
              <w:jc w:val="left"/>
              <w:rPr>
                <w:rFonts w:hint="eastAsia" w:ascii="宋体" w:hAnsi="宋体" w:cs="仿宋"/>
                <w:sz w:val="24"/>
              </w:rPr>
            </w:pPr>
            <w:r>
              <w:rPr>
                <w:rFonts w:hint="eastAsia" w:ascii="宋体" w:hAnsi="宋体" w:cs="仿宋"/>
                <w:sz w:val="24"/>
              </w:rPr>
              <w:t xml:space="preserve">当价格分＜0时，取0。 </w:t>
            </w:r>
          </w:p>
          <w:p w14:paraId="1F7E0F03">
            <w:pPr>
              <w:widowControl/>
              <w:spacing w:line="276" w:lineRule="auto"/>
              <w:jc w:val="left"/>
              <w:rPr>
                <w:rFonts w:hint="eastAsia" w:ascii="宋体" w:hAnsi="宋体" w:cs="仿宋"/>
                <w:sz w:val="24"/>
              </w:rPr>
            </w:pPr>
            <w:r>
              <w:rPr>
                <w:rFonts w:hint="eastAsia" w:ascii="宋体" w:hAnsi="宋体" w:cs="仿宋"/>
                <w:sz w:val="24"/>
              </w:rPr>
              <w:t>其中：</w:t>
            </w:r>
          </w:p>
          <w:p w14:paraId="7713D988">
            <w:pPr>
              <w:widowControl/>
              <w:spacing w:line="276" w:lineRule="auto"/>
              <w:jc w:val="left"/>
              <w:rPr>
                <w:rFonts w:hint="eastAsia" w:ascii="宋体" w:hAnsi="宋体" w:cs="仿宋"/>
                <w:sz w:val="24"/>
              </w:rPr>
            </w:pPr>
            <w:r>
              <w:rPr>
                <w:rFonts w:hint="eastAsia" w:ascii="宋体" w:hAnsi="宋体" w:cs="仿宋"/>
                <w:sz w:val="24"/>
              </w:rPr>
              <w:t xml:space="preserve">Z </w:t>
            </w:r>
            <w:r>
              <w:rPr>
                <w:rFonts w:hint="eastAsia" w:ascii="宋体" w:hAnsi="宋体" w:cs="仿宋"/>
                <w:kern w:val="0"/>
                <w:sz w:val="24"/>
              </w:rPr>
              <w:t>----</w:t>
            </w:r>
            <w:r>
              <w:rPr>
                <w:rFonts w:hint="eastAsia" w:ascii="宋体" w:hAnsi="宋体" w:cs="仿宋"/>
                <w:sz w:val="24"/>
              </w:rPr>
              <w:t>评标基准价，即通过资格性审查和符合性审查且投标价格最低的投标报价。</w:t>
            </w:r>
          </w:p>
          <w:p w14:paraId="45991D5D">
            <w:pPr>
              <w:autoSpaceDE w:val="0"/>
              <w:autoSpaceDN w:val="0"/>
              <w:adjustRightInd w:val="0"/>
              <w:spacing w:line="276" w:lineRule="auto"/>
              <w:jc w:val="left"/>
              <w:rPr>
                <w:rFonts w:hint="eastAsia" w:ascii="宋体" w:hAnsi="宋体" w:cs="仿宋"/>
                <w:sz w:val="24"/>
              </w:rPr>
            </w:pPr>
            <w:r>
              <w:rPr>
                <w:rFonts w:hint="eastAsia" w:ascii="宋体" w:hAnsi="宋体" w:cs="仿宋"/>
                <w:sz w:val="24"/>
              </w:rPr>
              <w:t>Sn ---投标报价，即通过资格性审查和符合性审查的投标报价。</w:t>
            </w:r>
          </w:p>
          <w:p w14:paraId="5B97D941">
            <w:pPr>
              <w:autoSpaceDE w:val="0"/>
              <w:autoSpaceDN w:val="0"/>
              <w:adjustRightInd w:val="0"/>
              <w:spacing w:line="276" w:lineRule="auto"/>
              <w:jc w:val="left"/>
              <w:rPr>
                <w:rFonts w:hint="eastAsia" w:ascii="宋体" w:hAnsi="宋体"/>
                <w:b/>
                <w:bCs/>
                <w:snapToGrid w:val="0"/>
                <w:kern w:val="0"/>
                <w:sz w:val="24"/>
              </w:rPr>
            </w:pPr>
            <w:r>
              <w:rPr>
                <w:rFonts w:hint="eastAsia" w:ascii="宋体" w:hAnsi="宋体"/>
                <w:b/>
                <w:snapToGrid w:val="0"/>
                <w:kern w:val="0"/>
                <w:sz w:val="24"/>
              </w:rPr>
              <w:t>注：对于符合 “政府采购扶持政策</w:t>
            </w:r>
            <w:r>
              <w:rPr>
                <w:rFonts w:hint="eastAsia" w:ascii="宋体" w:hAnsi="宋体"/>
                <w:b/>
                <w:bCs/>
                <w:snapToGrid w:val="0"/>
                <w:kern w:val="0"/>
                <w:sz w:val="24"/>
              </w:rPr>
              <w:t>”的小微企业、监狱企业和残疾人福利性单位，以调整后的价格计算评标基准价和投标报价。</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229EE60E">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按公式计算评分</w:t>
            </w:r>
          </w:p>
        </w:tc>
      </w:tr>
      <w:tr w14:paraId="2F569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63" w:type="dxa"/>
            <w:gridSpan w:val="4"/>
            <w:tcBorders>
              <w:top w:val="single" w:color="auto" w:sz="6" w:space="0"/>
              <w:left w:val="single" w:color="auto" w:sz="6" w:space="0"/>
              <w:bottom w:val="single" w:color="auto" w:sz="6" w:space="0"/>
              <w:right w:val="single" w:color="auto" w:sz="6" w:space="0"/>
            </w:tcBorders>
            <w:noWrap w:val="0"/>
            <w:vAlign w:val="center"/>
          </w:tcPr>
          <w:p w14:paraId="630303E6">
            <w:pPr>
              <w:autoSpaceDE w:val="0"/>
              <w:autoSpaceDN w:val="0"/>
              <w:adjustRightInd w:val="0"/>
              <w:spacing w:line="276" w:lineRule="auto"/>
              <w:jc w:val="center"/>
              <w:rPr>
                <w:rFonts w:hint="eastAsia" w:ascii="宋体" w:hAnsi="宋体" w:cs="仿宋"/>
                <w:b/>
                <w:sz w:val="24"/>
              </w:rPr>
            </w:pPr>
            <w:r>
              <w:rPr>
                <w:rFonts w:hint="eastAsia" w:ascii="宋体" w:hAnsi="宋体" w:cs="仿宋"/>
                <w:b/>
                <w:sz w:val="24"/>
              </w:rPr>
              <w:t>二、技术部分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4B2259E9">
            <w:pPr>
              <w:autoSpaceDE w:val="0"/>
              <w:autoSpaceDN w:val="0"/>
              <w:adjustRightInd w:val="0"/>
              <w:spacing w:line="276" w:lineRule="auto"/>
              <w:jc w:val="center"/>
              <w:rPr>
                <w:rFonts w:hint="eastAsia" w:ascii="宋体" w:hAnsi="宋体" w:cs="仿宋"/>
                <w:b/>
                <w:sz w:val="24"/>
              </w:rPr>
            </w:pPr>
            <w:r>
              <w:rPr>
                <w:rFonts w:hint="eastAsia" w:ascii="宋体" w:hAnsi="宋体" w:cs="仿宋"/>
                <w:b/>
                <w:sz w:val="24"/>
              </w:rPr>
              <w:t>55</w:t>
            </w:r>
          </w:p>
        </w:tc>
      </w:tr>
      <w:tr w14:paraId="72A1B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0073C4F7">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序号</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68AA2D48">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内容</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0ADB8EB">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权重</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2B9FFC57">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评分规则</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11824D9C">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评分方式</w:t>
            </w:r>
          </w:p>
        </w:tc>
      </w:tr>
      <w:tr w14:paraId="2DB1A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54"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7ED453D5">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1</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00BF0F1B">
            <w:pPr>
              <w:widowControl/>
              <w:spacing w:line="276" w:lineRule="auto"/>
              <w:jc w:val="center"/>
              <w:rPr>
                <w:rFonts w:hint="eastAsia" w:ascii="宋体" w:hAnsi="宋体" w:cs="仿宋"/>
                <w:kern w:val="0"/>
                <w:sz w:val="24"/>
              </w:rPr>
            </w:pPr>
            <w:r>
              <w:rPr>
                <w:rFonts w:hint="eastAsia" w:ascii="宋体" w:hAnsi="宋体" w:cs="宋体"/>
                <w:kern w:val="0"/>
                <w:sz w:val="24"/>
              </w:rPr>
              <w:t>技术规格偏离情况</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777DC995">
            <w:pPr>
              <w:widowControl/>
              <w:spacing w:line="276" w:lineRule="auto"/>
              <w:jc w:val="center"/>
              <w:rPr>
                <w:rFonts w:hint="eastAsia" w:ascii="宋体" w:hAnsi="宋体" w:cs="仿宋"/>
                <w:kern w:val="0"/>
                <w:sz w:val="24"/>
              </w:rPr>
            </w:pPr>
            <w:r>
              <w:rPr>
                <w:rFonts w:hint="eastAsia" w:ascii="宋体" w:hAnsi="宋体" w:cs="仿宋"/>
                <w:kern w:val="0"/>
                <w:sz w:val="24"/>
              </w:rPr>
              <w:t>30</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3DBDD489">
            <w:pPr>
              <w:spacing w:line="276" w:lineRule="auto"/>
              <w:rPr>
                <w:rFonts w:hint="eastAsia" w:ascii="宋体" w:hAnsi="宋体"/>
                <w:sz w:val="24"/>
              </w:rPr>
            </w:pPr>
            <w:r>
              <w:rPr>
                <w:rFonts w:hint="eastAsia" w:ascii="宋体" w:hAnsi="宋体"/>
                <w:sz w:val="24"/>
              </w:rPr>
              <w:t>（一）评分内容：</w:t>
            </w:r>
          </w:p>
          <w:p w14:paraId="2AD93DA6">
            <w:pPr>
              <w:spacing w:line="276" w:lineRule="auto"/>
              <w:rPr>
                <w:rFonts w:hint="eastAsia" w:ascii="宋体" w:hAnsi="宋体"/>
                <w:sz w:val="24"/>
              </w:rPr>
            </w:pPr>
            <w:r>
              <w:rPr>
                <w:rFonts w:hint="eastAsia" w:ascii="宋体" w:hAnsi="宋体"/>
                <w:sz w:val="24"/>
              </w:rPr>
              <w:t xml:space="preserve">投标人应如实填写《技术规格偏离表》，各项技术参数指标及要求全部满足的得 </w:t>
            </w:r>
            <w:r>
              <w:rPr>
                <w:rFonts w:ascii="宋体" w:hAnsi="宋体"/>
                <w:sz w:val="24"/>
              </w:rPr>
              <w:t>30</w:t>
            </w:r>
            <w:r>
              <w:rPr>
                <w:rFonts w:hint="eastAsia" w:ascii="宋体" w:hAnsi="宋体"/>
                <w:sz w:val="24"/>
              </w:rPr>
              <w:t>分；“▲”参数为重要指标，每负偏离一项扣3分；其余指标每负偏离一项扣 1分，最低0分。</w:t>
            </w:r>
          </w:p>
          <w:p w14:paraId="0950C5D0">
            <w:pPr>
              <w:spacing w:line="276" w:lineRule="auto"/>
              <w:rPr>
                <w:rFonts w:hint="eastAsia" w:ascii="宋体" w:hAnsi="宋体"/>
                <w:sz w:val="24"/>
              </w:rPr>
            </w:pPr>
            <w:r>
              <w:rPr>
                <w:rFonts w:hint="eastAsia" w:ascii="宋体" w:hAnsi="宋体"/>
                <w:sz w:val="24"/>
              </w:rPr>
              <w:t>（二）评分依据：</w:t>
            </w:r>
          </w:p>
          <w:p w14:paraId="01D75DE4">
            <w:pPr>
              <w:spacing w:line="276" w:lineRule="auto"/>
              <w:jc w:val="left"/>
              <w:rPr>
                <w:rFonts w:hint="eastAsia" w:ascii="宋体" w:hAnsi="宋体" w:cs="仿宋"/>
                <w:sz w:val="24"/>
              </w:rPr>
            </w:pPr>
            <w:r>
              <w:rPr>
                <w:rFonts w:hint="eastAsia" w:ascii="宋体" w:hAnsi="宋体"/>
                <w:sz w:val="24"/>
              </w:rPr>
              <w:t>以投标文件《技术规格偏离表》为评分依据，投标人按招标文件要求提供相应的证明材料复印件或扫描件加盖投标人公章（原件备查），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对于不同货物的技术要求中的相同项不满足时按一项不满足进行扣分，不对某一项技术要求重复扣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78D028C4">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专家打分</w:t>
            </w:r>
          </w:p>
        </w:tc>
      </w:tr>
      <w:tr w14:paraId="40CA0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7"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5C26EC70">
            <w:pPr>
              <w:autoSpaceDE w:val="0"/>
              <w:autoSpaceDN w:val="0"/>
              <w:adjustRightInd w:val="0"/>
              <w:spacing w:line="276" w:lineRule="auto"/>
              <w:jc w:val="center"/>
              <w:rPr>
                <w:rFonts w:hint="eastAsia" w:ascii="宋体" w:hAnsi="宋体" w:cs="仿宋"/>
                <w:sz w:val="24"/>
              </w:rPr>
            </w:pPr>
            <w:r>
              <w:rPr>
                <w:rFonts w:hint="eastAsia" w:ascii="宋体" w:hAnsi="宋体" w:cs="仿宋"/>
                <w:sz w:val="24"/>
              </w:rPr>
              <w:t>2</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31B21693">
            <w:pPr>
              <w:tabs>
                <w:tab w:val="left" w:pos="4995"/>
              </w:tabs>
              <w:spacing w:line="400" w:lineRule="exact"/>
              <w:rPr>
                <w:rFonts w:hint="eastAsia" w:ascii="宋体" w:hAnsi="宋体" w:cs="仿宋"/>
                <w:sz w:val="24"/>
              </w:rPr>
            </w:pPr>
            <w:r>
              <w:rPr>
                <w:rFonts w:hint="eastAsia" w:ascii="宋体" w:hAnsi="宋体" w:cs="仿宋"/>
                <w:sz w:val="24"/>
              </w:rPr>
              <w:t>实施方案</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290291A">
            <w:pPr>
              <w:tabs>
                <w:tab w:val="left" w:pos="4995"/>
              </w:tabs>
              <w:spacing w:line="400" w:lineRule="exact"/>
              <w:rPr>
                <w:rFonts w:hint="eastAsia" w:ascii="宋体" w:hAnsi="宋体" w:cs="仿宋"/>
                <w:sz w:val="24"/>
              </w:rPr>
            </w:pPr>
            <w:r>
              <w:rPr>
                <w:rFonts w:hint="eastAsia" w:ascii="宋体" w:hAnsi="宋体" w:cs="仿宋"/>
                <w:sz w:val="24"/>
              </w:rPr>
              <w:t>10</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291FC1A2">
            <w:pPr>
              <w:spacing w:line="400" w:lineRule="exact"/>
              <w:jc w:val="left"/>
              <w:rPr>
                <w:rFonts w:hint="eastAsia" w:ascii="宋体" w:hAnsi="宋体" w:cs="仿宋"/>
                <w:sz w:val="24"/>
              </w:rPr>
            </w:pPr>
            <w:r>
              <w:rPr>
                <w:rFonts w:hint="eastAsia" w:ascii="宋体" w:hAnsi="宋体" w:cs="仿宋"/>
                <w:sz w:val="24"/>
              </w:rPr>
              <w:t>（一）评分内容：</w:t>
            </w:r>
          </w:p>
          <w:p w14:paraId="0F7253F9">
            <w:pPr>
              <w:tabs>
                <w:tab w:val="left" w:pos="4995"/>
              </w:tabs>
              <w:spacing w:line="400" w:lineRule="exact"/>
              <w:rPr>
                <w:rFonts w:hint="eastAsia" w:ascii="宋体" w:hAnsi="宋体" w:cs="仿宋"/>
                <w:sz w:val="24"/>
              </w:rPr>
            </w:pPr>
            <w:r>
              <w:rPr>
                <w:rFonts w:hint="eastAsia" w:ascii="宋体" w:hAnsi="宋体" w:cs="仿宋"/>
                <w:sz w:val="24"/>
              </w:rPr>
              <w:t>投标人针对本项目的实施方案，包括不限于组织实施方案、生产计划，供货进度，运输方案、验收方案等内容。</w:t>
            </w:r>
          </w:p>
          <w:p w14:paraId="34D32399">
            <w:pPr>
              <w:tabs>
                <w:tab w:val="left" w:pos="4995"/>
              </w:tabs>
              <w:spacing w:line="400" w:lineRule="exact"/>
              <w:rPr>
                <w:rFonts w:hint="eastAsia" w:ascii="宋体" w:hAnsi="宋体" w:cs="仿宋"/>
                <w:sz w:val="24"/>
              </w:rPr>
            </w:pPr>
            <w:r>
              <w:rPr>
                <w:rFonts w:hint="eastAsia" w:ascii="宋体" w:hAnsi="宋体" w:cs="仿宋"/>
                <w:sz w:val="24"/>
              </w:rPr>
              <w:t>（二）评分依据：根据招标文件的需求和投标文件响应情况进行评审：</w:t>
            </w:r>
          </w:p>
          <w:p w14:paraId="5CB9845E">
            <w:pPr>
              <w:tabs>
                <w:tab w:val="left" w:pos="4995"/>
              </w:tabs>
              <w:spacing w:line="400" w:lineRule="exact"/>
              <w:rPr>
                <w:rFonts w:hint="eastAsia" w:ascii="宋体" w:hAnsi="宋体" w:cs="仿宋"/>
                <w:sz w:val="24"/>
              </w:rPr>
            </w:pPr>
            <w:r>
              <w:rPr>
                <w:rFonts w:hint="eastAsia" w:ascii="宋体" w:hAnsi="宋体" w:cs="仿宋"/>
                <w:sz w:val="24"/>
              </w:rPr>
              <w:t>1）实施方案内容全面；</w:t>
            </w:r>
          </w:p>
          <w:p w14:paraId="4DC8845D">
            <w:pPr>
              <w:tabs>
                <w:tab w:val="left" w:pos="4995"/>
              </w:tabs>
              <w:spacing w:line="400" w:lineRule="exact"/>
              <w:rPr>
                <w:rFonts w:hint="eastAsia" w:ascii="宋体" w:hAnsi="宋体" w:cs="仿宋"/>
                <w:sz w:val="24"/>
              </w:rPr>
            </w:pPr>
            <w:r>
              <w:rPr>
                <w:rFonts w:hint="eastAsia" w:ascii="宋体" w:hAnsi="宋体" w:cs="仿宋"/>
                <w:sz w:val="24"/>
              </w:rPr>
              <w:t>2）实施方案内容具体；</w:t>
            </w:r>
          </w:p>
          <w:p w14:paraId="4C9EC614">
            <w:pPr>
              <w:tabs>
                <w:tab w:val="left" w:pos="4995"/>
              </w:tabs>
              <w:spacing w:line="400" w:lineRule="exact"/>
              <w:rPr>
                <w:rFonts w:hint="eastAsia" w:ascii="宋体" w:hAnsi="宋体" w:cs="仿宋"/>
                <w:sz w:val="24"/>
              </w:rPr>
            </w:pPr>
            <w:r>
              <w:rPr>
                <w:rFonts w:hint="eastAsia" w:ascii="宋体" w:hAnsi="宋体" w:cs="仿宋"/>
                <w:sz w:val="24"/>
              </w:rPr>
              <w:t>3）实施方案内容科学合理；</w:t>
            </w:r>
          </w:p>
          <w:p w14:paraId="69D3526B">
            <w:pPr>
              <w:tabs>
                <w:tab w:val="left" w:pos="4995"/>
              </w:tabs>
              <w:spacing w:line="400" w:lineRule="exact"/>
              <w:rPr>
                <w:rFonts w:hint="eastAsia" w:ascii="宋体" w:hAnsi="宋体" w:cs="仿宋"/>
                <w:sz w:val="24"/>
              </w:rPr>
            </w:pPr>
            <w:r>
              <w:rPr>
                <w:rFonts w:hint="eastAsia" w:ascii="宋体" w:hAnsi="宋体" w:cs="仿宋"/>
                <w:sz w:val="24"/>
              </w:rPr>
              <w:t>4）实施方案内容针对性强；</w:t>
            </w:r>
          </w:p>
          <w:p w14:paraId="422AA177">
            <w:pPr>
              <w:tabs>
                <w:tab w:val="left" w:pos="4995"/>
              </w:tabs>
              <w:spacing w:line="400" w:lineRule="exact"/>
              <w:rPr>
                <w:rFonts w:hint="eastAsia" w:ascii="宋体" w:hAnsi="宋体" w:cs="仿宋"/>
                <w:sz w:val="24"/>
              </w:rPr>
            </w:pPr>
            <w:r>
              <w:rPr>
                <w:rFonts w:hint="eastAsia" w:ascii="宋体" w:hAnsi="宋体" w:cs="仿宋"/>
                <w:sz w:val="24"/>
              </w:rPr>
              <w:t>5）实施方案内容可操作性强。</w:t>
            </w:r>
          </w:p>
          <w:p w14:paraId="71E1BDBC">
            <w:pPr>
              <w:tabs>
                <w:tab w:val="left" w:pos="4995"/>
              </w:tabs>
              <w:spacing w:line="400" w:lineRule="exact"/>
              <w:rPr>
                <w:rFonts w:hint="eastAsia" w:ascii="宋体" w:hAnsi="宋体" w:cs="仿宋"/>
                <w:sz w:val="24"/>
              </w:rPr>
            </w:pPr>
            <w:r>
              <w:rPr>
                <w:rFonts w:hint="eastAsia" w:ascii="宋体" w:hAnsi="宋体" w:cs="仿宋"/>
                <w:sz w:val="24"/>
              </w:rPr>
              <w:t xml:space="preserve">优评分标准：以上五项实施方案要求，全部满足的评价为优，得10分； </w:t>
            </w:r>
          </w:p>
          <w:p w14:paraId="4CCE4271">
            <w:pPr>
              <w:tabs>
                <w:tab w:val="left" w:pos="4995"/>
              </w:tabs>
              <w:spacing w:line="400" w:lineRule="exact"/>
              <w:rPr>
                <w:rFonts w:hint="eastAsia" w:ascii="宋体" w:hAnsi="宋体" w:cs="仿宋"/>
                <w:sz w:val="24"/>
              </w:rPr>
            </w:pPr>
            <w:r>
              <w:rPr>
                <w:rFonts w:hint="eastAsia" w:ascii="宋体" w:hAnsi="宋体" w:cs="仿宋"/>
                <w:sz w:val="24"/>
              </w:rPr>
              <w:t xml:space="preserve">良评分标准：以上五项实施方案要求，满足其中四项的评价为良，得6分； </w:t>
            </w:r>
          </w:p>
          <w:p w14:paraId="6FC75F80">
            <w:pPr>
              <w:tabs>
                <w:tab w:val="left" w:pos="4995"/>
              </w:tabs>
              <w:spacing w:line="400" w:lineRule="exact"/>
              <w:rPr>
                <w:rFonts w:hint="eastAsia" w:ascii="宋体" w:hAnsi="宋体" w:cs="仿宋"/>
                <w:sz w:val="24"/>
              </w:rPr>
            </w:pPr>
            <w:r>
              <w:rPr>
                <w:rFonts w:hint="eastAsia" w:ascii="宋体" w:hAnsi="宋体" w:cs="仿宋"/>
                <w:sz w:val="24"/>
              </w:rPr>
              <w:t xml:space="preserve">中评分标准：以上五项实施方案要求，满足其中三项要求的评价为中，得3分； </w:t>
            </w:r>
          </w:p>
          <w:p w14:paraId="3AF454E2">
            <w:pPr>
              <w:spacing w:line="276" w:lineRule="auto"/>
              <w:rPr>
                <w:rFonts w:hint="eastAsia" w:ascii="宋体" w:hAnsi="宋体" w:cs="仿宋"/>
                <w:sz w:val="24"/>
              </w:rPr>
            </w:pPr>
            <w:r>
              <w:rPr>
                <w:rFonts w:hint="eastAsia" w:ascii="宋体" w:hAnsi="宋体" w:cs="仿宋"/>
                <w:sz w:val="24"/>
              </w:rPr>
              <w:t>差评分标准：上述情况之外的，评差，得0分。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72BE4276">
            <w:pPr>
              <w:autoSpaceDE w:val="0"/>
              <w:autoSpaceDN w:val="0"/>
              <w:adjustRightInd w:val="0"/>
              <w:spacing w:line="276" w:lineRule="auto"/>
              <w:jc w:val="center"/>
              <w:rPr>
                <w:rFonts w:hint="eastAsia" w:ascii="宋体" w:hAnsi="宋体" w:cs="仿宋"/>
                <w:sz w:val="24"/>
              </w:rPr>
            </w:pPr>
          </w:p>
        </w:tc>
      </w:tr>
      <w:tr w14:paraId="41867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2"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5D72ABEF">
            <w:pPr>
              <w:autoSpaceDE w:val="0"/>
              <w:autoSpaceDN w:val="0"/>
              <w:adjustRightInd w:val="0"/>
              <w:spacing w:line="276" w:lineRule="auto"/>
              <w:jc w:val="center"/>
              <w:rPr>
                <w:rFonts w:hint="eastAsia" w:ascii="宋体" w:hAnsi="宋体" w:cs="仿宋"/>
                <w:sz w:val="24"/>
                <w:lang w:val="zh-CN"/>
              </w:rPr>
            </w:pPr>
            <w:r>
              <w:rPr>
                <w:rFonts w:hint="eastAsia" w:ascii="宋体" w:hAnsi="宋体" w:cs="仿宋"/>
                <w:sz w:val="24"/>
              </w:rPr>
              <w:t>2</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6F86233F">
            <w:pPr>
              <w:spacing w:line="276" w:lineRule="auto"/>
              <w:jc w:val="center"/>
              <w:rPr>
                <w:rFonts w:hint="eastAsia" w:ascii="宋体" w:hAnsi="宋体" w:cs="仿宋"/>
                <w:sz w:val="24"/>
              </w:rPr>
            </w:pPr>
            <w:r>
              <w:rPr>
                <w:rFonts w:hint="eastAsia" w:ascii="宋体" w:hAnsi="宋体" w:cs="宋体"/>
                <w:kern w:val="0"/>
                <w:sz w:val="24"/>
              </w:rPr>
              <w:t>技术保障措施</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DE185A4">
            <w:pPr>
              <w:spacing w:line="276" w:lineRule="auto"/>
              <w:jc w:val="center"/>
              <w:rPr>
                <w:rFonts w:hint="eastAsia" w:ascii="宋体" w:hAnsi="宋体" w:cs="仿宋"/>
                <w:sz w:val="24"/>
              </w:rPr>
            </w:pPr>
            <w:r>
              <w:rPr>
                <w:rFonts w:hint="eastAsia" w:ascii="宋体" w:hAnsi="宋体" w:cs="仿宋"/>
                <w:sz w:val="24"/>
              </w:rPr>
              <w:t>10</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27CF95B1">
            <w:pPr>
              <w:spacing w:line="276" w:lineRule="auto"/>
              <w:rPr>
                <w:rFonts w:hint="eastAsia" w:ascii="宋体" w:hAnsi="宋体"/>
                <w:sz w:val="24"/>
              </w:rPr>
            </w:pPr>
            <w:r>
              <w:rPr>
                <w:rFonts w:hint="eastAsia" w:ascii="宋体" w:hAnsi="宋体"/>
                <w:sz w:val="24"/>
              </w:rPr>
              <w:t>（一）评分内容：</w:t>
            </w:r>
          </w:p>
          <w:p w14:paraId="00FA509C">
            <w:pPr>
              <w:spacing w:line="276" w:lineRule="auto"/>
              <w:rPr>
                <w:rFonts w:hint="eastAsia" w:ascii="宋体" w:hAnsi="宋体"/>
                <w:sz w:val="24"/>
              </w:rPr>
            </w:pPr>
            <w:r>
              <w:rPr>
                <w:rFonts w:hint="eastAsia" w:ascii="宋体" w:hAnsi="宋体"/>
                <w:sz w:val="24"/>
              </w:rPr>
              <w:t>投标人针对本项目的技术保障措施，包括但不限于技术团队、技术方案、产品的生产规范、产品安全性保障、生产及供货进度保障措施等内容。</w:t>
            </w:r>
          </w:p>
          <w:p w14:paraId="2AE5F681">
            <w:pPr>
              <w:spacing w:line="276" w:lineRule="auto"/>
              <w:rPr>
                <w:rFonts w:hint="eastAsia" w:ascii="宋体" w:hAnsi="宋体"/>
                <w:sz w:val="24"/>
              </w:rPr>
            </w:pPr>
            <w:r>
              <w:rPr>
                <w:rFonts w:hint="eastAsia" w:ascii="宋体" w:hAnsi="宋体"/>
                <w:sz w:val="24"/>
              </w:rPr>
              <w:t>（二）评分依据：根据招标文件的需求和投标文件响应情况进行评审：</w:t>
            </w:r>
          </w:p>
          <w:p w14:paraId="3A321F24">
            <w:pPr>
              <w:spacing w:line="276" w:lineRule="auto"/>
              <w:rPr>
                <w:rFonts w:hint="eastAsia" w:ascii="宋体" w:hAnsi="宋体"/>
                <w:sz w:val="24"/>
              </w:rPr>
            </w:pPr>
            <w:r>
              <w:rPr>
                <w:rFonts w:hint="eastAsia" w:ascii="宋体" w:hAnsi="宋体"/>
                <w:sz w:val="24"/>
              </w:rPr>
              <w:t>1）技术保障措施内容全面；</w:t>
            </w:r>
          </w:p>
          <w:p w14:paraId="28AC2754">
            <w:pPr>
              <w:spacing w:line="276" w:lineRule="auto"/>
              <w:rPr>
                <w:rFonts w:hint="eastAsia" w:ascii="宋体" w:hAnsi="宋体"/>
                <w:sz w:val="24"/>
              </w:rPr>
            </w:pPr>
            <w:r>
              <w:rPr>
                <w:rFonts w:hint="eastAsia" w:ascii="宋体" w:hAnsi="宋体"/>
                <w:sz w:val="24"/>
              </w:rPr>
              <w:t>2）技术保障措施内容具体；</w:t>
            </w:r>
          </w:p>
          <w:p w14:paraId="3C489796">
            <w:pPr>
              <w:spacing w:line="276" w:lineRule="auto"/>
              <w:rPr>
                <w:rFonts w:hint="eastAsia" w:ascii="宋体" w:hAnsi="宋体"/>
                <w:sz w:val="24"/>
              </w:rPr>
            </w:pPr>
            <w:r>
              <w:rPr>
                <w:rFonts w:hint="eastAsia" w:ascii="宋体" w:hAnsi="宋体"/>
                <w:sz w:val="24"/>
              </w:rPr>
              <w:t>3）技术保障措施内容科学合理；</w:t>
            </w:r>
          </w:p>
          <w:p w14:paraId="1D5F10C1">
            <w:pPr>
              <w:spacing w:line="276" w:lineRule="auto"/>
              <w:rPr>
                <w:rFonts w:hint="eastAsia" w:ascii="宋体" w:hAnsi="宋体"/>
                <w:sz w:val="24"/>
              </w:rPr>
            </w:pPr>
            <w:r>
              <w:rPr>
                <w:rFonts w:hint="eastAsia" w:ascii="宋体" w:hAnsi="宋体"/>
                <w:sz w:val="24"/>
              </w:rPr>
              <w:t>4）技术保障措施内容针对性强；</w:t>
            </w:r>
          </w:p>
          <w:p w14:paraId="500854A1">
            <w:pPr>
              <w:spacing w:line="276" w:lineRule="auto"/>
              <w:rPr>
                <w:rFonts w:hint="eastAsia" w:ascii="宋体" w:hAnsi="宋体"/>
                <w:sz w:val="24"/>
              </w:rPr>
            </w:pPr>
            <w:r>
              <w:rPr>
                <w:rFonts w:hint="eastAsia" w:ascii="宋体" w:hAnsi="宋体"/>
                <w:sz w:val="24"/>
              </w:rPr>
              <w:t>5）技术保障措施内容可操作性强。</w:t>
            </w:r>
          </w:p>
          <w:p w14:paraId="49F7DA52">
            <w:pPr>
              <w:spacing w:line="276" w:lineRule="auto"/>
              <w:rPr>
                <w:rFonts w:hint="eastAsia" w:ascii="宋体" w:hAnsi="宋体"/>
                <w:sz w:val="24"/>
              </w:rPr>
            </w:pPr>
            <w:r>
              <w:rPr>
                <w:rFonts w:hint="eastAsia" w:ascii="宋体" w:hAnsi="宋体"/>
                <w:sz w:val="24"/>
              </w:rPr>
              <w:t xml:space="preserve">优评分标准：以上五项技术保障措施要求，全部满足的评价为优，得10分； </w:t>
            </w:r>
          </w:p>
          <w:p w14:paraId="6221CC6E">
            <w:pPr>
              <w:spacing w:line="276" w:lineRule="auto"/>
              <w:rPr>
                <w:rFonts w:hint="eastAsia" w:ascii="宋体" w:hAnsi="宋体"/>
                <w:sz w:val="24"/>
              </w:rPr>
            </w:pPr>
            <w:r>
              <w:rPr>
                <w:rFonts w:hint="eastAsia" w:ascii="宋体" w:hAnsi="宋体"/>
                <w:sz w:val="24"/>
              </w:rPr>
              <w:t xml:space="preserve">良评分标准：以上五项技术保障措施要求，满足其中四项的评价为良，得6分； </w:t>
            </w:r>
          </w:p>
          <w:p w14:paraId="1671987C">
            <w:pPr>
              <w:spacing w:line="276" w:lineRule="auto"/>
              <w:rPr>
                <w:rFonts w:hint="eastAsia" w:ascii="宋体" w:hAnsi="宋体"/>
                <w:sz w:val="24"/>
              </w:rPr>
            </w:pPr>
            <w:r>
              <w:rPr>
                <w:rFonts w:hint="eastAsia" w:ascii="宋体" w:hAnsi="宋体"/>
                <w:sz w:val="24"/>
              </w:rPr>
              <w:t xml:space="preserve">中评分标准：以上五项技术保障措施要求，满足其中三项的评价为中，得3分； </w:t>
            </w:r>
          </w:p>
          <w:p w14:paraId="56717C80">
            <w:pPr>
              <w:spacing w:line="276" w:lineRule="auto"/>
              <w:jc w:val="left"/>
              <w:rPr>
                <w:rFonts w:hint="eastAsia" w:ascii="宋体" w:hAnsi="宋体" w:cs="仿宋"/>
                <w:sz w:val="24"/>
              </w:rPr>
            </w:pPr>
            <w:r>
              <w:rPr>
                <w:rFonts w:hint="eastAsia" w:ascii="宋体" w:hAnsi="宋体"/>
                <w:sz w:val="24"/>
              </w:rPr>
              <w:t>差评分标准：上述情况之外的，评差，得0分。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6C2261A8">
            <w:pPr>
              <w:spacing w:line="276" w:lineRule="auto"/>
              <w:jc w:val="center"/>
              <w:rPr>
                <w:rFonts w:hint="eastAsia" w:ascii="宋体" w:hAnsi="宋体" w:cs="仿宋"/>
                <w:sz w:val="24"/>
                <w:lang w:val="zh-CN"/>
              </w:rPr>
            </w:pPr>
            <w:r>
              <w:rPr>
                <w:rFonts w:hint="eastAsia" w:ascii="宋体" w:hAnsi="宋体" w:cs="仿宋"/>
                <w:sz w:val="24"/>
                <w:lang w:val="zh-CN"/>
              </w:rPr>
              <w:t>专家打分</w:t>
            </w:r>
          </w:p>
        </w:tc>
      </w:tr>
      <w:tr w14:paraId="260D1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53"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4E973940">
            <w:pPr>
              <w:widowControl/>
              <w:snapToGrid w:val="0"/>
              <w:spacing w:line="276" w:lineRule="auto"/>
              <w:jc w:val="center"/>
              <w:rPr>
                <w:rFonts w:hint="eastAsia" w:ascii="宋体" w:hAnsi="宋体"/>
                <w:kern w:val="0"/>
                <w:sz w:val="24"/>
              </w:rPr>
            </w:pPr>
            <w:r>
              <w:rPr>
                <w:rFonts w:hint="eastAsia" w:ascii="宋体" w:hAnsi="宋体"/>
                <w:kern w:val="0"/>
                <w:sz w:val="24"/>
              </w:rPr>
              <w:t>3</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105B9D64">
            <w:pPr>
              <w:widowControl/>
              <w:spacing w:line="276" w:lineRule="auto"/>
              <w:jc w:val="center"/>
              <w:rPr>
                <w:rFonts w:hint="eastAsia" w:ascii="宋体" w:hAnsi="宋体" w:cs="宋体"/>
                <w:sz w:val="24"/>
              </w:rPr>
            </w:pPr>
            <w:r>
              <w:rPr>
                <w:rFonts w:hint="eastAsia" w:ascii="宋体" w:hAnsi="宋体"/>
                <w:sz w:val="24"/>
              </w:rPr>
              <w:t>售后服务方案</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1A1C3C1C">
            <w:pPr>
              <w:widowControl/>
              <w:spacing w:line="276" w:lineRule="auto"/>
              <w:jc w:val="center"/>
              <w:rPr>
                <w:rFonts w:hint="eastAsia" w:ascii="宋体" w:hAnsi="宋体" w:cs="宋体"/>
                <w:kern w:val="0"/>
                <w:sz w:val="24"/>
              </w:rPr>
            </w:pPr>
            <w:r>
              <w:rPr>
                <w:rFonts w:hint="eastAsia" w:ascii="宋体" w:hAnsi="宋体" w:cs="宋体"/>
                <w:kern w:val="0"/>
                <w:sz w:val="24"/>
              </w:rPr>
              <w:t>5</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70E8EFD7">
            <w:pPr>
              <w:spacing w:line="276" w:lineRule="auto"/>
              <w:rPr>
                <w:rFonts w:hint="eastAsia" w:ascii="宋体" w:hAnsi="宋体"/>
                <w:sz w:val="24"/>
              </w:rPr>
            </w:pPr>
            <w:r>
              <w:rPr>
                <w:rFonts w:hint="eastAsia" w:ascii="宋体" w:hAnsi="宋体"/>
                <w:sz w:val="24"/>
              </w:rPr>
              <w:t>（一）评分内容：</w:t>
            </w:r>
          </w:p>
          <w:p w14:paraId="49C17180">
            <w:pPr>
              <w:spacing w:line="276" w:lineRule="auto"/>
              <w:rPr>
                <w:rFonts w:hint="eastAsia" w:ascii="宋体" w:hAnsi="宋体"/>
                <w:sz w:val="24"/>
              </w:rPr>
            </w:pPr>
            <w:r>
              <w:rPr>
                <w:rFonts w:hint="eastAsia" w:ascii="宋体" w:hAnsi="宋体"/>
                <w:sz w:val="24"/>
              </w:rPr>
              <w:t>投标人根据本项目的需求制定售后服务方案，包括但不限于售后服务机构、质保期、服务承诺、故障响应时间、退换货流程、备品备件支持计划等内容。</w:t>
            </w:r>
          </w:p>
          <w:p w14:paraId="3110AB28">
            <w:pPr>
              <w:spacing w:line="276" w:lineRule="auto"/>
              <w:rPr>
                <w:rFonts w:hint="eastAsia" w:ascii="宋体" w:hAnsi="宋体"/>
                <w:sz w:val="24"/>
              </w:rPr>
            </w:pPr>
            <w:r>
              <w:rPr>
                <w:rFonts w:hint="eastAsia" w:ascii="宋体" w:hAnsi="宋体"/>
                <w:sz w:val="24"/>
              </w:rPr>
              <w:t>（二）评分依据：根据招标文件的需求和投标文件响应情况进行评审：</w:t>
            </w:r>
          </w:p>
          <w:p w14:paraId="07B72FD8">
            <w:pPr>
              <w:spacing w:line="276" w:lineRule="auto"/>
              <w:rPr>
                <w:rFonts w:hint="eastAsia" w:ascii="宋体" w:hAnsi="宋体"/>
                <w:sz w:val="24"/>
              </w:rPr>
            </w:pPr>
            <w:r>
              <w:rPr>
                <w:rFonts w:hint="eastAsia" w:ascii="宋体" w:hAnsi="宋体"/>
                <w:sz w:val="24"/>
              </w:rPr>
              <w:t>1）售后服务方案内容全面；</w:t>
            </w:r>
          </w:p>
          <w:p w14:paraId="625592B4">
            <w:pPr>
              <w:spacing w:line="276" w:lineRule="auto"/>
              <w:rPr>
                <w:rFonts w:hint="eastAsia" w:ascii="宋体" w:hAnsi="宋体"/>
                <w:sz w:val="24"/>
              </w:rPr>
            </w:pPr>
            <w:r>
              <w:rPr>
                <w:rFonts w:hint="eastAsia" w:ascii="宋体" w:hAnsi="宋体"/>
                <w:sz w:val="24"/>
              </w:rPr>
              <w:t>2）售后服务方案内容具体；</w:t>
            </w:r>
          </w:p>
          <w:p w14:paraId="40F5777F">
            <w:pPr>
              <w:spacing w:line="276" w:lineRule="auto"/>
              <w:rPr>
                <w:rFonts w:hint="eastAsia" w:ascii="宋体" w:hAnsi="宋体"/>
                <w:sz w:val="24"/>
              </w:rPr>
            </w:pPr>
            <w:r>
              <w:rPr>
                <w:rFonts w:hint="eastAsia" w:ascii="宋体" w:hAnsi="宋体"/>
                <w:sz w:val="24"/>
              </w:rPr>
              <w:t>3）售后服务方案内容科学合理；</w:t>
            </w:r>
          </w:p>
          <w:p w14:paraId="617B2777">
            <w:pPr>
              <w:spacing w:line="276" w:lineRule="auto"/>
              <w:rPr>
                <w:rFonts w:hint="eastAsia" w:ascii="宋体" w:hAnsi="宋体"/>
                <w:sz w:val="24"/>
              </w:rPr>
            </w:pPr>
            <w:r>
              <w:rPr>
                <w:rFonts w:hint="eastAsia" w:ascii="宋体" w:hAnsi="宋体"/>
                <w:sz w:val="24"/>
              </w:rPr>
              <w:t>4）售后服务方案内容针对性强；</w:t>
            </w:r>
          </w:p>
          <w:p w14:paraId="5E26320F">
            <w:pPr>
              <w:spacing w:line="276" w:lineRule="auto"/>
              <w:rPr>
                <w:rFonts w:hint="eastAsia" w:ascii="宋体" w:hAnsi="宋体"/>
                <w:sz w:val="24"/>
              </w:rPr>
            </w:pPr>
            <w:r>
              <w:rPr>
                <w:rFonts w:hint="eastAsia" w:ascii="宋体" w:hAnsi="宋体"/>
                <w:sz w:val="24"/>
              </w:rPr>
              <w:t>5）售后服务方案内容可操作性强。</w:t>
            </w:r>
          </w:p>
          <w:p w14:paraId="31626EF3">
            <w:pPr>
              <w:spacing w:line="276" w:lineRule="auto"/>
              <w:rPr>
                <w:rFonts w:hint="eastAsia" w:ascii="宋体" w:hAnsi="宋体"/>
                <w:sz w:val="24"/>
              </w:rPr>
            </w:pPr>
            <w:r>
              <w:rPr>
                <w:rFonts w:hint="eastAsia" w:ascii="宋体" w:hAnsi="宋体"/>
                <w:sz w:val="24"/>
              </w:rPr>
              <w:t>优评分标准：以上五项售后服务方案要求，全部满足的评价为优，得</w:t>
            </w:r>
            <w:r>
              <w:rPr>
                <w:rFonts w:hint="eastAsia" w:ascii="宋体" w:hAnsi="宋体"/>
                <w:sz w:val="24"/>
                <w:lang w:val="en-US" w:eastAsia="zh-CN"/>
              </w:rPr>
              <w:t>5</w:t>
            </w:r>
            <w:r>
              <w:rPr>
                <w:rFonts w:hint="eastAsia" w:ascii="宋体" w:hAnsi="宋体"/>
                <w:sz w:val="24"/>
              </w:rPr>
              <w:t>分；</w:t>
            </w:r>
          </w:p>
          <w:p w14:paraId="7CB53D88">
            <w:pPr>
              <w:spacing w:line="276" w:lineRule="auto"/>
              <w:rPr>
                <w:rFonts w:hint="eastAsia" w:ascii="宋体" w:hAnsi="宋体"/>
                <w:sz w:val="24"/>
              </w:rPr>
            </w:pPr>
            <w:r>
              <w:rPr>
                <w:rFonts w:hint="eastAsia" w:ascii="宋体" w:hAnsi="宋体"/>
                <w:sz w:val="24"/>
              </w:rPr>
              <w:t>良评分标准：以上五项售后服务方案要求，满足其中四项的评价为良，得3分；</w:t>
            </w:r>
          </w:p>
          <w:p w14:paraId="4A69008D">
            <w:pPr>
              <w:spacing w:line="276" w:lineRule="auto"/>
              <w:rPr>
                <w:rFonts w:hint="eastAsia" w:ascii="宋体" w:hAnsi="宋体"/>
                <w:sz w:val="24"/>
              </w:rPr>
            </w:pPr>
            <w:r>
              <w:rPr>
                <w:rFonts w:hint="eastAsia" w:ascii="宋体" w:hAnsi="宋体"/>
                <w:sz w:val="24"/>
              </w:rPr>
              <w:t>中评分标准：以上五项售后服务方案要求，满足其中三项要求的评价为中，得1分；</w:t>
            </w:r>
          </w:p>
          <w:p w14:paraId="168C7170">
            <w:pPr>
              <w:spacing w:line="276" w:lineRule="auto"/>
              <w:rPr>
                <w:rFonts w:hint="eastAsia" w:ascii="宋体" w:hAnsi="宋体"/>
                <w:sz w:val="24"/>
              </w:rPr>
            </w:pPr>
            <w:r>
              <w:rPr>
                <w:rFonts w:hint="eastAsia" w:ascii="宋体" w:hAnsi="宋体"/>
                <w:sz w:val="24"/>
              </w:rPr>
              <w:t>差评分标准：上述情况之外的，评差，得0分。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227248B2">
            <w:pPr>
              <w:spacing w:line="276" w:lineRule="auto"/>
              <w:jc w:val="center"/>
              <w:rPr>
                <w:rFonts w:hint="eastAsia" w:ascii="宋体" w:hAnsi="宋体" w:cs="仿宋"/>
                <w:sz w:val="24"/>
                <w:lang w:val="zh-CN"/>
              </w:rPr>
            </w:pPr>
            <w:r>
              <w:rPr>
                <w:rFonts w:hint="eastAsia" w:ascii="宋体" w:hAnsi="宋体" w:cs="仿宋"/>
                <w:sz w:val="24"/>
                <w:lang w:val="zh-CN"/>
              </w:rPr>
              <w:t>专家打分</w:t>
            </w:r>
          </w:p>
        </w:tc>
      </w:tr>
      <w:tr w14:paraId="682C1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63" w:type="dxa"/>
            <w:gridSpan w:val="4"/>
            <w:tcBorders>
              <w:top w:val="single" w:color="auto" w:sz="6" w:space="0"/>
              <w:left w:val="single" w:color="auto" w:sz="6" w:space="0"/>
              <w:bottom w:val="single" w:color="auto" w:sz="6" w:space="0"/>
              <w:right w:val="single" w:color="auto" w:sz="6" w:space="0"/>
            </w:tcBorders>
            <w:noWrap w:val="0"/>
            <w:vAlign w:val="center"/>
          </w:tcPr>
          <w:p w14:paraId="4BB35349">
            <w:pPr>
              <w:autoSpaceDE w:val="0"/>
              <w:autoSpaceDN w:val="0"/>
              <w:adjustRightInd w:val="0"/>
              <w:spacing w:line="276" w:lineRule="auto"/>
              <w:jc w:val="center"/>
              <w:rPr>
                <w:rFonts w:hint="eastAsia" w:ascii="宋体" w:hAnsi="宋体" w:cs="仿宋"/>
                <w:b/>
                <w:sz w:val="24"/>
              </w:rPr>
            </w:pPr>
            <w:r>
              <w:rPr>
                <w:rFonts w:hint="eastAsia" w:ascii="宋体" w:hAnsi="宋体" w:cs="仿宋"/>
                <w:b/>
                <w:sz w:val="24"/>
                <w:lang w:val="zh-CN"/>
              </w:rPr>
              <w:t>三、商务部分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2ADB9E2B">
            <w:pPr>
              <w:autoSpaceDE w:val="0"/>
              <w:autoSpaceDN w:val="0"/>
              <w:adjustRightInd w:val="0"/>
              <w:spacing w:line="276" w:lineRule="auto"/>
              <w:jc w:val="center"/>
              <w:rPr>
                <w:rFonts w:hint="eastAsia" w:ascii="宋体" w:hAnsi="宋体" w:eastAsia="宋体" w:cs="仿宋"/>
                <w:b/>
                <w:sz w:val="24"/>
                <w:lang w:eastAsia="zh-CN"/>
              </w:rPr>
            </w:pPr>
            <w:r>
              <w:rPr>
                <w:rFonts w:hint="eastAsia" w:ascii="宋体" w:hAnsi="宋体" w:cs="仿宋"/>
                <w:b/>
                <w:sz w:val="24"/>
              </w:rPr>
              <w:t>1</w:t>
            </w:r>
            <w:r>
              <w:rPr>
                <w:rFonts w:hint="eastAsia" w:ascii="宋体" w:hAnsi="宋体" w:cs="仿宋"/>
                <w:b/>
                <w:sz w:val="24"/>
                <w:lang w:val="en-US" w:eastAsia="zh-CN"/>
              </w:rPr>
              <w:t>5</w:t>
            </w:r>
          </w:p>
        </w:tc>
      </w:tr>
      <w:tr w14:paraId="2C5F9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79F0B5BB">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序号</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41290902">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内容</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3F0E3AA8">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权重</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16A2F5AC">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评分规则</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2235BFFE">
            <w:pPr>
              <w:autoSpaceDE w:val="0"/>
              <w:autoSpaceDN w:val="0"/>
              <w:adjustRightInd w:val="0"/>
              <w:spacing w:line="276" w:lineRule="auto"/>
              <w:jc w:val="center"/>
              <w:rPr>
                <w:rFonts w:hint="eastAsia" w:ascii="宋体" w:hAnsi="宋体" w:cs="仿宋"/>
                <w:sz w:val="24"/>
              </w:rPr>
            </w:pPr>
            <w:r>
              <w:rPr>
                <w:rFonts w:hint="eastAsia" w:ascii="宋体" w:hAnsi="宋体" w:cs="仿宋"/>
                <w:sz w:val="24"/>
                <w:lang w:val="zh-CN"/>
              </w:rPr>
              <w:t>评分方式</w:t>
            </w:r>
          </w:p>
        </w:tc>
      </w:tr>
      <w:tr w14:paraId="228EF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5"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417878B1">
            <w:pPr>
              <w:autoSpaceDE w:val="0"/>
              <w:autoSpaceDN w:val="0"/>
              <w:adjustRightInd w:val="0"/>
              <w:spacing w:line="276" w:lineRule="auto"/>
              <w:jc w:val="center"/>
              <w:rPr>
                <w:rFonts w:hint="eastAsia" w:ascii="宋体" w:hAnsi="宋体" w:cs="仿宋"/>
                <w:sz w:val="24"/>
                <w:lang w:val="zh-CN"/>
              </w:rPr>
            </w:pPr>
            <w:r>
              <w:rPr>
                <w:rFonts w:ascii="宋体" w:hAnsi="宋体" w:cs="仿宋"/>
                <w:sz w:val="24"/>
              </w:rPr>
              <w:t>1</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17D45AE0">
            <w:pPr>
              <w:spacing w:line="276" w:lineRule="auto"/>
              <w:jc w:val="center"/>
              <w:rPr>
                <w:rFonts w:hint="eastAsia" w:ascii="宋体" w:hAnsi="宋体" w:cs="仿宋"/>
                <w:sz w:val="24"/>
              </w:rPr>
            </w:pPr>
            <w:r>
              <w:rPr>
                <w:rFonts w:hint="eastAsia" w:ascii="宋体" w:hAnsi="宋体" w:cs="宋体"/>
                <w:color w:val="000000"/>
                <w:kern w:val="0"/>
                <w:sz w:val="24"/>
              </w:rPr>
              <w:t>同类项目业绩情况</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4F524F9B">
            <w:pPr>
              <w:spacing w:line="276" w:lineRule="auto"/>
              <w:jc w:val="center"/>
              <w:rPr>
                <w:rFonts w:hint="eastAsia" w:ascii="宋体" w:hAnsi="宋体" w:cs="仿宋"/>
                <w:sz w:val="24"/>
              </w:rPr>
            </w:pPr>
            <w:r>
              <w:rPr>
                <w:rFonts w:hint="eastAsia" w:ascii="宋体" w:hAnsi="宋体" w:cs="仿宋"/>
                <w:sz w:val="24"/>
              </w:rPr>
              <w:t>10</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0B88F8ED">
            <w:pPr>
              <w:spacing w:line="276" w:lineRule="auto"/>
              <w:rPr>
                <w:rFonts w:hint="eastAsia" w:ascii="宋体" w:hAnsi="宋体"/>
                <w:sz w:val="24"/>
              </w:rPr>
            </w:pPr>
            <w:r>
              <w:rPr>
                <w:rFonts w:hint="eastAsia" w:ascii="宋体" w:hAnsi="宋体"/>
                <w:sz w:val="24"/>
              </w:rPr>
              <w:t>（一）评分内容：</w:t>
            </w:r>
          </w:p>
          <w:p w14:paraId="6A8D7003">
            <w:pPr>
              <w:widowControl/>
              <w:spacing w:line="276" w:lineRule="auto"/>
              <w:rPr>
                <w:rFonts w:hint="eastAsia" w:ascii="宋体" w:hAnsi="宋体" w:cs="仿宋"/>
                <w:sz w:val="24"/>
              </w:rPr>
            </w:pPr>
            <w:r>
              <w:rPr>
                <w:rFonts w:hint="eastAsia" w:ascii="宋体" w:hAnsi="宋体" w:cs="宋体"/>
                <w:sz w:val="24"/>
              </w:rPr>
              <w:t>20</w:t>
            </w:r>
            <w:r>
              <w:rPr>
                <w:rFonts w:hint="eastAsia" w:ascii="宋体" w:hAnsi="宋体" w:cs="宋体"/>
                <w:sz w:val="24"/>
                <w:lang w:val="en-US" w:eastAsia="zh-CN"/>
              </w:rPr>
              <w:t>22</w:t>
            </w:r>
            <w:r>
              <w:rPr>
                <w:rFonts w:hint="eastAsia" w:ascii="宋体" w:hAnsi="宋体" w:cs="宋体"/>
                <w:sz w:val="24"/>
              </w:rPr>
              <w:t>年1月1日至本项目投标截止日（以合同签订日期为准），投标人</w:t>
            </w:r>
            <w:r>
              <w:rPr>
                <w:rFonts w:hint="eastAsia" w:ascii="宋体" w:hAnsi="宋体" w:cs="仿宋"/>
                <w:sz w:val="24"/>
              </w:rPr>
              <w:t>具有同类项目业绩的，每提供1个项目得2分，最高得10分。</w:t>
            </w:r>
          </w:p>
          <w:p w14:paraId="3B6831F0">
            <w:pPr>
              <w:autoSpaceDE w:val="0"/>
              <w:autoSpaceDN w:val="0"/>
              <w:adjustRightInd w:val="0"/>
              <w:spacing w:line="276" w:lineRule="auto"/>
              <w:jc w:val="left"/>
              <w:rPr>
                <w:rFonts w:hint="eastAsia" w:ascii="宋体" w:hAnsi="宋体"/>
                <w:kern w:val="0"/>
                <w:sz w:val="24"/>
              </w:rPr>
            </w:pPr>
            <w:r>
              <w:rPr>
                <w:rFonts w:hint="eastAsia" w:ascii="宋体" w:hAnsi="宋体"/>
                <w:kern w:val="0"/>
                <w:sz w:val="24"/>
              </w:rPr>
              <w:t>（二）评分依据：</w:t>
            </w:r>
          </w:p>
          <w:p w14:paraId="5DAD6953">
            <w:pPr>
              <w:adjustRightInd w:val="0"/>
              <w:snapToGrid w:val="0"/>
              <w:spacing w:line="276" w:lineRule="auto"/>
              <w:rPr>
                <w:rFonts w:hint="eastAsia" w:ascii="宋体" w:hAnsi="宋体"/>
                <w:sz w:val="24"/>
              </w:rPr>
            </w:pPr>
            <w:r>
              <w:rPr>
                <w:rFonts w:hint="eastAsia" w:ascii="宋体" w:hAnsi="宋体" w:cs="仿宋"/>
                <w:sz w:val="24"/>
              </w:rPr>
              <w:t>1.提供合同关键页（需</w:t>
            </w:r>
            <w:r>
              <w:rPr>
                <w:rFonts w:hint="eastAsia" w:ascii="宋体" w:hAnsi="宋体"/>
                <w:bCs/>
                <w:sz w:val="24"/>
              </w:rPr>
              <w:t>体现签订日期</w:t>
            </w:r>
            <w:r>
              <w:rPr>
                <w:rFonts w:hint="eastAsia" w:ascii="宋体" w:hAnsi="宋体" w:cs="仿宋"/>
                <w:sz w:val="24"/>
              </w:rPr>
              <w:t>）</w:t>
            </w:r>
            <w:r>
              <w:rPr>
                <w:rFonts w:hint="eastAsia" w:ascii="宋体" w:hAnsi="宋体"/>
                <w:bCs/>
                <w:sz w:val="24"/>
              </w:rPr>
              <w:t>且各项信息不得有任何遮挡</w:t>
            </w:r>
            <w:r>
              <w:rPr>
                <w:rFonts w:hint="eastAsia" w:ascii="宋体" w:hAnsi="宋体"/>
                <w:sz w:val="24"/>
              </w:rPr>
              <w:t>；</w:t>
            </w:r>
          </w:p>
          <w:p w14:paraId="38384AB5">
            <w:pPr>
              <w:widowControl/>
              <w:spacing w:line="276" w:lineRule="auto"/>
              <w:rPr>
                <w:rFonts w:hint="eastAsia" w:ascii="宋体" w:hAnsi="宋体" w:cs="仿宋"/>
                <w:sz w:val="24"/>
              </w:rPr>
            </w:pPr>
            <w:r>
              <w:rPr>
                <w:rFonts w:hint="eastAsia" w:ascii="宋体" w:hAnsi="宋体"/>
                <w:sz w:val="24"/>
              </w:rPr>
              <w:t>2.</w:t>
            </w:r>
            <w:r>
              <w:rPr>
                <w:rFonts w:hint="eastAsia" w:ascii="宋体" w:hAnsi="宋体"/>
                <w:kern w:val="0"/>
                <w:sz w:val="24"/>
              </w:rPr>
              <w:t xml:space="preserve"> 以上</w:t>
            </w:r>
            <w:r>
              <w:rPr>
                <w:rFonts w:hint="eastAsia" w:ascii="宋体" w:hAnsi="宋体"/>
                <w:sz w:val="24"/>
              </w:rPr>
              <w:t>证明文件</w:t>
            </w:r>
            <w:r>
              <w:rPr>
                <w:rFonts w:hint="eastAsia" w:ascii="宋体" w:hAnsi="宋体"/>
                <w:kern w:val="0"/>
                <w:sz w:val="24"/>
              </w:rPr>
              <w:t>均提供复印件或扫描件加盖投标人公章，原件备查。</w:t>
            </w:r>
            <w:r>
              <w:rPr>
                <w:rFonts w:hint="eastAsia" w:ascii="宋体" w:hAnsi="宋体"/>
                <w:sz w:val="24"/>
              </w:rPr>
              <w:t>未按要求提供有效证明材料或提供不清晰导致评委无法识别的不计得分。</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3BAAFA35">
            <w:pPr>
              <w:spacing w:line="276" w:lineRule="auto"/>
              <w:jc w:val="center"/>
              <w:rPr>
                <w:rFonts w:hint="eastAsia" w:ascii="宋体" w:hAnsi="宋体" w:cs="仿宋"/>
                <w:sz w:val="24"/>
                <w:lang w:val="zh-CN"/>
              </w:rPr>
            </w:pPr>
            <w:r>
              <w:rPr>
                <w:rFonts w:hint="eastAsia" w:ascii="宋体" w:hAnsi="宋体" w:cs="仿宋"/>
                <w:sz w:val="24"/>
                <w:lang w:val="zh-CN"/>
              </w:rPr>
              <w:t>专家打分</w:t>
            </w:r>
          </w:p>
        </w:tc>
      </w:tr>
      <w:tr w14:paraId="6A91C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37" w:hRule="atLeast"/>
          <w:jc w:val="center"/>
        </w:trPr>
        <w:tc>
          <w:tcPr>
            <w:tcW w:w="755" w:type="dxa"/>
            <w:tcBorders>
              <w:top w:val="single" w:color="auto" w:sz="6" w:space="0"/>
              <w:left w:val="single" w:color="auto" w:sz="6" w:space="0"/>
              <w:bottom w:val="single" w:color="auto" w:sz="6" w:space="0"/>
              <w:right w:val="single" w:color="auto" w:sz="6" w:space="0"/>
            </w:tcBorders>
            <w:noWrap w:val="0"/>
            <w:vAlign w:val="center"/>
          </w:tcPr>
          <w:p w14:paraId="33E8EF55">
            <w:pPr>
              <w:autoSpaceDE w:val="0"/>
              <w:autoSpaceDN w:val="0"/>
              <w:adjustRightInd w:val="0"/>
              <w:spacing w:line="276" w:lineRule="auto"/>
              <w:jc w:val="center"/>
              <w:rPr>
                <w:rFonts w:hint="eastAsia" w:ascii="宋体" w:hAnsi="宋体" w:eastAsia="宋体" w:cs="仿宋"/>
                <w:sz w:val="24"/>
                <w:lang w:val="zh-CN" w:eastAsia="zh-CN"/>
              </w:rPr>
            </w:pPr>
            <w:r>
              <w:rPr>
                <w:rFonts w:hint="eastAsia" w:ascii="宋体" w:hAnsi="宋体" w:cs="仿宋"/>
                <w:sz w:val="24"/>
                <w:lang w:val="en-US" w:eastAsia="zh-CN"/>
              </w:rPr>
              <w:t>2</w:t>
            </w:r>
          </w:p>
        </w:tc>
        <w:tc>
          <w:tcPr>
            <w:tcW w:w="1144" w:type="dxa"/>
            <w:tcBorders>
              <w:top w:val="single" w:color="auto" w:sz="6" w:space="0"/>
              <w:left w:val="single" w:color="auto" w:sz="6" w:space="0"/>
              <w:bottom w:val="single" w:color="auto" w:sz="6" w:space="0"/>
              <w:right w:val="single" w:color="auto" w:sz="6" w:space="0"/>
            </w:tcBorders>
            <w:noWrap w:val="0"/>
            <w:vAlign w:val="center"/>
          </w:tcPr>
          <w:p w14:paraId="4D3F0073">
            <w:pPr>
              <w:spacing w:line="276" w:lineRule="auto"/>
              <w:jc w:val="center"/>
              <w:rPr>
                <w:rFonts w:hint="eastAsia" w:ascii="宋体" w:hAnsi="宋体" w:cs="仿宋"/>
                <w:sz w:val="24"/>
              </w:rPr>
            </w:pPr>
            <w:r>
              <w:rPr>
                <w:rFonts w:hint="eastAsia" w:ascii="宋体" w:hAnsi="宋体" w:cs="仿宋"/>
                <w:sz w:val="24"/>
              </w:rPr>
              <w:t>诚信评审</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395BFFBE">
            <w:pPr>
              <w:spacing w:line="276" w:lineRule="auto"/>
              <w:jc w:val="center"/>
              <w:rPr>
                <w:rFonts w:hint="eastAsia" w:ascii="宋体" w:hAnsi="宋体" w:cs="仿宋"/>
                <w:sz w:val="24"/>
              </w:rPr>
            </w:pPr>
            <w:r>
              <w:rPr>
                <w:rFonts w:hint="eastAsia" w:ascii="宋体" w:hAnsi="宋体" w:cs="仿宋"/>
                <w:sz w:val="24"/>
              </w:rPr>
              <w:t>5</w:t>
            </w:r>
          </w:p>
        </w:tc>
        <w:tc>
          <w:tcPr>
            <w:tcW w:w="5955" w:type="dxa"/>
            <w:tcBorders>
              <w:top w:val="single" w:color="auto" w:sz="6" w:space="0"/>
              <w:left w:val="single" w:color="auto" w:sz="6" w:space="0"/>
              <w:bottom w:val="single" w:color="auto" w:sz="6" w:space="0"/>
              <w:right w:val="single" w:color="auto" w:sz="6" w:space="0"/>
            </w:tcBorders>
            <w:noWrap w:val="0"/>
            <w:vAlign w:val="center"/>
          </w:tcPr>
          <w:p w14:paraId="6C43B5E1">
            <w:pPr>
              <w:spacing w:line="276" w:lineRule="auto"/>
              <w:rPr>
                <w:rFonts w:hint="eastAsia" w:ascii="宋体" w:hAnsi="宋体"/>
                <w:sz w:val="24"/>
              </w:rPr>
            </w:pPr>
            <w:r>
              <w:rPr>
                <w:rFonts w:hint="eastAsia" w:ascii="宋体" w:hAnsi="宋体"/>
                <w:sz w:val="24"/>
              </w:rPr>
              <w:t>（一）评分内容：</w:t>
            </w:r>
          </w:p>
          <w:p w14:paraId="2B2D0136">
            <w:pPr>
              <w:adjustRightInd w:val="0"/>
              <w:snapToGrid w:val="0"/>
              <w:spacing w:line="276" w:lineRule="auto"/>
              <w:rPr>
                <w:rFonts w:hint="eastAsia" w:ascii="宋体" w:hAnsi="宋体" w:cs="宋体"/>
                <w:sz w:val="24"/>
              </w:rPr>
            </w:pPr>
            <w:r>
              <w:rPr>
                <w:rFonts w:hint="eastAsia" w:ascii="宋体" w:hAnsi="宋体" w:cs="宋体"/>
                <w:sz w:val="24"/>
              </w:rPr>
              <w:t>投标人参与政府采购活动在诚信管理中受过主管部门通报处理且仍在实施期限内的本项不得分，</w:t>
            </w:r>
            <w:r>
              <w:rPr>
                <w:rFonts w:hint="eastAsia" w:ascii="宋体" w:hAnsi="宋体"/>
                <w:kern w:val="0"/>
                <w:sz w:val="24"/>
              </w:rPr>
              <w:t>否则得5分</w:t>
            </w:r>
            <w:r>
              <w:rPr>
                <w:rFonts w:hint="eastAsia" w:ascii="宋体" w:hAnsi="宋体" w:cs="宋体"/>
                <w:sz w:val="24"/>
              </w:rPr>
              <w:t>。</w:t>
            </w:r>
          </w:p>
          <w:p w14:paraId="2B9AA92F">
            <w:pPr>
              <w:autoSpaceDE w:val="0"/>
              <w:autoSpaceDN w:val="0"/>
              <w:adjustRightInd w:val="0"/>
              <w:spacing w:line="276" w:lineRule="auto"/>
              <w:jc w:val="left"/>
              <w:rPr>
                <w:rFonts w:hint="eastAsia" w:ascii="宋体" w:hAnsi="宋体"/>
                <w:kern w:val="0"/>
                <w:sz w:val="24"/>
              </w:rPr>
            </w:pPr>
            <w:r>
              <w:rPr>
                <w:rFonts w:hint="eastAsia" w:ascii="宋体" w:hAnsi="宋体"/>
                <w:kern w:val="0"/>
                <w:sz w:val="24"/>
              </w:rPr>
              <w:t>（二）评分依据：</w:t>
            </w:r>
          </w:p>
          <w:p w14:paraId="72E3BDF2">
            <w:pPr>
              <w:tabs>
                <w:tab w:val="left" w:pos="175"/>
              </w:tabs>
              <w:spacing w:line="276" w:lineRule="auto"/>
              <w:ind w:left="33"/>
              <w:jc w:val="left"/>
              <w:rPr>
                <w:rFonts w:hint="eastAsia" w:ascii="宋体" w:hAnsi="宋体" w:cs="仿宋"/>
                <w:sz w:val="24"/>
              </w:rPr>
            </w:pPr>
            <w:r>
              <w:rPr>
                <w:rFonts w:hint="eastAsia" w:ascii="宋体" w:hAnsi="宋体" w:cs="宋体"/>
                <w:bCs/>
                <w:kern w:val="0"/>
                <w:sz w:val="24"/>
              </w:rPr>
              <w:t>按招标文件格式如实提供</w:t>
            </w:r>
            <w:r>
              <w:rPr>
                <w:rFonts w:hint="eastAsia" w:ascii="宋体" w:hAnsi="宋体" w:cs="宋体"/>
                <w:sz w:val="24"/>
              </w:rPr>
              <w:t>《诚信承诺函》</w:t>
            </w:r>
            <w:r>
              <w:rPr>
                <w:rFonts w:hint="eastAsia" w:ascii="宋体" w:hAnsi="宋体" w:cs="宋体"/>
                <w:bCs/>
                <w:kern w:val="0"/>
                <w:sz w:val="24"/>
              </w:rPr>
              <w:t>原件加盖投标人公章，且承诺函格式及内容不得修改，否则不得分</w:t>
            </w:r>
            <w:r>
              <w:rPr>
                <w:rFonts w:hint="eastAsia" w:ascii="宋体" w:hAnsi="宋体" w:cs="宋体"/>
                <w:sz w:val="24"/>
              </w:rPr>
              <w:t>。</w:t>
            </w:r>
            <w:r>
              <w:rPr>
                <w:rFonts w:hint="eastAsia" w:ascii="宋体" w:hAnsi="宋体" w:cs="宋体"/>
                <w:bCs/>
                <w:kern w:val="0"/>
                <w:sz w:val="24"/>
              </w:rPr>
              <w:t>如若投标人承诺与实际情况不相符，将按虚假应标报相关主管部门处理</w:t>
            </w:r>
            <w:r>
              <w:rPr>
                <w:rFonts w:hint="eastAsia" w:ascii="宋体" w:hAnsi="宋体" w:cs="宋体"/>
                <w:sz w:val="24"/>
              </w:rPr>
              <w:t>。</w:t>
            </w:r>
          </w:p>
        </w:tc>
        <w:tc>
          <w:tcPr>
            <w:tcW w:w="1187" w:type="dxa"/>
            <w:tcBorders>
              <w:top w:val="single" w:color="auto" w:sz="6" w:space="0"/>
              <w:left w:val="single" w:color="auto" w:sz="6" w:space="0"/>
              <w:bottom w:val="single" w:color="auto" w:sz="6" w:space="0"/>
              <w:right w:val="single" w:color="auto" w:sz="6" w:space="0"/>
            </w:tcBorders>
            <w:noWrap w:val="0"/>
            <w:vAlign w:val="center"/>
          </w:tcPr>
          <w:p w14:paraId="0F1BA4D1">
            <w:pPr>
              <w:spacing w:line="276" w:lineRule="auto"/>
              <w:jc w:val="center"/>
              <w:rPr>
                <w:rFonts w:hint="eastAsia" w:ascii="宋体" w:hAnsi="宋体" w:cs="仿宋"/>
                <w:sz w:val="24"/>
                <w:lang w:val="zh-CN"/>
              </w:rPr>
            </w:pPr>
            <w:r>
              <w:rPr>
                <w:rFonts w:hint="eastAsia" w:ascii="宋体" w:hAnsi="宋体" w:cs="仿宋"/>
                <w:sz w:val="24"/>
                <w:lang w:val="zh-CN"/>
              </w:rPr>
              <w:t>专家打分</w:t>
            </w:r>
          </w:p>
        </w:tc>
      </w:tr>
    </w:tbl>
    <w:p w14:paraId="5EB3A945">
      <w:pPr>
        <w:spacing w:line="360" w:lineRule="auto"/>
        <w:ind w:firstLine="480" w:firstLineChars="200"/>
        <w:jc w:val="left"/>
        <w:rPr>
          <w:rFonts w:ascii="宋体" w:hAnsi="宋体"/>
          <w:sz w:val="24"/>
        </w:rPr>
        <w:sectPr>
          <w:pgSz w:w="11906" w:h="16838"/>
          <w:pgMar w:top="1418" w:right="1474" w:bottom="1418" w:left="1474" w:header="851" w:footer="992" w:gutter="0"/>
          <w:cols w:space="425" w:num="1"/>
          <w:docGrid w:type="lines" w:linePitch="312" w:charSpace="0"/>
        </w:sectPr>
      </w:pPr>
    </w:p>
    <w:bookmarkEnd w:id="9"/>
    <w:bookmarkEnd w:id="10"/>
    <w:p w14:paraId="38E41DA7">
      <w:pPr>
        <w:pStyle w:val="2"/>
      </w:pPr>
      <w:bookmarkStart w:id="11" w:name="_Toc61880306"/>
      <w:bookmarkStart w:id="12" w:name="_Toc61539110"/>
      <w:r>
        <w:rPr>
          <w:rFonts w:hint="eastAsia"/>
        </w:rPr>
        <w:t>第三章  投标人须知</w:t>
      </w:r>
      <w:bookmarkEnd w:id="11"/>
      <w:bookmarkEnd w:id="12"/>
    </w:p>
    <w:p w14:paraId="4F04929E">
      <w:pPr>
        <w:pStyle w:val="5"/>
        <w:ind w:firstLine="482"/>
      </w:pPr>
      <w:bookmarkStart w:id="13" w:name="_Toc55548492"/>
      <w:r>
        <w:t>一、说明</w:t>
      </w:r>
      <w:bookmarkEnd w:id="13"/>
    </w:p>
    <w:p w14:paraId="31367706">
      <w:pPr>
        <w:pStyle w:val="4"/>
        <w:spacing w:line="360" w:lineRule="auto"/>
        <w:ind w:firstLine="482"/>
      </w:pPr>
      <w:bookmarkStart w:id="14" w:name="_Toc18091"/>
      <w:bookmarkStart w:id="15" w:name="_Toc55548493"/>
      <w:r>
        <w:t>招标人及资金来源</w:t>
      </w:r>
      <w:bookmarkEnd w:id="14"/>
      <w:bookmarkEnd w:id="15"/>
    </w:p>
    <w:p w14:paraId="3787679F">
      <w:pPr>
        <w:spacing w:line="360" w:lineRule="auto"/>
        <w:ind w:firstLine="420" w:firstLineChars="200"/>
        <w:rPr>
          <w:rFonts w:asciiTheme="minorEastAsia" w:hAnsiTheme="minorEastAsia"/>
          <w:szCs w:val="21"/>
        </w:rPr>
      </w:pPr>
      <w:bookmarkStart w:id="16" w:name="_Ref179620507"/>
      <w:r>
        <w:rPr>
          <w:rFonts w:asciiTheme="minorEastAsia" w:hAnsiTheme="minorEastAsia"/>
          <w:szCs w:val="21"/>
        </w:rPr>
        <w:t>招标人已拥有一笔资金/</w:t>
      </w:r>
      <w:r>
        <w:rPr>
          <w:rFonts w:hint="eastAsia" w:asciiTheme="minorEastAsia" w:hAnsiTheme="minorEastAsia"/>
          <w:szCs w:val="21"/>
        </w:rPr>
        <w:t>货</w:t>
      </w:r>
      <w:r>
        <w:rPr>
          <w:rFonts w:asciiTheme="minorEastAsia" w:hAnsiTheme="minorEastAsia"/>
          <w:szCs w:val="21"/>
        </w:rPr>
        <w:t>款。招标人计划将一部分资金/贷款用于支付本次招标后所签订合同项下的款项，资金来源</w:t>
      </w:r>
      <w:r>
        <w:rPr>
          <w:rFonts w:hint="eastAsia" w:asciiTheme="minorEastAsia" w:hAnsiTheme="minorEastAsia"/>
          <w:szCs w:val="21"/>
        </w:rPr>
        <w:t>为：</w:t>
      </w:r>
      <w:r>
        <w:rPr>
          <w:rFonts w:asciiTheme="minorEastAsia" w:hAnsiTheme="minorEastAsia"/>
          <w:szCs w:val="21"/>
        </w:rPr>
        <w:t>财政资金。</w:t>
      </w:r>
      <w:bookmarkEnd w:id="16"/>
    </w:p>
    <w:p w14:paraId="234442F0">
      <w:pPr>
        <w:pStyle w:val="4"/>
        <w:spacing w:line="360" w:lineRule="auto"/>
        <w:ind w:firstLine="482"/>
      </w:pPr>
      <w:bookmarkStart w:id="17" w:name="_Toc55548494"/>
      <w:bookmarkStart w:id="18" w:name="_Toc29370"/>
      <w:r>
        <w:t>合格的投标人</w:t>
      </w:r>
      <w:bookmarkEnd w:id="17"/>
      <w:bookmarkEnd w:id="18"/>
    </w:p>
    <w:p w14:paraId="5A8E12BB">
      <w:pPr>
        <w:spacing w:line="360" w:lineRule="auto"/>
        <w:ind w:firstLine="420" w:firstLineChars="200"/>
        <w:rPr>
          <w:rFonts w:asciiTheme="minorEastAsia" w:hAnsiTheme="minorEastAsia"/>
          <w:szCs w:val="21"/>
        </w:rPr>
      </w:pPr>
      <w:bookmarkStart w:id="19" w:name="_Ref179620057"/>
      <w:r>
        <w:rPr>
          <w:rFonts w:asciiTheme="minorEastAsia" w:hAnsiTheme="minorEastAsia"/>
          <w:szCs w:val="21"/>
        </w:rPr>
        <w:t>合格的投标人</w:t>
      </w:r>
      <w:bookmarkEnd w:id="19"/>
    </w:p>
    <w:p w14:paraId="463FE8BF">
      <w:pPr>
        <w:spacing w:line="360" w:lineRule="auto"/>
        <w:ind w:firstLine="420" w:firstLineChars="200"/>
        <w:rPr>
          <w:rFonts w:asciiTheme="minorEastAsia" w:hAnsiTheme="minorEastAsia"/>
          <w:szCs w:val="21"/>
        </w:rPr>
      </w:pPr>
      <w:r>
        <w:rPr>
          <w:rFonts w:asciiTheme="minorEastAsia" w:hAnsiTheme="minorEastAsia"/>
          <w:szCs w:val="21"/>
        </w:rPr>
        <w:t>除非下文另有规定，凡是在中华人民共和国境内注册且为人民币流通区域内的供货人均可投标。</w:t>
      </w:r>
    </w:p>
    <w:p w14:paraId="6EA2AFAA">
      <w:pPr>
        <w:spacing w:line="360" w:lineRule="auto"/>
        <w:ind w:firstLine="420" w:firstLineChars="200"/>
        <w:rPr>
          <w:rFonts w:asciiTheme="minorEastAsia" w:hAnsiTheme="minorEastAsia"/>
          <w:szCs w:val="21"/>
        </w:rPr>
      </w:pPr>
      <w:r>
        <w:rPr>
          <w:rFonts w:asciiTheme="minorEastAsia" w:hAnsiTheme="minorEastAsia"/>
          <w:szCs w:val="21"/>
        </w:rPr>
        <w:t>只有在法律上和财务上独立、合法运作并独立于招标人的供货人才能参加投标。</w:t>
      </w:r>
    </w:p>
    <w:p w14:paraId="77ABD3C9">
      <w:pPr>
        <w:spacing w:line="360" w:lineRule="auto"/>
        <w:ind w:firstLine="420" w:firstLineChars="200"/>
        <w:rPr>
          <w:rFonts w:asciiTheme="minorEastAsia" w:hAnsiTheme="minorEastAsia"/>
          <w:szCs w:val="21"/>
        </w:rPr>
      </w:pPr>
      <w:r>
        <w:rPr>
          <w:rFonts w:asciiTheme="minorEastAsia" w:hAnsiTheme="minorEastAsia"/>
          <w:szCs w:val="21"/>
        </w:rPr>
        <w:t>投标人不得直接或间接地与招标人为采购本次招标的货物进行设计、编制规范和其他文件所委托的咨询公司或其附属机构有任何关联。</w:t>
      </w:r>
    </w:p>
    <w:p w14:paraId="29AA69A9">
      <w:pPr>
        <w:pStyle w:val="4"/>
        <w:spacing w:line="360" w:lineRule="auto"/>
        <w:ind w:firstLine="482"/>
      </w:pPr>
      <w:bookmarkStart w:id="20" w:name="_Toc55548495"/>
      <w:bookmarkStart w:id="21" w:name="_Toc12412"/>
      <w:r>
        <w:t>合格的货物和服务</w:t>
      </w:r>
      <w:bookmarkEnd w:id="20"/>
      <w:bookmarkEnd w:id="21"/>
    </w:p>
    <w:p w14:paraId="129F2A51">
      <w:pPr>
        <w:spacing w:line="360" w:lineRule="auto"/>
        <w:ind w:firstLine="420" w:firstLineChars="200"/>
        <w:rPr>
          <w:rFonts w:asciiTheme="minorEastAsia" w:hAnsiTheme="minorEastAsia"/>
          <w:szCs w:val="21"/>
        </w:rPr>
      </w:pPr>
      <w:r>
        <w:rPr>
          <w:rFonts w:asciiTheme="minorEastAsia" w:hAnsiTheme="minorEastAsia"/>
          <w:szCs w:val="21"/>
        </w:rPr>
        <w:t>必须是全新的货物，如安装或配置了软件的，须为正版软件。</w:t>
      </w:r>
    </w:p>
    <w:p w14:paraId="2DBA14FC">
      <w:pPr>
        <w:spacing w:line="360" w:lineRule="auto"/>
        <w:ind w:firstLine="420" w:firstLineChars="200"/>
        <w:rPr>
          <w:rFonts w:asciiTheme="minorEastAsia" w:hAnsiTheme="minorEastAsia"/>
          <w:szCs w:val="21"/>
        </w:rPr>
      </w:pPr>
      <w:r>
        <w:rPr>
          <w:rFonts w:asciiTheme="minorEastAsia" w:hAnsiTheme="minorEastAsia"/>
          <w:szCs w:val="21"/>
        </w:rPr>
        <w:t>产品及相关的服务必须符合中华人民共和国的设计和制造生产或行业标准。</w:t>
      </w:r>
    </w:p>
    <w:p w14:paraId="5B2FF5D7">
      <w:pPr>
        <w:spacing w:line="360" w:lineRule="auto"/>
        <w:ind w:firstLine="420" w:firstLineChars="200"/>
        <w:rPr>
          <w:rFonts w:asciiTheme="minorEastAsia" w:hAnsiTheme="minorEastAsia"/>
          <w:szCs w:val="21"/>
        </w:rPr>
      </w:pPr>
      <w:r>
        <w:rPr>
          <w:rFonts w:asciiTheme="minorEastAsia" w:hAnsiTheme="minorEastAsia"/>
          <w:szCs w:val="21"/>
        </w:rPr>
        <w:t>进口的货物必须是具有合法的进口手续和途径并通过了中华人民共和国商检部门检验。</w:t>
      </w:r>
    </w:p>
    <w:p w14:paraId="00E9CCDA">
      <w:pPr>
        <w:spacing w:line="360" w:lineRule="auto"/>
        <w:ind w:firstLine="420" w:firstLineChars="200"/>
        <w:rPr>
          <w:rFonts w:asciiTheme="minorEastAsia" w:hAnsiTheme="minorEastAsia"/>
          <w:szCs w:val="21"/>
        </w:rPr>
      </w:pPr>
      <w:r>
        <w:rPr>
          <w:rFonts w:asciiTheme="minorEastAsia" w:hAnsiTheme="minorEastAsia"/>
          <w:szCs w:val="21"/>
        </w:rPr>
        <w:t>投标人应保证，采购人在中华人民共和国使用该产品的任何一部分时，免受第三方提出的包括但不限于侵犯其专利权、商标权或工业设计权等知识产权和抵押权在内的担保物权的起诉。</w:t>
      </w:r>
    </w:p>
    <w:p w14:paraId="1C0A75ED">
      <w:pPr>
        <w:spacing w:line="360" w:lineRule="auto"/>
        <w:ind w:firstLine="420" w:firstLineChars="200"/>
        <w:rPr>
          <w:rFonts w:asciiTheme="minorEastAsia" w:hAnsiTheme="minorEastAsia"/>
          <w:szCs w:val="21"/>
        </w:rPr>
      </w:pPr>
      <w:r>
        <w:rPr>
          <w:rFonts w:asciiTheme="minorEastAsia" w:hAnsiTheme="minorEastAsia"/>
          <w:szCs w:val="21"/>
        </w:rPr>
        <w:t>投标人应保证，其所提供的货物应具有行政主管部门颁发的资质证书或国家质量监督部门的产品《检验报告》。设备到货验收时，还必须提供设备的产品合格证、质量保证文件。若中标后，除非另有约定，必须按合同规定完成设备的安装，并达到验收标准。</w:t>
      </w:r>
    </w:p>
    <w:p w14:paraId="3D25837E">
      <w:pPr>
        <w:pStyle w:val="4"/>
        <w:spacing w:line="360" w:lineRule="auto"/>
        <w:ind w:firstLine="482"/>
      </w:pPr>
      <w:bookmarkStart w:id="22" w:name="_Toc25686"/>
      <w:bookmarkStart w:id="23" w:name="_Toc55548496"/>
      <w:r>
        <w:t>投标费用</w:t>
      </w:r>
      <w:bookmarkEnd w:id="22"/>
      <w:bookmarkEnd w:id="23"/>
    </w:p>
    <w:p w14:paraId="703B9CF6">
      <w:pPr>
        <w:spacing w:line="360" w:lineRule="auto"/>
        <w:ind w:firstLine="420" w:firstLineChars="200"/>
        <w:rPr>
          <w:rFonts w:asciiTheme="minorEastAsia" w:hAnsiTheme="minorEastAsia"/>
          <w:szCs w:val="21"/>
        </w:rPr>
      </w:pPr>
      <w:r>
        <w:rPr>
          <w:rFonts w:asciiTheme="minorEastAsia" w:hAnsiTheme="minorEastAsia"/>
          <w:szCs w:val="21"/>
        </w:rPr>
        <w:t>投标人应承担所有与准备和参加投标有关的费用。不论投标的结果如何，招标人均无义务和责任承担这些费用。</w:t>
      </w:r>
    </w:p>
    <w:p w14:paraId="0893EA32">
      <w:pPr>
        <w:pStyle w:val="4"/>
        <w:spacing w:line="360" w:lineRule="auto"/>
        <w:ind w:firstLine="482"/>
      </w:pPr>
      <w:bookmarkStart w:id="24" w:name="_Toc10390"/>
      <w:bookmarkStart w:id="25" w:name="_Toc55548497"/>
      <w:r>
        <w:t>踏勘现场</w:t>
      </w:r>
      <w:bookmarkEnd w:id="24"/>
      <w:bookmarkEnd w:id="25"/>
    </w:p>
    <w:p w14:paraId="3CFF8099">
      <w:pPr>
        <w:spacing w:line="360" w:lineRule="auto"/>
        <w:ind w:firstLine="420" w:firstLineChars="200"/>
        <w:rPr>
          <w:rFonts w:asciiTheme="minorEastAsia" w:hAnsiTheme="minorEastAsia"/>
          <w:szCs w:val="21"/>
        </w:rPr>
      </w:pPr>
      <w:bookmarkStart w:id="26" w:name="_Ref179620557"/>
      <w:r>
        <w:rPr>
          <w:rFonts w:asciiTheme="minorEastAsia" w:hAnsiTheme="minorEastAsia"/>
          <w:szCs w:val="21"/>
        </w:rPr>
        <w:t>如有必要，</w:t>
      </w:r>
      <w:r>
        <w:rPr>
          <w:rFonts w:hint="eastAsia" w:asciiTheme="minorEastAsia" w:hAnsiTheme="minorEastAsia"/>
          <w:szCs w:val="21"/>
        </w:rPr>
        <w:t>本中心</w:t>
      </w:r>
      <w:r>
        <w:rPr>
          <w:rFonts w:asciiTheme="minorEastAsia" w:hAnsiTheme="minorEastAsia"/>
          <w:szCs w:val="21"/>
        </w:rPr>
        <w:t>将组织投标人对项目现场及周围环境进行踏勘，以便投标人获取须自己负责的有关编制投标文件和签署合同所需的所有资料。踏勘现场所发生的费用由投标人自己承担。</w:t>
      </w:r>
      <w:bookmarkEnd w:id="26"/>
    </w:p>
    <w:p w14:paraId="3804655B">
      <w:pPr>
        <w:spacing w:line="360" w:lineRule="auto"/>
        <w:ind w:firstLine="420" w:firstLineChars="200"/>
        <w:rPr>
          <w:rFonts w:asciiTheme="minorEastAsia" w:hAnsiTheme="minorEastAsia"/>
          <w:szCs w:val="21"/>
        </w:rPr>
      </w:pPr>
      <w:r>
        <w:rPr>
          <w:rFonts w:asciiTheme="minorEastAsia" w:hAnsiTheme="minorEastAsia"/>
          <w:szCs w:val="21"/>
        </w:rPr>
        <w:t>招标人向投标人提供的有关现场的资料和数据，是招标人现有的能使投标人利用的资料。招标人对投标人由此而做出的推论、理解和结论概不负责。</w:t>
      </w:r>
    </w:p>
    <w:p w14:paraId="4F98EF45">
      <w:pPr>
        <w:spacing w:line="360" w:lineRule="auto"/>
        <w:ind w:firstLine="420" w:firstLineChars="200"/>
        <w:rPr>
          <w:rFonts w:asciiTheme="minorEastAsia" w:hAnsiTheme="minorEastAsia"/>
          <w:szCs w:val="21"/>
        </w:rPr>
      </w:pPr>
      <w:r>
        <w:rPr>
          <w:rFonts w:asciiTheme="minorEastAsia" w:hAnsiTheme="minorEastAsia"/>
          <w:szCs w:val="21"/>
        </w:rPr>
        <w:t>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14:paraId="71E9CEF5">
      <w:pPr>
        <w:spacing w:line="360" w:lineRule="auto"/>
        <w:ind w:firstLine="420" w:firstLineChars="200"/>
        <w:rPr>
          <w:rFonts w:asciiTheme="minorEastAsia" w:hAnsiTheme="minorEastAsia"/>
          <w:szCs w:val="21"/>
        </w:rPr>
      </w:pPr>
      <w:r>
        <w:rPr>
          <w:rFonts w:asciiTheme="minorEastAsia" w:hAnsiTheme="minorEastAsia"/>
          <w:szCs w:val="21"/>
        </w:rPr>
        <w:t>如果投标人认为需要再次进行现场踏勘，招标人将予以支持，费用自理。</w:t>
      </w:r>
    </w:p>
    <w:p w14:paraId="5BDF5F9C">
      <w:pPr>
        <w:pStyle w:val="5"/>
        <w:ind w:firstLine="482"/>
      </w:pPr>
      <w:bookmarkStart w:id="27" w:name="_Toc6043"/>
      <w:bookmarkStart w:id="28" w:name="_Toc1751"/>
      <w:bookmarkStart w:id="29" w:name="_Toc55548498"/>
      <w:r>
        <w:t>二、招标文件</w:t>
      </w:r>
      <w:bookmarkEnd w:id="27"/>
      <w:bookmarkEnd w:id="28"/>
      <w:bookmarkEnd w:id="29"/>
    </w:p>
    <w:p w14:paraId="776EDB93">
      <w:pPr>
        <w:pStyle w:val="4"/>
        <w:spacing w:line="360" w:lineRule="auto"/>
        <w:ind w:firstLine="482"/>
      </w:pPr>
      <w:bookmarkStart w:id="30" w:name="_Toc19397"/>
      <w:bookmarkStart w:id="31" w:name="_Toc55548499"/>
      <w:r>
        <w:t>招标文件的构成</w:t>
      </w:r>
      <w:bookmarkEnd w:id="30"/>
      <w:bookmarkEnd w:id="31"/>
    </w:p>
    <w:p w14:paraId="1FA675C2">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一</w:t>
      </w:r>
      <w:r>
        <w:rPr>
          <w:rFonts w:asciiTheme="minorEastAsia" w:hAnsiTheme="minorEastAsia"/>
          <w:szCs w:val="21"/>
        </w:rPr>
        <w:t xml:space="preserve">章 </w:t>
      </w:r>
      <w:r>
        <w:rPr>
          <w:rFonts w:hint="eastAsia" w:asciiTheme="minorEastAsia" w:hAnsiTheme="minorEastAsia"/>
          <w:szCs w:val="21"/>
        </w:rPr>
        <w:t>招标公告</w:t>
      </w:r>
    </w:p>
    <w:p w14:paraId="19108E8E">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二</w:t>
      </w:r>
      <w:r>
        <w:rPr>
          <w:rFonts w:asciiTheme="minorEastAsia" w:hAnsiTheme="minorEastAsia"/>
          <w:szCs w:val="21"/>
        </w:rPr>
        <w:t>章 用户需求书</w:t>
      </w:r>
    </w:p>
    <w:p w14:paraId="1E499C65">
      <w:pPr>
        <w:spacing w:line="360" w:lineRule="auto"/>
        <w:ind w:firstLine="420" w:firstLineChars="200"/>
        <w:rPr>
          <w:rFonts w:asciiTheme="minorEastAsia" w:hAnsiTheme="minorEastAsia"/>
          <w:szCs w:val="21"/>
        </w:rPr>
      </w:pPr>
      <w:r>
        <w:rPr>
          <w:rFonts w:hint="eastAsia" w:asciiTheme="minorEastAsia" w:hAnsiTheme="minorEastAsia"/>
          <w:szCs w:val="21"/>
        </w:rPr>
        <w:t>第三章 投标人须知</w:t>
      </w:r>
    </w:p>
    <w:p w14:paraId="4B590FAD">
      <w:pPr>
        <w:spacing w:line="360" w:lineRule="auto"/>
        <w:ind w:firstLine="420" w:firstLineChars="200"/>
        <w:rPr>
          <w:rFonts w:asciiTheme="minorEastAsia" w:hAnsiTheme="minorEastAsia"/>
          <w:szCs w:val="21"/>
        </w:rPr>
      </w:pPr>
      <w:r>
        <w:rPr>
          <w:rFonts w:hint="eastAsia" w:asciiTheme="minorEastAsia" w:hAnsiTheme="minorEastAsia"/>
          <w:szCs w:val="21"/>
        </w:rPr>
        <w:t>第四章 附件-</w:t>
      </w:r>
      <w:r>
        <w:rPr>
          <w:rFonts w:asciiTheme="minorEastAsia" w:hAnsiTheme="minorEastAsia"/>
          <w:szCs w:val="21"/>
        </w:rPr>
        <w:t>投标文件格式</w:t>
      </w:r>
    </w:p>
    <w:p w14:paraId="2CD8DFFB">
      <w:pPr>
        <w:spacing w:line="360" w:lineRule="auto"/>
        <w:ind w:firstLine="420" w:firstLineChars="200"/>
        <w:rPr>
          <w:rFonts w:asciiTheme="minorEastAsia" w:hAnsiTheme="minorEastAsia"/>
          <w:szCs w:val="21"/>
        </w:rPr>
      </w:pPr>
      <w:r>
        <w:rPr>
          <w:rFonts w:asciiTheme="minorEastAsia" w:hAnsiTheme="minorEastAsia"/>
          <w:szCs w:val="21"/>
        </w:rPr>
        <w:t>投标人应认真阅读招标文件中所有的事项、格式、条款和技术规格等。投标人没有按照招标文件要求提交全部资料，或者投标没有对招标文件在各方面都作出实质性响应是投标人的风险，并可能导致其投标被拒绝。</w:t>
      </w:r>
    </w:p>
    <w:p w14:paraId="6993B9F4">
      <w:pPr>
        <w:pStyle w:val="4"/>
        <w:spacing w:line="360" w:lineRule="auto"/>
        <w:ind w:firstLine="482"/>
      </w:pPr>
      <w:bookmarkStart w:id="32" w:name="_Toc31711"/>
      <w:bookmarkStart w:id="33" w:name="_Toc55548500"/>
      <w:r>
        <w:t>招标文件的澄清</w:t>
      </w:r>
      <w:bookmarkEnd w:id="32"/>
      <w:bookmarkEnd w:id="33"/>
    </w:p>
    <w:p w14:paraId="7D5FA6E5">
      <w:pPr>
        <w:spacing w:line="360" w:lineRule="auto"/>
        <w:ind w:firstLine="420" w:firstLineChars="200"/>
        <w:rPr>
          <w:rFonts w:asciiTheme="minorEastAsia" w:hAnsiTheme="minorEastAsia"/>
          <w:szCs w:val="21"/>
        </w:rPr>
      </w:pPr>
      <w:r>
        <w:rPr>
          <w:rFonts w:asciiTheme="minorEastAsia" w:hAnsiTheme="minorEastAsia"/>
          <w:szCs w:val="21"/>
        </w:rPr>
        <w:t>任何要求对招标文件进行澄清的潜在投标人，均应以书面形式通知招标人。</w:t>
      </w:r>
      <w:r>
        <w:rPr>
          <w:rFonts w:hint="eastAsia" w:asciiTheme="minorEastAsia" w:hAnsiTheme="minorEastAsia"/>
          <w:szCs w:val="21"/>
        </w:rPr>
        <w:t>本中心</w:t>
      </w:r>
      <w:r>
        <w:rPr>
          <w:rFonts w:asciiTheme="minorEastAsia" w:hAnsiTheme="minorEastAsia"/>
          <w:szCs w:val="21"/>
        </w:rPr>
        <w:t>对其在投标截止期五日以前收到的对招标文件的澄清要求均以书面形式予以答复，同时将书面答复方式发给每个购买招标文件的潜在投标人(答复中不包括问题的来源)。</w:t>
      </w:r>
    </w:p>
    <w:p w14:paraId="3EA76CAB">
      <w:pPr>
        <w:pStyle w:val="4"/>
        <w:spacing w:line="360" w:lineRule="auto"/>
        <w:ind w:firstLine="482"/>
      </w:pPr>
      <w:bookmarkStart w:id="34" w:name="_Toc55548501"/>
      <w:bookmarkStart w:id="35" w:name="_Toc21781"/>
      <w:bookmarkStart w:id="36" w:name="_Ref179619612"/>
      <w:r>
        <w:t>招标文件的修改</w:t>
      </w:r>
      <w:bookmarkEnd w:id="34"/>
      <w:bookmarkEnd w:id="35"/>
      <w:bookmarkEnd w:id="36"/>
    </w:p>
    <w:p w14:paraId="09FFEAC6">
      <w:pPr>
        <w:spacing w:line="360" w:lineRule="auto"/>
        <w:ind w:firstLine="420" w:firstLineChars="200"/>
        <w:rPr>
          <w:rFonts w:asciiTheme="minorEastAsia" w:hAnsiTheme="minorEastAsia"/>
          <w:szCs w:val="21"/>
        </w:rPr>
      </w:pPr>
      <w:r>
        <w:rPr>
          <w:rFonts w:asciiTheme="minorEastAsia" w:hAnsiTheme="minorEastAsia"/>
          <w:szCs w:val="21"/>
        </w:rPr>
        <w:t>在投标截止时间三日前，招标人可主动地或在解答潜在投标人提出的澄清问题时对招标文件进行修改。澄清或修改时间不足三日的，</w:t>
      </w:r>
      <w:r>
        <w:rPr>
          <w:rFonts w:hint="eastAsia" w:asciiTheme="minorEastAsia" w:hAnsiTheme="minorEastAsia"/>
          <w:szCs w:val="21"/>
        </w:rPr>
        <w:t>本中心</w:t>
      </w:r>
      <w:r>
        <w:rPr>
          <w:rFonts w:asciiTheme="minorEastAsia" w:hAnsiTheme="minorEastAsia"/>
          <w:szCs w:val="21"/>
        </w:rPr>
        <w:t>在征得已获取招标文件的供应商同意并书面确认后，可不改变投标截至时间。</w:t>
      </w:r>
    </w:p>
    <w:p w14:paraId="51C3E332">
      <w:pPr>
        <w:spacing w:line="360" w:lineRule="auto"/>
        <w:ind w:firstLine="420" w:firstLineChars="200"/>
        <w:rPr>
          <w:rFonts w:asciiTheme="minorEastAsia" w:hAnsiTheme="minorEastAsia"/>
          <w:szCs w:val="21"/>
        </w:rPr>
      </w:pPr>
      <w:bookmarkStart w:id="37" w:name="_Ref179619147"/>
      <w:r>
        <w:rPr>
          <w:rFonts w:asciiTheme="minorEastAsia" w:hAnsiTheme="minorEastAsia"/>
          <w:szCs w:val="21"/>
        </w:rPr>
        <w:t>招标文件的修改是招标文件的组成部分，招标文件的修改均在</w:t>
      </w:r>
      <w:r>
        <w:rPr>
          <w:rFonts w:hint="eastAsia" w:asciiTheme="minorEastAsia" w:hAnsiTheme="minorEastAsia"/>
          <w:kern w:val="0"/>
          <w:szCs w:val="21"/>
        </w:rPr>
        <w:t>(深圳市宝安区疾病预防控制中心官网)</w:t>
      </w:r>
      <w:r>
        <w:rPr>
          <w:rFonts w:asciiTheme="minorEastAsia" w:hAnsiTheme="minorEastAsia"/>
          <w:szCs w:val="21"/>
        </w:rPr>
        <w:t>以网上公告形式发布，并对投标人具有约束力，招标期间，投标人有义务上网查看，公告一经上网发布，即视为送达。</w:t>
      </w:r>
      <w:bookmarkEnd w:id="37"/>
    </w:p>
    <w:p w14:paraId="7F3CB7A2">
      <w:pPr>
        <w:spacing w:line="360" w:lineRule="auto"/>
        <w:ind w:firstLine="420" w:firstLineChars="200"/>
        <w:rPr>
          <w:rFonts w:asciiTheme="minorEastAsia" w:hAnsiTheme="minorEastAsia"/>
          <w:szCs w:val="21"/>
        </w:rPr>
      </w:pPr>
      <w:r>
        <w:rPr>
          <w:rFonts w:asciiTheme="minorEastAsia" w:hAnsiTheme="minorEastAsia"/>
          <w:szCs w:val="21"/>
        </w:rPr>
        <w:t>为使投标人准备投标时有充分时间对招标文件的修改部分进行研究，招标人可适当推迟投标截止期。</w:t>
      </w:r>
    </w:p>
    <w:p w14:paraId="11D4584F">
      <w:pPr>
        <w:pStyle w:val="5"/>
        <w:ind w:firstLine="482"/>
      </w:pPr>
      <w:bookmarkStart w:id="38" w:name="_Toc55548502"/>
      <w:bookmarkStart w:id="39" w:name="_Toc6740"/>
      <w:bookmarkStart w:id="40" w:name="_Toc20164"/>
      <w:r>
        <w:t>三、投标文件的编制</w:t>
      </w:r>
      <w:bookmarkEnd w:id="38"/>
      <w:bookmarkEnd w:id="39"/>
      <w:bookmarkEnd w:id="40"/>
    </w:p>
    <w:p w14:paraId="6A2278E6">
      <w:pPr>
        <w:pStyle w:val="4"/>
        <w:spacing w:line="360" w:lineRule="auto"/>
        <w:ind w:firstLine="482"/>
      </w:pPr>
      <w:bookmarkStart w:id="41" w:name="_Toc28578"/>
      <w:bookmarkStart w:id="42" w:name="_Toc55548503"/>
      <w:r>
        <w:t>投标的语言</w:t>
      </w:r>
      <w:bookmarkEnd w:id="41"/>
      <w:bookmarkEnd w:id="42"/>
    </w:p>
    <w:p w14:paraId="11ACD2DD">
      <w:pPr>
        <w:spacing w:line="360" w:lineRule="auto"/>
        <w:ind w:firstLine="420" w:firstLineChars="200"/>
        <w:rPr>
          <w:rFonts w:asciiTheme="minorEastAsia" w:hAnsiTheme="minorEastAsia"/>
          <w:szCs w:val="21"/>
        </w:rPr>
      </w:pPr>
      <w:bookmarkStart w:id="43" w:name="_Ref179620571"/>
      <w:r>
        <w:rPr>
          <w:rFonts w:asciiTheme="minorEastAsia" w:hAnsiTheme="minorEastAsia"/>
          <w:szCs w:val="21"/>
        </w:rPr>
        <w:t>投标人提交的投标文件以及投标人与招标人就有关投标的所有来往函电均应使用</w:t>
      </w:r>
      <w:r>
        <w:rPr>
          <w:rFonts w:hint="eastAsia" w:asciiTheme="minorEastAsia" w:hAnsiTheme="minorEastAsia"/>
          <w:b/>
          <w:szCs w:val="21"/>
        </w:rPr>
        <w:t>中文</w:t>
      </w:r>
      <w:r>
        <w:rPr>
          <w:rFonts w:asciiTheme="minorEastAsia" w:hAnsiTheme="minorEastAsia"/>
          <w:szCs w:val="21"/>
        </w:rPr>
        <w:t>书写。投标人提交的支持资料和已印刷的文献可以用另一种语言，但相应内容应附有</w:t>
      </w:r>
      <w:r>
        <w:rPr>
          <w:rFonts w:hint="eastAsia" w:asciiTheme="minorEastAsia" w:hAnsiTheme="minorEastAsia"/>
          <w:b/>
          <w:szCs w:val="21"/>
        </w:rPr>
        <w:t>中文</w:t>
      </w:r>
      <w:r>
        <w:rPr>
          <w:rFonts w:asciiTheme="minorEastAsia" w:hAnsiTheme="minorEastAsia"/>
          <w:szCs w:val="21"/>
        </w:rPr>
        <w:t>的翻译本，在解释投标文件时以翻译本为准。</w:t>
      </w:r>
      <w:bookmarkEnd w:id="43"/>
    </w:p>
    <w:p w14:paraId="2AE8796F">
      <w:pPr>
        <w:pStyle w:val="4"/>
        <w:spacing w:line="360" w:lineRule="auto"/>
        <w:ind w:firstLine="482"/>
      </w:pPr>
      <w:bookmarkStart w:id="44" w:name="_Toc55548504"/>
      <w:bookmarkStart w:id="45" w:name="_Toc31114"/>
      <w:r>
        <w:t>投标范围及投标文件中计量单位的使用</w:t>
      </w:r>
      <w:bookmarkEnd w:id="44"/>
      <w:bookmarkEnd w:id="45"/>
    </w:p>
    <w:p w14:paraId="7F41EDA4">
      <w:pPr>
        <w:spacing w:line="360" w:lineRule="auto"/>
        <w:ind w:firstLine="420" w:firstLineChars="200"/>
        <w:rPr>
          <w:rFonts w:asciiTheme="minorEastAsia" w:hAnsiTheme="minorEastAsia"/>
          <w:szCs w:val="21"/>
        </w:rPr>
      </w:pPr>
      <w:r>
        <w:rPr>
          <w:rFonts w:asciiTheme="minorEastAsia" w:hAnsiTheme="minorEastAsia"/>
          <w:szCs w:val="21"/>
        </w:rPr>
        <w:t>投标人可对招标文件中“用户需求书”中所述的所有货物</w:t>
      </w:r>
      <w:r>
        <w:rPr>
          <w:rFonts w:hint="eastAsia" w:asciiTheme="minorEastAsia" w:hAnsiTheme="minorEastAsia"/>
          <w:szCs w:val="21"/>
        </w:rPr>
        <w:t>或者</w:t>
      </w:r>
      <w:r>
        <w:rPr>
          <w:rFonts w:asciiTheme="minorEastAsia" w:hAnsiTheme="minorEastAsia"/>
          <w:szCs w:val="21"/>
        </w:rPr>
        <w:t>服务进行投标，也可以只对其中一包或几包货物进行投标，但不得将一包中的内容拆开投标。</w:t>
      </w:r>
    </w:p>
    <w:p w14:paraId="59E736F5">
      <w:pPr>
        <w:spacing w:line="360" w:lineRule="auto"/>
        <w:ind w:firstLine="420" w:firstLineChars="200"/>
        <w:rPr>
          <w:rFonts w:asciiTheme="minorEastAsia" w:hAnsiTheme="minorEastAsia"/>
          <w:szCs w:val="21"/>
        </w:rPr>
      </w:pPr>
      <w:r>
        <w:rPr>
          <w:rFonts w:asciiTheme="minorEastAsia" w:hAnsiTheme="minorEastAsia"/>
          <w:szCs w:val="21"/>
        </w:rPr>
        <w:t>投标文件中所使用的计量单位，除招标文件中有特殊要求外，应采用中华人民共和国法定计量单位。</w:t>
      </w:r>
    </w:p>
    <w:p w14:paraId="439A47C0">
      <w:pPr>
        <w:spacing w:line="360" w:lineRule="auto"/>
        <w:ind w:firstLine="420" w:firstLineChars="200"/>
        <w:rPr>
          <w:rFonts w:asciiTheme="minorEastAsia" w:hAnsiTheme="minorEastAsia"/>
          <w:szCs w:val="21"/>
        </w:rPr>
      </w:pPr>
      <w:r>
        <w:rPr>
          <w:rFonts w:asciiTheme="minorEastAsia" w:hAnsiTheme="minorEastAsia"/>
          <w:szCs w:val="21"/>
        </w:rPr>
        <w:t>除非另有说明，本招标文件中所称“日”均指日历日，投标文件中需以日历日对招标文件作出响应。评审时，对投标中出现的“工作日”按五个工作日折合七个日历日计算，且评标委员会可能会就有关日期作出对该投标人不利的折算或量化，投标人不得对此提出异议，否则其投标将被拒绝。</w:t>
      </w:r>
    </w:p>
    <w:p w14:paraId="387F25D0">
      <w:pPr>
        <w:pStyle w:val="4"/>
        <w:spacing w:line="360" w:lineRule="auto"/>
        <w:ind w:firstLine="482"/>
      </w:pPr>
      <w:bookmarkStart w:id="46" w:name="_Toc55548505"/>
      <w:bookmarkStart w:id="47" w:name="_Toc4999"/>
      <w:r>
        <w:t>投标文件的构成</w:t>
      </w:r>
      <w:bookmarkEnd w:id="46"/>
      <w:bookmarkEnd w:id="47"/>
    </w:p>
    <w:p w14:paraId="3EEC42B1">
      <w:pPr>
        <w:spacing w:line="360" w:lineRule="auto"/>
        <w:ind w:firstLine="420" w:firstLineChars="200"/>
        <w:rPr>
          <w:rFonts w:asciiTheme="minorEastAsia" w:hAnsiTheme="minorEastAsia"/>
          <w:szCs w:val="21"/>
        </w:rPr>
      </w:pPr>
      <w:r>
        <w:rPr>
          <w:rFonts w:asciiTheme="minorEastAsia" w:hAnsiTheme="minorEastAsia"/>
          <w:szCs w:val="21"/>
        </w:rPr>
        <w:t>投标人应完整地按招标文件提供的投标文件格式制作投标文件。</w:t>
      </w:r>
    </w:p>
    <w:p w14:paraId="18671161">
      <w:pPr>
        <w:pStyle w:val="4"/>
        <w:spacing w:line="360" w:lineRule="auto"/>
        <w:ind w:firstLine="482"/>
      </w:pPr>
      <w:bookmarkStart w:id="48" w:name="_Toc55548506"/>
      <w:bookmarkStart w:id="49" w:name="_Toc24290"/>
      <w:r>
        <w:t>投标文件电子文档</w:t>
      </w:r>
      <w:bookmarkEnd w:id="48"/>
      <w:bookmarkEnd w:id="49"/>
    </w:p>
    <w:p w14:paraId="145B3DEE">
      <w:pPr>
        <w:spacing w:line="360" w:lineRule="auto"/>
        <w:ind w:firstLine="420" w:firstLineChars="200"/>
        <w:rPr>
          <w:rFonts w:hint="default" w:asciiTheme="minorEastAsia" w:hAnsiTheme="minorEastAsia" w:eastAsiaTheme="minorEastAsia"/>
          <w:szCs w:val="21"/>
          <w:lang w:val="en-US" w:eastAsia="zh-CN"/>
        </w:rPr>
      </w:pPr>
      <w:r>
        <w:rPr>
          <w:rFonts w:asciiTheme="minorEastAsia" w:hAnsiTheme="minorEastAsia"/>
          <w:szCs w:val="21"/>
          <w:highlight w:val="yellow"/>
        </w:rPr>
        <w:t>投标人在提交书面投标文件的同时，</w:t>
      </w:r>
      <w:r>
        <w:fldChar w:fldCharType="begin"/>
      </w:r>
      <w:r>
        <w:instrText xml:space="preserve"> HYPERLINK "mailto:应提交该投标文件的电子文档（格式为盖章版扫描件）于指定时间发送至568711397@qq.com" </w:instrText>
      </w:r>
      <w:r>
        <w:fldChar w:fldCharType="separate"/>
      </w:r>
      <w:r>
        <w:rPr>
          <w:rStyle w:val="20"/>
          <w:rFonts w:asciiTheme="minorEastAsia" w:hAnsiTheme="minorEastAsia"/>
          <w:szCs w:val="21"/>
          <w:highlight w:val="yellow"/>
        </w:rPr>
        <w:t>应提交该投标文件的电子文档于指定时间发送至</w:t>
      </w:r>
      <w:r>
        <w:rPr>
          <w:rStyle w:val="20"/>
          <w:rFonts w:hint="eastAsia" w:eastAsia="宋体" w:cs="Times New Roman" w:asciiTheme="minorEastAsia" w:hAnsiTheme="minorEastAsia"/>
          <w:szCs w:val="21"/>
          <w:highlight w:val="yellow"/>
        </w:rPr>
        <w:t>bacdcxxk@baoan.gov.cn</w:t>
      </w:r>
      <w:r>
        <w:rPr>
          <w:rStyle w:val="20"/>
          <w:rFonts w:hint="eastAsia" w:eastAsia="宋体" w:cs="Times New Roman" w:asciiTheme="minorEastAsia" w:hAnsiTheme="minorEastAsia"/>
          <w:szCs w:val="21"/>
          <w:highlight w:val="yellow"/>
        </w:rPr>
        <w:fldChar w:fldCharType="end"/>
      </w:r>
      <w:r>
        <w:rPr>
          <w:rFonts w:hint="eastAsia" w:asciiTheme="minorEastAsia" w:hAnsiTheme="minorEastAsia"/>
          <w:szCs w:val="21"/>
          <w:highlight w:val="yellow"/>
        </w:rPr>
        <w:t>邮箱</w:t>
      </w:r>
      <w:r>
        <w:rPr>
          <w:rFonts w:hint="eastAsia" w:asciiTheme="minorEastAsia" w:hAnsiTheme="minorEastAsia"/>
          <w:szCs w:val="21"/>
          <w:highlight w:val="yellow"/>
          <w:lang w:val="en-US" w:eastAsia="zh-CN"/>
        </w:rPr>
        <w:t>或</w:t>
      </w:r>
      <w:r>
        <w:rPr>
          <w:rStyle w:val="20"/>
          <w:rFonts w:asciiTheme="minorEastAsia" w:hAnsiTheme="minorEastAsia"/>
          <w:szCs w:val="21"/>
          <w:highlight w:val="yellow"/>
        </w:rPr>
        <w:t>投标文件的电子文档</w:t>
      </w:r>
      <w:r>
        <w:rPr>
          <w:rStyle w:val="20"/>
          <w:rFonts w:hint="eastAsia" w:asciiTheme="minorEastAsia" w:hAnsiTheme="minorEastAsia"/>
          <w:szCs w:val="21"/>
          <w:highlight w:val="yellow"/>
          <w:lang w:val="en-US" w:eastAsia="zh-CN"/>
        </w:rPr>
        <w:t>U盘附于投标文件档案内。</w:t>
      </w:r>
    </w:p>
    <w:p w14:paraId="2623EC98">
      <w:pPr>
        <w:spacing w:line="360" w:lineRule="auto"/>
        <w:ind w:firstLine="420" w:firstLineChars="200"/>
        <w:rPr>
          <w:rFonts w:asciiTheme="minorEastAsia" w:hAnsiTheme="minorEastAsia"/>
          <w:szCs w:val="21"/>
        </w:rPr>
      </w:pPr>
      <w:r>
        <w:rPr>
          <w:rFonts w:asciiTheme="minorEastAsia" w:hAnsiTheme="minorEastAsia"/>
          <w:szCs w:val="21"/>
        </w:rPr>
        <w:t>电子文档的格式要求：投标文件电子文档应统一</w:t>
      </w:r>
      <w:r>
        <w:rPr>
          <w:rFonts w:hint="eastAsia" w:asciiTheme="minorEastAsia" w:hAnsiTheme="minorEastAsia"/>
          <w:szCs w:val="21"/>
        </w:rPr>
        <w:t>为投标文件盖章后扫描件</w:t>
      </w:r>
      <w:r>
        <w:rPr>
          <w:rFonts w:asciiTheme="minorEastAsia" w:hAnsiTheme="minorEastAsia"/>
          <w:szCs w:val="21"/>
        </w:rPr>
        <w:t>。</w:t>
      </w:r>
    </w:p>
    <w:p w14:paraId="45E806E5">
      <w:pPr>
        <w:spacing w:line="360" w:lineRule="auto"/>
        <w:ind w:firstLine="420" w:firstLineChars="200"/>
        <w:rPr>
          <w:rFonts w:asciiTheme="minorEastAsia" w:hAnsiTheme="minorEastAsia"/>
          <w:szCs w:val="21"/>
        </w:rPr>
      </w:pPr>
      <w:r>
        <w:rPr>
          <w:rFonts w:asciiTheme="minorEastAsia" w:hAnsiTheme="minorEastAsia"/>
          <w:szCs w:val="21"/>
        </w:rPr>
        <w:t>投标人提交的书面投标文件的实质内容应与提交的电子文档的实质内容完全一致。如果评标委员会发现两者的实质内容不一致，将按不利于投标人的原则予以处置。因此产生的一切责任均由投标人承担。</w:t>
      </w:r>
    </w:p>
    <w:p w14:paraId="0DACE8CE">
      <w:pPr>
        <w:pStyle w:val="4"/>
        <w:spacing w:line="360" w:lineRule="auto"/>
        <w:ind w:firstLine="482"/>
      </w:pPr>
      <w:bookmarkStart w:id="50" w:name="_Toc55548507"/>
      <w:bookmarkStart w:id="51" w:name="_Toc12177"/>
      <w:r>
        <w:t>投标文件的编写</w:t>
      </w:r>
      <w:bookmarkEnd w:id="50"/>
      <w:bookmarkEnd w:id="51"/>
    </w:p>
    <w:p w14:paraId="56323769">
      <w:pPr>
        <w:spacing w:line="360" w:lineRule="auto"/>
        <w:ind w:firstLine="420" w:firstLineChars="200"/>
        <w:rPr>
          <w:rFonts w:asciiTheme="minorEastAsia" w:hAnsiTheme="minorEastAsia"/>
          <w:szCs w:val="21"/>
        </w:rPr>
      </w:pPr>
      <w:r>
        <w:rPr>
          <w:rFonts w:asciiTheme="minorEastAsia" w:hAnsiTheme="minorEastAsia"/>
          <w:szCs w:val="21"/>
        </w:rPr>
        <w:t>投标人应按招标文件的规定，及附件要求的内容和格式完整地填写和提供资料，并保证所提供的全部资料的真实性。</w:t>
      </w:r>
    </w:p>
    <w:p w14:paraId="46B0D6F5">
      <w:pPr>
        <w:pStyle w:val="4"/>
        <w:spacing w:line="360" w:lineRule="auto"/>
        <w:ind w:firstLine="482"/>
      </w:pPr>
      <w:bookmarkStart w:id="52" w:name="_Toc55548508"/>
      <w:bookmarkStart w:id="53" w:name="_Toc26930"/>
      <w:r>
        <w:t>投标报价</w:t>
      </w:r>
      <w:bookmarkEnd w:id="52"/>
      <w:bookmarkEnd w:id="53"/>
    </w:p>
    <w:p w14:paraId="0C9B5D62">
      <w:pPr>
        <w:spacing w:line="360" w:lineRule="auto"/>
        <w:ind w:firstLine="420" w:firstLineChars="200"/>
        <w:rPr>
          <w:rFonts w:asciiTheme="minorEastAsia" w:hAnsiTheme="minorEastAsia"/>
          <w:szCs w:val="21"/>
        </w:rPr>
      </w:pPr>
      <w:r>
        <w:rPr>
          <w:rFonts w:asciiTheme="minorEastAsia" w:hAnsiTheme="minorEastAsia"/>
          <w:szCs w:val="21"/>
        </w:rPr>
        <w:t>所有投标均以人民币报价。投标人的投标报价应符合《中华人民共和国价格法》的有关规定。</w:t>
      </w:r>
    </w:p>
    <w:p w14:paraId="6BE628E3">
      <w:pPr>
        <w:spacing w:line="360" w:lineRule="auto"/>
        <w:ind w:firstLine="420" w:firstLineChars="200"/>
        <w:rPr>
          <w:rFonts w:asciiTheme="minorEastAsia" w:hAnsiTheme="minorEastAsia"/>
          <w:szCs w:val="21"/>
        </w:rPr>
      </w:pPr>
      <w:bookmarkStart w:id="54" w:name="_Ref179619251"/>
      <w:r>
        <w:rPr>
          <w:rFonts w:asciiTheme="minorEastAsia" w:hAnsiTheme="minorEastAsia"/>
          <w:szCs w:val="21"/>
        </w:rPr>
        <w:t>投标人应在投标分项报价表上标明投标货物及相关服务的单价(如适用)和总价，并由法定代表人或其授权代表签署。投标总价中不得包含招标文件要求以外的内容，否则，在评标时不予核减。</w:t>
      </w:r>
      <w:bookmarkEnd w:id="54"/>
    </w:p>
    <w:p w14:paraId="59D57023">
      <w:pPr>
        <w:spacing w:line="360" w:lineRule="auto"/>
        <w:ind w:firstLine="420" w:firstLineChars="200"/>
        <w:rPr>
          <w:rFonts w:asciiTheme="minorEastAsia" w:hAnsiTheme="minorEastAsia"/>
          <w:szCs w:val="21"/>
        </w:rPr>
      </w:pPr>
      <w:bookmarkStart w:id="55" w:name="_Ref179620595"/>
      <w:r>
        <w:rPr>
          <w:rFonts w:asciiTheme="minorEastAsia" w:hAnsiTheme="minorEastAsia"/>
          <w:szCs w:val="21"/>
        </w:rPr>
        <w:t>投标人的投标报价，应完整的包含所有采购内容，且不得以任何理由重复，每一项目只允许有一个报价，任何有选择的报价将不予接受。</w:t>
      </w:r>
      <w:bookmarkEnd w:id="55"/>
    </w:p>
    <w:p w14:paraId="45900059">
      <w:pPr>
        <w:spacing w:line="360" w:lineRule="auto"/>
        <w:ind w:firstLine="420" w:firstLineChars="200"/>
        <w:rPr>
          <w:rFonts w:asciiTheme="minorEastAsia" w:hAnsiTheme="minorEastAsia"/>
          <w:szCs w:val="21"/>
        </w:rPr>
      </w:pPr>
      <w:r>
        <w:rPr>
          <w:rFonts w:asciiTheme="minorEastAsia" w:hAnsiTheme="minorEastAsia"/>
          <w:szCs w:val="21"/>
        </w:rPr>
        <w:t>投标分项报价上的价格应按下列方式填写：</w:t>
      </w:r>
    </w:p>
    <w:p w14:paraId="0E1D5F5E">
      <w:pPr>
        <w:spacing w:line="360" w:lineRule="auto"/>
        <w:ind w:firstLine="420" w:firstLineChars="200"/>
        <w:rPr>
          <w:rFonts w:asciiTheme="minorEastAsia" w:hAnsiTheme="minorEastAsia"/>
          <w:szCs w:val="21"/>
        </w:rPr>
      </w:pPr>
      <w:r>
        <w:rPr>
          <w:rFonts w:asciiTheme="minorEastAsia" w:hAnsiTheme="minorEastAsia"/>
          <w:szCs w:val="21"/>
        </w:rPr>
        <w:t>投标货物</w:t>
      </w:r>
      <w:r>
        <w:rPr>
          <w:rFonts w:hint="eastAsia" w:asciiTheme="minorEastAsia" w:hAnsiTheme="minorEastAsia"/>
          <w:szCs w:val="21"/>
        </w:rPr>
        <w:t>或</w:t>
      </w:r>
      <w:r>
        <w:rPr>
          <w:rFonts w:asciiTheme="minorEastAsia" w:hAnsiTheme="minorEastAsia"/>
          <w:szCs w:val="21"/>
        </w:rPr>
        <w:t>服务包括标准附件、备品备件、专用工具等的出厂价(包括已在中国国内的进口货物完税后的仓库交货价、展室交货价或货架交货价)，投标货物安装、调试、检验、技术服务和培训等费用；</w:t>
      </w:r>
    </w:p>
    <w:p w14:paraId="1B57D206">
      <w:pPr>
        <w:spacing w:line="360" w:lineRule="auto"/>
        <w:ind w:firstLine="420" w:firstLineChars="200"/>
        <w:rPr>
          <w:rFonts w:asciiTheme="minorEastAsia" w:hAnsiTheme="minorEastAsia"/>
          <w:szCs w:val="21"/>
        </w:rPr>
      </w:pPr>
      <w:r>
        <w:rPr>
          <w:rFonts w:asciiTheme="minorEastAsia" w:hAnsiTheme="minorEastAsia"/>
          <w:szCs w:val="21"/>
        </w:rPr>
        <w:t>货物运至最终目的地并安装调试完毕的运输费和保险费用和伴随货物交运的有关费用；</w:t>
      </w:r>
    </w:p>
    <w:p w14:paraId="6CF80BC4">
      <w:pPr>
        <w:spacing w:line="360" w:lineRule="auto"/>
        <w:ind w:firstLine="420" w:firstLineChars="200"/>
        <w:rPr>
          <w:rFonts w:asciiTheme="minorEastAsia" w:hAnsiTheme="minorEastAsia"/>
          <w:szCs w:val="21"/>
        </w:rPr>
      </w:pPr>
      <w:bookmarkStart w:id="56" w:name="_Ref179620755"/>
      <w:r>
        <w:rPr>
          <w:rFonts w:asciiTheme="minorEastAsia" w:hAnsiTheme="minorEastAsia"/>
          <w:szCs w:val="21"/>
        </w:rPr>
        <w:t>其他伴随服务的费用(如有)。</w:t>
      </w:r>
      <w:bookmarkEnd w:id="56"/>
    </w:p>
    <w:p w14:paraId="525C2370">
      <w:pPr>
        <w:spacing w:line="360" w:lineRule="auto"/>
        <w:ind w:firstLine="420" w:firstLineChars="200"/>
        <w:rPr>
          <w:rFonts w:asciiTheme="minorEastAsia" w:hAnsiTheme="minorEastAsia"/>
          <w:szCs w:val="21"/>
        </w:rPr>
      </w:pPr>
      <w:r>
        <w:rPr>
          <w:rFonts w:asciiTheme="minorEastAsia" w:hAnsiTheme="minorEastAsia"/>
          <w:szCs w:val="21"/>
        </w:rPr>
        <w:t xml:space="preserve">投标人根据本须知的规定将投标价分成几部分，只是为了方便招标人对投标文件进行比较，并不限制招标人以上述任何条件订立合同的权力。 </w:t>
      </w:r>
    </w:p>
    <w:p w14:paraId="070003BC">
      <w:pPr>
        <w:spacing w:line="360" w:lineRule="auto"/>
        <w:ind w:firstLine="420" w:firstLineChars="200"/>
        <w:rPr>
          <w:rFonts w:asciiTheme="minorEastAsia" w:hAnsiTheme="minorEastAsia"/>
          <w:szCs w:val="21"/>
        </w:rPr>
      </w:pPr>
      <w:r>
        <w:rPr>
          <w:rFonts w:asciiTheme="minorEastAsia" w:hAnsiTheme="minorEastAsia"/>
          <w:szCs w:val="21"/>
        </w:rPr>
        <w:t>投标人所报的投标价在合同执行过程中是固定不变的，不得以任何理由予以变更。任何包含价格调整要求的投标，被认为是非实质性响应投标而予以拒绝。</w:t>
      </w:r>
    </w:p>
    <w:p w14:paraId="022459EA">
      <w:pPr>
        <w:pStyle w:val="4"/>
        <w:spacing w:line="360" w:lineRule="auto"/>
        <w:ind w:firstLine="482"/>
      </w:pPr>
      <w:bookmarkStart w:id="57" w:name="_Toc55548509"/>
      <w:bookmarkStart w:id="58" w:name="_Toc11635"/>
      <w:r>
        <w:t>证明投标人合格和资格的文件</w:t>
      </w:r>
      <w:bookmarkEnd w:id="57"/>
      <w:bookmarkEnd w:id="58"/>
      <w:r>
        <w:t xml:space="preserve"> </w:t>
      </w:r>
    </w:p>
    <w:p w14:paraId="2D12E1F0">
      <w:pPr>
        <w:spacing w:line="360" w:lineRule="auto"/>
        <w:ind w:firstLine="420" w:firstLineChars="200"/>
        <w:rPr>
          <w:rFonts w:asciiTheme="minorEastAsia" w:hAnsiTheme="minorEastAsia"/>
          <w:szCs w:val="21"/>
        </w:rPr>
      </w:pPr>
      <w:r>
        <w:rPr>
          <w:rFonts w:asciiTheme="minorEastAsia" w:hAnsiTheme="minorEastAsia"/>
          <w:szCs w:val="21"/>
        </w:rPr>
        <w:t>投标人应提交证明其有资格参加投标和中标后有能力履行合同的文件。</w:t>
      </w:r>
    </w:p>
    <w:p w14:paraId="1807A2A9">
      <w:pPr>
        <w:spacing w:line="360" w:lineRule="auto"/>
        <w:ind w:firstLine="420" w:firstLineChars="200"/>
        <w:rPr>
          <w:rFonts w:asciiTheme="minorEastAsia" w:hAnsiTheme="minorEastAsia"/>
          <w:szCs w:val="21"/>
        </w:rPr>
      </w:pPr>
      <w:r>
        <w:rPr>
          <w:rFonts w:asciiTheme="minorEastAsia" w:hAnsiTheme="minorEastAsia"/>
          <w:szCs w:val="21"/>
        </w:rPr>
        <w:t>招标文件允许联合体投标时，投标人始得组建联合体。联合体投标时，应提交各方的资格证明文件、联合体协议并注明主办人；联合体各方签订共同投标协议后，不得再以自己的名义单独在同一项目中投标，也不得组成新的联合体参加同一项目投标。违反上述规定的联合体投标将导致其投标被拒绝。</w:t>
      </w:r>
    </w:p>
    <w:p w14:paraId="2FCF63CA">
      <w:pPr>
        <w:spacing w:line="360" w:lineRule="auto"/>
        <w:ind w:firstLine="420" w:firstLineChars="200"/>
        <w:rPr>
          <w:rFonts w:asciiTheme="minorEastAsia" w:hAnsiTheme="minorEastAsia"/>
          <w:szCs w:val="21"/>
        </w:rPr>
      </w:pPr>
      <w:r>
        <w:rPr>
          <w:rFonts w:asciiTheme="minorEastAsia" w:hAnsiTheme="minorEastAsia"/>
          <w:szCs w:val="21"/>
        </w:rPr>
        <w:t xml:space="preserve">投标人提交的证明其中标后能履行合同的资格证明文件应包括下列文件： </w:t>
      </w:r>
    </w:p>
    <w:p w14:paraId="09AD9E82">
      <w:pPr>
        <w:spacing w:line="360" w:lineRule="auto"/>
        <w:ind w:firstLine="420" w:firstLineChars="200"/>
        <w:rPr>
          <w:rFonts w:asciiTheme="minorEastAsia" w:hAnsiTheme="minorEastAsia"/>
          <w:szCs w:val="21"/>
        </w:rPr>
      </w:pPr>
      <w:r>
        <w:rPr>
          <w:rFonts w:asciiTheme="minorEastAsia" w:hAnsiTheme="minorEastAsia"/>
          <w:szCs w:val="21"/>
        </w:rPr>
        <w:t>证明投标人销售资格的证明文件：制造商参加投标时，需在投标文件中注明其制造商身份；代理商参加投标时则须提交相应授权文件，授权文件包括制造商或上级代理商授权（上级代理商授权文件应可追溯至制造商授权文件，并有完整的证明资料）；招标文件对授权文件有特殊要求的，从其规定；</w:t>
      </w:r>
    </w:p>
    <w:p w14:paraId="0F4027D4">
      <w:pPr>
        <w:spacing w:line="360" w:lineRule="auto"/>
        <w:ind w:firstLine="420" w:firstLineChars="200"/>
        <w:rPr>
          <w:rFonts w:asciiTheme="minorEastAsia" w:hAnsiTheme="minorEastAsia"/>
          <w:szCs w:val="21"/>
        </w:rPr>
      </w:pPr>
      <w:r>
        <w:rPr>
          <w:rFonts w:asciiTheme="minorEastAsia" w:hAnsiTheme="minorEastAsia"/>
          <w:szCs w:val="21"/>
        </w:rPr>
        <w:t xml:space="preserve">证明投标人已具备履行合同所需的财务、技术和生产能力的文件； </w:t>
      </w:r>
    </w:p>
    <w:p w14:paraId="2F0683BC">
      <w:pPr>
        <w:spacing w:line="360" w:lineRule="auto"/>
        <w:ind w:firstLine="420" w:firstLineChars="200"/>
        <w:rPr>
          <w:rFonts w:asciiTheme="minorEastAsia" w:hAnsiTheme="minorEastAsia"/>
          <w:szCs w:val="21"/>
        </w:rPr>
      </w:pPr>
      <w:r>
        <w:rPr>
          <w:rFonts w:asciiTheme="minorEastAsia" w:hAnsiTheme="minorEastAsia"/>
          <w:szCs w:val="21"/>
        </w:rPr>
        <w:t>证明投标人满足招标文件业绩要求的文件；</w:t>
      </w:r>
    </w:p>
    <w:p w14:paraId="0E51FB5A">
      <w:pPr>
        <w:spacing w:line="360" w:lineRule="auto"/>
        <w:ind w:firstLine="420" w:firstLineChars="200"/>
        <w:rPr>
          <w:rFonts w:asciiTheme="minorEastAsia" w:hAnsiTheme="minorEastAsia"/>
          <w:szCs w:val="21"/>
        </w:rPr>
      </w:pPr>
      <w:bookmarkStart w:id="59" w:name="_Ref179620846"/>
      <w:r>
        <w:rPr>
          <w:rFonts w:asciiTheme="minorEastAsia" w:hAnsiTheme="minorEastAsia"/>
          <w:szCs w:val="21"/>
        </w:rPr>
        <w:t>投标资料表要求的其它资格证明文件。</w:t>
      </w:r>
      <w:bookmarkEnd w:id="59"/>
    </w:p>
    <w:p w14:paraId="7A33CFD6">
      <w:pPr>
        <w:pStyle w:val="4"/>
        <w:spacing w:line="360" w:lineRule="auto"/>
        <w:ind w:firstLine="482"/>
      </w:pPr>
      <w:bookmarkStart w:id="60" w:name="_Toc55548510"/>
      <w:bookmarkStart w:id="61" w:name="_Toc28857"/>
      <w:r>
        <w:t>证明货物的合格性和符合招标文件规定的文件</w:t>
      </w:r>
      <w:bookmarkEnd w:id="60"/>
      <w:bookmarkEnd w:id="61"/>
    </w:p>
    <w:p w14:paraId="7B108F5F">
      <w:pPr>
        <w:spacing w:line="360" w:lineRule="auto"/>
        <w:ind w:firstLine="420" w:firstLineChars="200"/>
        <w:rPr>
          <w:rFonts w:asciiTheme="minorEastAsia" w:hAnsiTheme="minorEastAsia"/>
          <w:szCs w:val="21"/>
        </w:rPr>
      </w:pPr>
      <w:r>
        <w:rPr>
          <w:rFonts w:asciiTheme="minorEastAsia" w:hAnsiTheme="minorEastAsia"/>
          <w:szCs w:val="21"/>
        </w:rPr>
        <w:t>投标人应提交证明文件，证明其拟供的合同项下的货物和服务的合格性符合招标文件规定。该证明文件作为投标文件的一部分。</w:t>
      </w:r>
    </w:p>
    <w:p w14:paraId="42A91C1D">
      <w:pPr>
        <w:spacing w:line="360" w:lineRule="auto"/>
        <w:ind w:firstLine="420" w:firstLineChars="200"/>
        <w:rPr>
          <w:rFonts w:asciiTheme="minorEastAsia" w:hAnsiTheme="minorEastAsia"/>
          <w:szCs w:val="21"/>
        </w:rPr>
      </w:pPr>
      <w:r>
        <w:rPr>
          <w:rFonts w:asciiTheme="minorEastAsia" w:hAnsiTheme="minorEastAsia"/>
          <w:szCs w:val="21"/>
        </w:rPr>
        <w:t>上述所述的证明文件，可以是文字资料、图纸和数据，它包括：</w:t>
      </w:r>
    </w:p>
    <w:p w14:paraId="19820C77">
      <w:pPr>
        <w:spacing w:line="360" w:lineRule="auto"/>
        <w:ind w:firstLine="420" w:firstLineChars="200"/>
        <w:rPr>
          <w:rFonts w:asciiTheme="minorEastAsia" w:hAnsiTheme="minorEastAsia"/>
          <w:szCs w:val="21"/>
        </w:rPr>
      </w:pPr>
      <w:r>
        <w:rPr>
          <w:rFonts w:asciiTheme="minorEastAsia" w:hAnsiTheme="minorEastAsia"/>
          <w:szCs w:val="21"/>
        </w:rPr>
        <w:t>货物主要技术指标和性能的详细说明；</w:t>
      </w:r>
    </w:p>
    <w:p w14:paraId="2613B8C9">
      <w:pPr>
        <w:spacing w:line="360" w:lineRule="auto"/>
        <w:ind w:firstLine="420" w:firstLineChars="200"/>
        <w:rPr>
          <w:rFonts w:asciiTheme="minorEastAsia" w:hAnsiTheme="minorEastAsia"/>
          <w:szCs w:val="21"/>
        </w:rPr>
      </w:pPr>
      <w:r>
        <w:rPr>
          <w:rFonts w:asciiTheme="minorEastAsia" w:hAnsiTheme="minorEastAsia"/>
          <w:szCs w:val="21"/>
        </w:rPr>
        <w:t>货物从招标人验收后开始使用至招标文件规定的保质期内正常、连续地使用所必须的备件和专用工具清单，包括备件和专用工具的货源及现行价格；</w:t>
      </w:r>
    </w:p>
    <w:p w14:paraId="442DBCCE">
      <w:pPr>
        <w:spacing w:line="360" w:lineRule="auto"/>
        <w:ind w:firstLine="420" w:firstLineChars="200"/>
        <w:rPr>
          <w:rFonts w:asciiTheme="minorEastAsia" w:hAnsiTheme="minorEastAsia"/>
          <w:szCs w:val="21"/>
        </w:rPr>
      </w:pPr>
      <w:r>
        <w:rPr>
          <w:rFonts w:asciiTheme="minorEastAsia" w:hAnsiTheme="minorEastAsia"/>
          <w:szCs w:val="21"/>
        </w:rPr>
        <w:t>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02E926F">
      <w:pPr>
        <w:spacing w:line="360" w:lineRule="auto"/>
        <w:ind w:firstLine="420" w:firstLineChars="200"/>
        <w:rPr>
          <w:rFonts w:asciiTheme="minorEastAsia" w:hAnsiTheme="minorEastAsia"/>
          <w:szCs w:val="21"/>
        </w:rPr>
      </w:pPr>
      <w:r>
        <w:rPr>
          <w:rFonts w:asciiTheme="minorEastAsia" w:hAnsiTheme="minorEastAsia"/>
          <w:szCs w:val="21"/>
        </w:rPr>
        <w:t>投标人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05253BF3">
      <w:pPr>
        <w:pStyle w:val="4"/>
        <w:spacing w:line="360" w:lineRule="auto"/>
        <w:ind w:firstLine="482"/>
      </w:pPr>
      <w:bookmarkStart w:id="62" w:name="_Toc1901"/>
      <w:bookmarkStart w:id="63" w:name="_Toc55548511"/>
      <w:r>
        <w:t>投标有效期</w:t>
      </w:r>
      <w:bookmarkEnd w:id="62"/>
      <w:bookmarkEnd w:id="63"/>
    </w:p>
    <w:p w14:paraId="2FA842E1">
      <w:pPr>
        <w:spacing w:line="360" w:lineRule="auto"/>
        <w:ind w:firstLine="420" w:firstLineChars="200"/>
        <w:rPr>
          <w:rFonts w:asciiTheme="minorEastAsia" w:hAnsiTheme="minorEastAsia"/>
          <w:szCs w:val="21"/>
        </w:rPr>
      </w:pPr>
      <w:bookmarkStart w:id="64" w:name="_Ref179620893"/>
      <w:r>
        <w:rPr>
          <w:rFonts w:asciiTheme="minorEastAsia" w:hAnsiTheme="minorEastAsia"/>
          <w:szCs w:val="21"/>
        </w:rPr>
        <w:t>投标有效期不足的投标将被视为非实质性响应，并予以拒绝。</w:t>
      </w:r>
      <w:bookmarkEnd w:id="64"/>
    </w:p>
    <w:p w14:paraId="0BDE098B">
      <w:pPr>
        <w:spacing w:line="360" w:lineRule="auto"/>
        <w:ind w:firstLine="420" w:firstLineChars="200"/>
        <w:rPr>
          <w:rFonts w:asciiTheme="minorEastAsia" w:hAnsiTheme="minorEastAsia"/>
          <w:szCs w:val="21"/>
        </w:rPr>
      </w:pPr>
      <w:r>
        <w:rPr>
          <w:rFonts w:asciiTheme="minorEastAsia" w:hAnsiTheme="minorEastAsia"/>
          <w:szCs w:val="21"/>
        </w:rPr>
        <w:t>特殊情况下，在原投标有效期截止之前，招标</w:t>
      </w:r>
      <w:r>
        <w:rPr>
          <w:rFonts w:hint="eastAsia" w:asciiTheme="minorEastAsia" w:hAnsiTheme="minorEastAsia"/>
          <w:szCs w:val="21"/>
        </w:rPr>
        <w:t>人</w:t>
      </w:r>
      <w:r>
        <w:rPr>
          <w:rFonts w:asciiTheme="minorEastAsia" w:hAnsiTheme="minorEastAsia"/>
          <w:szCs w:val="21"/>
        </w:rPr>
        <w:t>可要求投标人延长投标有效期。该要求与答复均应以书面形式提交。投标人可拒绝</w:t>
      </w:r>
      <w:r>
        <w:rPr>
          <w:rFonts w:hint="eastAsia" w:asciiTheme="minorEastAsia" w:hAnsiTheme="minorEastAsia"/>
          <w:szCs w:val="21"/>
        </w:rPr>
        <w:t>招标人</w:t>
      </w:r>
      <w:r>
        <w:rPr>
          <w:rFonts w:asciiTheme="minorEastAsia" w:hAnsiTheme="minorEastAsia"/>
          <w:szCs w:val="21"/>
        </w:rPr>
        <w:t>的这种要求，其投标保证金将不会被没收，但其投标在原投标有效期期满后将不再有效。同意延长投标有效期的投标人将不会被要求和允许修正其投标，而只会被要求相应地延长其投标保证金的有效期。且本须知有关投标保证金要求将在延长了的有效期内继续有效。</w:t>
      </w:r>
    </w:p>
    <w:p w14:paraId="23195359">
      <w:pPr>
        <w:pStyle w:val="4"/>
        <w:spacing w:line="360" w:lineRule="auto"/>
        <w:ind w:firstLine="482"/>
      </w:pPr>
      <w:bookmarkStart w:id="65" w:name="_Toc55548512"/>
      <w:bookmarkStart w:id="66" w:name="_Toc28446"/>
      <w:r>
        <w:t>投标文件的式样和签署</w:t>
      </w:r>
      <w:bookmarkEnd w:id="65"/>
      <w:bookmarkEnd w:id="66"/>
    </w:p>
    <w:p w14:paraId="1A14888E">
      <w:pPr>
        <w:spacing w:line="360" w:lineRule="auto"/>
        <w:ind w:firstLine="420" w:firstLineChars="200"/>
        <w:rPr>
          <w:rFonts w:asciiTheme="minorEastAsia" w:hAnsiTheme="minorEastAsia"/>
          <w:szCs w:val="21"/>
          <w:highlight w:val="yellow"/>
        </w:rPr>
      </w:pPr>
      <w:bookmarkStart w:id="67" w:name="_Ref179620912"/>
      <w:r>
        <w:rPr>
          <w:rFonts w:asciiTheme="minorEastAsia" w:hAnsiTheme="minorEastAsia"/>
          <w:szCs w:val="21"/>
          <w:highlight w:val="yellow"/>
        </w:rPr>
        <w:t>投标人应准备</w:t>
      </w:r>
      <w:r>
        <w:rPr>
          <w:rFonts w:asciiTheme="minorEastAsia" w:hAnsiTheme="minorEastAsia"/>
          <w:b/>
          <w:szCs w:val="21"/>
          <w:highlight w:val="yellow"/>
        </w:rPr>
        <w:t>一份</w:t>
      </w:r>
      <w:r>
        <w:rPr>
          <w:rFonts w:asciiTheme="minorEastAsia" w:hAnsiTheme="minorEastAsia"/>
          <w:szCs w:val="21"/>
          <w:highlight w:val="yellow"/>
        </w:rPr>
        <w:t>投标文件正本和</w:t>
      </w:r>
      <w:r>
        <w:rPr>
          <w:rFonts w:hint="eastAsia" w:asciiTheme="minorEastAsia" w:hAnsiTheme="minorEastAsia"/>
          <w:b/>
          <w:szCs w:val="21"/>
          <w:highlight w:val="yellow"/>
        </w:rPr>
        <w:t>两份</w:t>
      </w:r>
      <w:r>
        <w:rPr>
          <w:rFonts w:asciiTheme="minorEastAsia" w:hAnsiTheme="minorEastAsia"/>
          <w:szCs w:val="21"/>
          <w:highlight w:val="yellow"/>
        </w:rPr>
        <w:t>副本，每套投标文件须清楚地标明“正本”或“副本”。若副本与正本不符，以正本为准。</w:t>
      </w:r>
      <w:bookmarkEnd w:id="67"/>
    </w:p>
    <w:p w14:paraId="203C7AB1">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投标文件的正本需打印或用不褪色墨水书写，并由法定代表人或经其正式授权的代表签字并加盖单位印章。授权代表须持有书面的《法定代表人授权书》，并将其附在投标文件中。投标文件的副本可采用正本的复印件。</w:t>
      </w:r>
    </w:p>
    <w:p w14:paraId="478225DE">
      <w:pPr>
        <w:spacing w:line="360" w:lineRule="auto"/>
        <w:ind w:firstLine="420" w:firstLineChars="200"/>
        <w:rPr>
          <w:rFonts w:asciiTheme="minorEastAsia" w:hAnsiTheme="minorEastAsia"/>
          <w:szCs w:val="21"/>
        </w:rPr>
      </w:pPr>
      <w:r>
        <w:rPr>
          <w:rFonts w:asciiTheme="minorEastAsia" w:hAnsiTheme="minorEastAsia"/>
          <w:szCs w:val="21"/>
          <w:highlight w:val="yellow"/>
        </w:rPr>
        <w:t>任何行间插字、涂改和增删，必须由投标文件签字人用姓或首字母在旁边签字或由投标单位加盖公章才有效。</w:t>
      </w:r>
    </w:p>
    <w:p w14:paraId="76BA778A">
      <w:pPr>
        <w:pStyle w:val="4"/>
        <w:spacing w:line="360" w:lineRule="auto"/>
        <w:ind w:firstLine="482"/>
      </w:pPr>
      <w:bookmarkStart w:id="68" w:name="_Toc55548513"/>
      <w:bookmarkStart w:id="69" w:name="_Toc9436"/>
      <w:bookmarkStart w:id="70" w:name="_Toc26845"/>
      <w:r>
        <w:t>四、投标文件的递交</w:t>
      </w:r>
      <w:bookmarkEnd w:id="68"/>
      <w:bookmarkEnd w:id="69"/>
      <w:bookmarkEnd w:id="70"/>
    </w:p>
    <w:p w14:paraId="3145064B">
      <w:pPr>
        <w:pStyle w:val="4"/>
        <w:spacing w:line="360" w:lineRule="auto"/>
        <w:ind w:firstLine="482"/>
      </w:pPr>
      <w:bookmarkStart w:id="71" w:name="_Toc55548514"/>
      <w:bookmarkStart w:id="72" w:name="_Toc6626"/>
      <w:r>
        <w:t>投标文件的密封和标记</w:t>
      </w:r>
      <w:bookmarkEnd w:id="71"/>
      <w:bookmarkEnd w:id="72"/>
    </w:p>
    <w:p w14:paraId="2EE8B38F">
      <w:pPr>
        <w:spacing w:line="360" w:lineRule="auto"/>
        <w:ind w:firstLine="420" w:firstLineChars="200"/>
        <w:rPr>
          <w:rFonts w:asciiTheme="minorEastAsia" w:hAnsiTheme="minorEastAsia"/>
          <w:szCs w:val="21"/>
          <w:highlight w:val="yellow"/>
        </w:rPr>
      </w:pPr>
      <w:bookmarkStart w:id="73" w:name="_Ref179620969"/>
      <w:r>
        <w:rPr>
          <w:rFonts w:asciiTheme="minorEastAsia" w:hAnsiTheme="minorEastAsia"/>
          <w:szCs w:val="21"/>
          <w:highlight w:val="yellow"/>
        </w:rPr>
        <w:t>投标人应将投标文件正本和所有的副本封装在一个信封中</w:t>
      </w:r>
      <w:r>
        <w:rPr>
          <w:rFonts w:hint="eastAsia" w:asciiTheme="minorEastAsia" w:hAnsiTheme="minorEastAsia"/>
          <w:szCs w:val="21"/>
          <w:highlight w:val="yellow"/>
        </w:rPr>
        <w:t>，</w:t>
      </w:r>
      <w:r>
        <w:rPr>
          <w:rFonts w:asciiTheme="minorEastAsia" w:hAnsiTheme="minorEastAsia"/>
          <w:szCs w:val="21"/>
          <w:highlight w:val="yellow"/>
        </w:rPr>
        <w:t>信封均应：</w:t>
      </w:r>
      <w:bookmarkEnd w:id="73"/>
      <w:r>
        <w:rPr>
          <w:rFonts w:asciiTheme="minorEastAsia" w:hAnsiTheme="minorEastAsia"/>
          <w:szCs w:val="21"/>
          <w:highlight w:val="yellow"/>
        </w:rPr>
        <w:t xml:space="preserve"> </w:t>
      </w:r>
    </w:p>
    <w:p w14:paraId="585675B7">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1) 清楚标明递交至</w:t>
      </w:r>
      <w:r>
        <w:rPr>
          <w:rFonts w:hint="eastAsia" w:asciiTheme="minorEastAsia" w:hAnsiTheme="minorEastAsia"/>
          <w:b/>
          <w:szCs w:val="21"/>
          <w:highlight w:val="yellow"/>
        </w:rPr>
        <w:t>招标公告</w:t>
      </w:r>
      <w:r>
        <w:rPr>
          <w:rFonts w:asciiTheme="minorEastAsia" w:hAnsiTheme="minorEastAsia"/>
          <w:szCs w:val="21"/>
          <w:highlight w:val="yellow"/>
        </w:rPr>
        <w:t>指明的地址。</w:t>
      </w:r>
    </w:p>
    <w:p w14:paraId="61B0BE2A">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2) 清楚标明</w:t>
      </w:r>
      <w:r>
        <w:rPr>
          <w:rFonts w:hint="eastAsia" w:asciiTheme="minorEastAsia" w:hAnsiTheme="minorEastAsia"/>
          <w:b/>
          <w:szCs w:val="21"/>
          <w:highlight w:val="yellow"/>
        </w:rPr>
        <w:t>招标公告</w:t>
      </w:r>
      <w:r>
        <w:rPr>
          <w:rFonts w:asciiTheme="minorEastAsia" w:hAnsiTheme="minorEastAsia"/>
          <w:szCs w:val="21"/>
          <w:highlight w:val="yellow"/>
        </w:rPr>
        <w:t>中指明的项目名称、包号（如果分包的话）、招标编号和“在</w:t>
      </w:r>
      <w:r>
        <w:rPr>
          <w:rFonts w:asciiTheme="minorEastAsia" w:hAnsiTheme="minorEastAsia"/>
          <w:i/>
          <w:szCs w:val="21"/>
          <w:highlight w:val="yellow"/>
          <w:u w:val="single"/>
        </w:rPr>
        <w:t>(开标日期、时间)</w:t>
      </w:r>
      <w:r>
        <w:rPr>
          <w:rFonts w:asciiTheme="minorEastAsia" w:hAnsiTheme="minorEastAsia"/>
          <w:szCs w:val="21"/>
          <w:highlight w:val="yellow"/>
        </w:rPr>
        <w:t>之前不得启封”的字样，并填入</w:t>
      </w:r>
      <w:r>
        <w:rPr>
          <w:rFonts w:hint="eastAsia" w:asciiTheme="minorEastAsia" w:hAnsiTheme="minorEastAsia"/>
          <w:b/>
          <w:szCs w:val="21"/>
          <w:highlight w:val="yellow"/>
        </w:rPr>
        <w:t>招标公告</w:t>
      </w:r>
      <w:r>
        <w:rPr>
          <w:rFonts w:asciiTheme="minorEastAsia" w:hAnsiTheme="minorEastAsia"/>
          <w:szCs w:val="21"/>
          <w:highlight w:val="yellow"/>
        </w:rPr>
        <w:t>中规定的开标日期和时间。</w:t>
      </w:r>
    </w:p>
    <w:p w14:paraId="20D43801">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3) 清楚标明投标单位名称并在信封的封装处加盖投标人公章。</w:t>
      </w:r>
    </w:p>
    <w:p w14:paraId="3CBCF552">
      <w:pPr>
        <w:spacing w:line="360" w:lineRule="auto"/>
        <w:ind w:firstLine="420" w:firstLineChars="200"/>
        <w:rPr>
          <w:rFonts w:asciiTheme="minorEastAsia" w:hAnsiTheme="minorEastAsia"/>
          <w:szCs w:val="21"/>
        </w:rPr>
      </w:pPr>
      <w:r>
        <w:rPr>
          <w:rFonts w:asciiTheme="minorEastAsia" w:hAnsiTheme="minorEastAsia"/>
          <w:szCs w:val="21"/>
          <w:highlight w:val="yellow"/>
        </w:rPr>
        <w:t>内层信封应写明投标人名称和地址，以便将迟交的投标文件能原封退回。</w:t>
      </w:r>
    </w:p>
    <w:p w14:paraId="080BD6AB">
      <w:pPr>
        <w:spacing w:line="360" w:lineRule="auto"/>
        <w:ind w:firstLine="420" w:firstLineChars="200"/>
        <w:rPr>
          <w:rFonts w:asciiTheme="minorEastAsia" w:hAnsiTheme="minorEastAsia"/>
          <w:szCs w:val="21"/>
        </w:rPr>
      </w:pPr>
      <w:r>
        <w:rPr>
          <w:rFonts w:asciiTheme="minorEastAsia" w:hAnsiTheme="minorEastAsia"/>
          <w:szCs w:val="21"/>
        </w:rPr>
        <w:t>如果投标人未按本须知要求加写标记和密封，招标</w:t>
      </w:r>
      <w:r>
        <w:rPr>
          <w:rFonts w:hint="eastAsia" w:asciiTheme="minorEastAsia" w:hAnsiTheme="minorEastAsia"/>
          <w:szCs w:val="21"/>
        </w:rPr>
        <w:t>人</w:t>
      </w:r>
      <w:r>
        <w:rPr>
          <w:rFonts w:asciiTheme="minorEastAsia" w:hAnsiTheme="minorEastAsia"/>
          <w:szCs w:val="21"/>
        </w:rPr>
        <w:t>对投标文件的误投或提前启封概不负责。</w:t>
      </w:r>
    </w:p>
    <w:p w14:paraId="5968FF57">
      <w:pPr>
        <w:spacing w:line="360" w:lineRule="auto"/>
        <w:ind w:firstLine="420" w:firstLineChars="200"/>
        <w:rPr>
          <w:rFonts w:asciiTheme="minorEastAsia" w:hAnsiTheme="minorEastAsia"/>
          <w:szCs w:val="21"/>
        </w:rPr>
      </w:pPr>
      <w:r>
        <w:rPr>
          <w:rFonts w:asciiTheme="minorEastAsia" w:hAnsiTheme="minorEastAsia"/>
          <w:szCs w:val="21"/>
        </w:rPr>
        <w:t>投标人同时参加几个包投标时必须按招标文件要求按包号分别制作投标文件，分别密封递交。</w:t>
      </w:r>
    </w:p>
    <w:p w14:paraId="30D2A2B7">
      <w:pPr>
        <w:pStyle w:val="4"/>
        <w:spacing w:line="360" w:lineRule="auto"/>
        <w:ind w:firstLine="482"/>
      </w:pPr>
      <w:bookmarkStart w:id="74" w:name="_Toc8701"/>
      <w:bookmarkStart w:id="75" w:name="_Toc55548515"/>
      <w:r>
        <w:t>投标样品</w:t>
      </w:r>
      <w:bookmarkEnd w:id="74"/>
      <w:bookmarkEnd w:id="75"/>
    </w:p>
    <w:p w14:paraId="065E3659">
      <w:pPr>
        <w:spacing w:line="360" w:lineRule="auto"/>
        <w:ind w:firstLine="420" w:firstLineChars="200"/>
        <w:rPr>
          <w:rFonts w:asciiTheme="minorEastAsia" w:hAnsiTheme="minorEastAsia"/>
          <w:szCs w:val="21"/>
        </w:rPr>
      </w:pPr>
      <w:r>
        <w:rPr>
          <w:rFonts w:asciiTheme="minorEastAsia" w:hAnsiTheme="minorEastAsia"/>
          <w:szCs w:val="21"/>
        </w:rPr>
        <w:t>如有必要，招标</w:t>
      </w:r>
      <w:r>
        <w:rPr>
          <w:rFonts w:hint="eastAsia" w:asciiTheme="minorEastAsia" w:hAnsiTheme="minorEastAsia"/>
          <w:szCs w:val="21"/>
        </w:rPr>
        <w:t>人</w:t>
      </w:r>
      <w:r>
        <w:rPr>
          <w:rFonts w:asciiTheme="minorEastAsia" w:hAnsiTheme="minorEastAsia"/>
          <w:szCs w:val="21"/>
        </w:rPr>
        <w:t>可以要求投标人提供能反映货物材质或关键部分的极少部分的尺寸、价值不大的样品，投标人在投标时应提交《样品清单》。</w:t>
      </w:r>
    </w:p>
    <w:p w14:paraId="58062B83">
      <w:pPr>
        <w:spacing w:line="360" w:lineRule="auto"/>
        <w:ind w:firstLine="420" w:firstLineChars="200"/>
        <w:rPr>
          <w:rFonts w:asciiTheme="minorEastAsia" w:hAnsiTheme="minorEastAsia"/>
          <w:szCs w:val="21"/>
        </w:rPr>
      </w:pPr>
      <w:r>
        <w:rPr>
          <w:rFonts w:asciiTheme="minorEastAsia" w:hAnsiTheme="minorEastAsia"/>
          <w:szCs w:val="21"/>
        </w:rPr>
        <w:t>为方便评标，投标人在提供样品时，应使用透明的外包装或尽量少用外包装，但必须在所提供的样品表面显著位置标注投标人的名称、包号、样品名称、招标文件规定的货物编号。</w:t>
      </w:r>
    </w:p>
    <w:p w14:paraId="6AAE22CB">
      <w:pPr>
        <w:spacing w:line="360" w:lineRule="auto"/>
        <w:ind w:firstLine="420" w:firstLineChars="200"/>
        <w:rPr>
          <w:rFonts w:asciiTheme="minorEastAsia" w:hAnsiTheme="minorEastAsia"/>
          <w:szCs w:val="21"/>
        </w:rPr>
      </w:pPr>
      <w:r>
        <w:rPr>
          <w:rFonts w:asciiTheme="minorEastAsia" w:hAnsiTheme="minorEastAsia"/>
          <w:szCs w:val="21"/>
        </w:rPr>
        <w:t>样品作为投标文件的一部分，除非另有说明，中标单位的样品不再退还，未中标单位须在中标公告发布后五个工作日内，前往</w:t>
      </w:r>
      <w:r>
        <w:rPr>
          <w:rFonts w:hint="eastAsia" w:asciiTheme="minorEastAsia" w:hAnsiTheme="minorEastAsia"/>
          <w:szCs w:val="21"/>
        </w:rPr>
        <w:t>本中心</w:t>
      </w:r>
      <w:r>
        <w:rPr>
          <w:rFonts w:asciiTheme="minorEastAsia" w:hAnsiTheme="minorEastAsia"/>
          <w:szCs w:val="21"/>
        </w:rPr>
        <w:t>领取投标样品，逾期不领，</w:t>
      </w:r>
      <w:r>
        <w:rPr>
          <w:rFonts w:hint="eastAsia" w:asciiTheme="minorEastAsia" w:hAnsiTheme="minorEastAsia"/>
          <w:szCs w:val="21"/>
        </w:rPr>
        <w:t>本中心</w:t>
      </w:r>
      <w:r>
        <w:rPr>
          <w:rFonts w:asciiTheme="minorEastAsia" w:hAnsiTheme="minorEastAsia"/>
          <w:szCs w:val="21"/>
        </w:rPr>
        <w:t>将不承担样品的保管责任，由此引发的样品丢失、毁损，招标</w:t>
      </w:r>
      <w:r>
        <w:rPr>
          <w:rFonts w:hint="eastAsia" w:asciiTheme="minorEastAsia" w:hAnsiTheme="minorEastAsia"/>
          <w:szCs w:val="21"/>
        </w:rPr>
        <w:t>人</w:t>
      </w:r>
      <w:r>
        <w:rPr>
          <w:rFonts w:asciiTheme="minorEastAsia" w:hAnsiTheme="minorEastAsia"/>
          <w:szCs w:val="21"/>
        </w:rPr>
        <w:t>不予负责。</w:t>
      </w:r>
    </w:p>
    <w:p w14:paraId="4F401A2C">
      <w:pPr>
        <w:pStyle w:val="4"/>
        <w:spacing w:line="360" w:lineRule="auto"/>
        <w:ind w:firstLine="482"/>
      </w:pPr>
      <w:bookmarkStart w:id="76" w:name="_Toc55548516"/>
      <w:bookmarkStart w:id="77" w:name="_Toc5724"/>
      <w:bookmarkStart w:id="78" w:name="_Ref179619638"/>
      <w:r>
        <w:t>投标截止期</w:t>
      </w:r>
      <w:bookmarkEnd w:id="76"/>
      <w:bookmarkEnd w:id="77"/>
      <w:bookmarkEnd w:id="78"/>
    </w:p>
    <w:p w14:paraId="10D242EB">
      <w:pPr>
        <w:spacing w:line="360" w:lineRule="auto"/>
        <w:ind w:firstLine="420" w:firstLineChars="200"/>
        <w:rPr>
          <w:rFonts w:asciiTheme="minorEastAsia" w:hAnsiTheme="minorEastAsia"/>
          <w:szCs w:val="21"/>
        </w:rPr>
      </w:pPr>
      <w:bookmarkStart w:id="79" w:name="_Ref179621022"/>
      <w:r>
        <w:rPr>
          <w:rFonts w:asciiTheme="minorEastAsia" w:hAnsiTheme="minorEastAsia"/>
          <w:szCs w:val="21"/>
        </w:rPr>
        <w:t>投标人应在不迟于</w:t>
      </w:r>
      <w:r>
        <w:rPr>
          <w:rFonts w:hint="eastAsia" w:asciiTheme="minorEastAsia" w:hAnsiTheme="minorEastAsia"/>
          <w:b/>
          <w:szCs w:val="21"/>
        </w:rPr>
        <w:t>招标公告</w:t>
      </w:r>
      <w:r>
        <w:rPr>
          <w:rFonts w:asciiTheme="minorEastAsia" w:hAnsiTheme="minorEastAsia"/>
          <w:szCs w:val="21"/>
        </w:rPr>
        <w:t>中规定的截止日期和时间将投标文件递交至</w:t>
      </w:r>
      <w:r>
        <w:rPr>
          <w:rFonts w:hint="eastAsia" w:asciiTheme="minorEastAsia" w:hAnsiTheme="minorEastAsia"/>
          <w:szCs w:val="21"/>
        </w:rPr>
        <w:t>本中心</w:t>
      </w:r>
      <w:r>
        <w:rPr>
          <w:rFonts w:asciiTheme="minorEastAsia" w:hAnsiTheme="minorEastAsia"/>
          <w:szCs w:val="21"/>
        </w:rPr>
        <w:t>，递交地点应是</w:t>
      </w:r>
      <w:r>
        <w:rPr>
          <w:rFonts w:hint="eastAsia" w:asciiTheme="minorEastAsia" w:hAnsiTheme="minorEastAsia"/>
          <w:b/>
          <w:szCs w:val="21"/>
        </w:rPr>
        <w:t>招标公告</w:t>
      </w:r>
      <w:r>
        <w:rPr>
          <w:rFonts w:asciiTheme="minorEastAsia" w:hAnsiTheme="minorEastAsia"/>
          <w:szCs w:val="21"/>
        </w:rPr>
        <w:t>中指明的地址。</w:t>
      </w:r>
      <w:bookmarkEnd w:id="79"/>
    </w:p>
    <w:p w14:paraId="30D090F6">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 xml:space="preserve">可以通过修改招标文件自行决定酌情推迟投标截止期。在此情况下，招标人和投标人受投标截止期制约的所有权利和义务均应延长至新的截止期。 </w:t>
      </w:r>
    </w:p>
    <w:p w14:paraId="5F01FF06">
      <w:pPr>
        <w:pStyle w:val="4"/>
        <w:spacing w:line="360" w:lineRule="auto"/>
        <w:ind w:firstLine="482"/>
      </w:pPr>
      <w:bookmarkStart w:id="80" w:name="_Ref179619679"/>
      <w:bookmarkStart w:id="81" w:name="_Toc55548517"/>
      <w:bookmarkStart w:id="82" w:name="_Toc3231"/>
      <w:r>
        <w:t>迟交的投标文件</w:t>
      </w:r>
      <w:bookmarkEnd w:id="80"/>
      <w:bookmarkEnd w:id="81"/>
      <w:bookmarkEnd w:id="82"/>
    </w:p>
    <w:p w14:paraId="54F26FC7">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将拒绝并原封退回在</w:t>
      </w:r>
      <w:r>
        <w:rPr>
          <w:rFonts w:hint="eastAsia" w:asciiTheme="minorEastAsia" w:hAnsiTheme="minorEastAsia"/>
          <w:szCs w:val="21"/>
        </w:rPr>
        <w:t>招标公告</w:t>
      </w:r>
      <w:r>
        <w:rPr>
          <w:rFonts w:asciiTheme="minorEastAsia" w:hAnsiTheme="minorEastAsia"/>
          <w:szCs w:val="21"/>
        </w:rPr>
        <w:t>的截止期后收到的任何投标文件。</w:t>
      </w:r>
    </w:p>
    <w:p w14:paraId="774CC11D">
      <w:pPr>
        <w:pStyle w:val="4"/>
        <w:spacing w:line="360" w:lineRule="auto"/>
        <w:ind w:firstLine="482"/>
      </w:pPr>
      <w:bookmarkStart w:id="83" w:name="_Toc55548518"/>
      <w:bookmarkStart w:id="84" w:name="_Toc865"/>
      <w:bookmarkStart w:id="85" w:name="_Ref179619013"/>
      <w:r>
        <w:t>投标文件的修改与撤回</w:t>
      </w:r>
      <w:bookmarkEnd w:id="83"/>
      <w:bookmarkEnd w:id="84"/>
      <w:bookmarkEnd w:id="85"/>
    </w:p>
    <w:p w14:paraId="0817E485">
      <w:pPr>
        <w:spacing w:line="360" w:lineRule="auto"/>
        <w:ind w:firstLine="420" w:firstLineChars="200"/>
        <w:rPr>
          <w:rFonts w:asciiTheme="minorEastAsia" w:hAnsiTheme="minorEastAsia"/>
          <w:szCs w:val="21"/>
        </w:rPr>
      </w:pPr>
      <w:r>
        <w:rPr>
          <w:rFonts w:asciiTheme="minorEastAsia" w:hAnsiTheme="minorEastAsia"/>
          <w:szCs w:val="21"/>
        </w:rPr>
        <w:t>投标人在递交投标文件后，可以修改或撤回其投标，但投标人必须在规定的投标截止期之前将修改或撤回的书面通知递交到</w:t>
      </w:r>
      <w:r>
        <w:rPr>
          <w:rFonts w:hint="eastAsia" w:asciiTheme="minorEastAsia" w:hAnsiTheme="minorEastAsia"/>
          <w:szCs w:val="21"/>
        </w:rPr>
        <w:t>本中心</w:t>
      </w:r>
      <w:r>
        <w:rPr>
          <w:rFonts w:asciiTheme="minorEastAsia" w:hAnsiTheme="minorEastAsia"/>
          <w:szCs w:val="21"/>
        </w:rPr>
        <w:t>。</w:t>
      </w:r>
    </w:p>
    <w:p w14:paraId="1654E996">
      <w:pPr>
        <w:spacing w:line="360" w:lineRule="auto"/>
        <w:ind w:firstLine="420" w:firstLineChars="200"/>
        <w:rPr>
          <w:rFonts w:asciiTheme="minorEastAsia" w:hAnsiTheme="minorEastAsia"/>
          <w:szCs w:val="21"/>
        </w:rPr>
      </w:pPr>
      <w:r>
        <w:rPr>
          <w:rFonts w:asciiTheme="minorEastAsia" w:hAnsiTheme="minorEastAsia"/>
          <w:szCs w:val="21"/>
        </w:rPr>
        <w:t>投标人的修改或撤回通知应按本须知规定编制、密封、标记和递交。</w:t>
      </w:r>
    </w:p>
    <w:p w14:paraId="33A495E3">
      <w:pPr>
        <w:spacing w:line="360" w:lineRule="auto"/>
        <w:ind w:firstLine="420" w:firstLineChars="200"/>
        <w:rPr>
          <w:rFonts w:asciiTheme="minorEastAsia" w:hAnsiTheme="minorEastAsia"/>
          <w:szCs w:val="21"/>
        </w:rPr>
      </w:pPr>
      <w:r>
        <w:rPr>
          <w:rFonts w:asciiTheme="minorEastAsia" w:hAnsiTheme="minorEastAsia"/>
          <w:szCs w:val="21"/>
        </w:rPr>
        <w:t>在投标截止期之后，投标人不得对其投标做任何修改。</w:t>
      </w:r>
    </w:p>
    <w:p w14:paraId="530BE2FA">
      <w:pPr>
        <w:spacing w:line="360" w:lineRule="auto"/>
        <w:ind w:firstLine="420" w:firstLineChars="200"/>
        <w:rPr>
          <w:rFonts w:asciiTheme="minorEastAsia" w:hAnsiTheme="minorEastAsia"/>
          <w:szCs w:val="21"/>
        </w:rPr>
      </w:pPr>
      <w:r>
        <w:rPr>
          <w:rFonts w:asciiTheme="minorEastAsia" w:hAnsiTheme="minorEastAsia"/>
          <w:szCs w:val="21"/>
        </w:rPr>
        <w:t>从投标截止期至投标人在投标书中确定的投标有效期期满的这段时间内，投标人不得撤回其投标，否则其投标保证金将按照本须知的规定被没收。</w:t>
      </w:r>
    </w:p>
    <w:p w14:paraId="415F8CFD">
      <w:pPr>
        <w:pStyle w:val="4"/>
        <w:spacing w:line="360" w:lineRule="auto"/>
        <w:ind w:firstLine="482"/>
      </w:pPr>
      <w:bookmarkStart w:id="86" w:name="_Toc22375"/>
      <w:bookmarkStart w:id="87" w:name="_Toc55548519"/>
      <w:r>
        <w:t>投标文件的退还</w:t>
      </w:r>
      <w:bookmarkEnd w:id="86"/>
      <w:bookmarkEnd w:id="87"/>
    </w:p>
    <w:p w14:paraId="002C2F2A">
      <w:pPr>
        <w:spacing w:line="360" w:lineRule="auto"/>
        <w:ind w:firstLine="420" w:firstLineChars="200"/>
        <w:rPr>
          <w:rFonts w:asciiTheme="minorEastAsia" w:hAnsiTheme="minorEastAsia"/>
          <w:szCs w:val="21"/>
        </w:rPr>
      </w:pPr>
      <w:r>
        <w:rPr>
          <w:rFonts w:asciiTheme="minorEastAsia" w:hAnsiTheme="minorEastAsia"/>
          <w:szCs w:val="21"/>
        </w:rPr>
        <w:t>除非招标文件另有规定或说明，投标文件一律不予退还。</w:t>
      </w:r>
    </w:p>
    <w:p w14:paraId="162F5B8B">
      <w:pPr>
        <w:pStyle w:val="5"/>
        <w:ind w:firstLine="482"/>
      </w:pPr>
      <w:bookmarkStart w:id="88" w:name="_Toc27271"/>
      <w:bookmarkStart w:id="89" w:name="_Toc55548520"/>
      <w:bookmarkStart w:id="90" w:name="_Toc9126"/>
      <w:r>
        <w:t>五、开标与评标</w:t>
      </w:r>
      <w:bookmarkEnd w:id="88"/>
      <w:bookmarkEnd w:id="89"/>
      <w:bookmarkEnd w:id="90"/>
    </w:p>
    <w:p w14:paraId="6F0EF604">
      <w:pPr>
        <w:pStyle w:val="4"/>
        <w:spacing w:line="360" w:lineRule="auto"/>
        <w:ind w:firstLine="482"/>
      </w:pPr>
      <w:bookmarkStart w:id="91" w:name="_Toc21095"/>
      <w:bookmarkStart w:id="92" w:name="_Toc55548521"/>
      <w:r>
        <w:t>开标</w:t>
      </w:r>
      <w:bookmarkEnd w:id="91"/>
      <w:bookmarkEnd w:id="92"/>
    </w:p>
    <w:p w14:paraId="55DF3336">
      <w:pPr>
        <w:spacing w:line="360" w:lineRule="auto"/>
        <w:ind w:firstLine="420" w:firstLineChars="200"/>
        <w:rPr>
          <w:rFonts w:asciiTheme="minorEastAsia" w:hAnsiTheme="minorEastAsia"/>
          <w:szCs w:val="21"/>
        </w:rPr>
      </w:pPr>
      <w:bookmarkStart w:id="93" w:name="_Ref179621054"/>
      <w:r>
        <w:rPr>
          <w:rFonts w:hint="eastAsia" w:asciiTheme="minorEastAsia" w:hAnsiTheme="minorEastAsia"/>
          <w:szCs w:val="21"/>
        </w:rPr>
        <w:t>本中心</w:t>
      </w:r>
      <w:r>
        <w:rPr>
          <w:rFonts w:asciiTheme="minorEastAsia" w:hAnsiTheme="minorEastAsia"/>
          <w:szCs w:val="21"/>
        </w:rPr>
        <w:t>在</w:t>
      </w:r>
      <w:r>
        <w:rPr>
          <w:rFonts w:hint="eastAsia" w:asciiTheme="minorEastAsia" w:hAnsiTheme="minorEastAsia"/>
          <w:b/>
          <w:szCs w:val="21"/>
        </w:rPr>
        <w:t>招标公告</w:t>
      </w:r>
      <w:r>
        <w:rPr>
          <w:rFonts w:asciiTheme="minorEastAsia" w:hAnsiTheme="minorEastAsia"/>
          <w:szCs w:val="21"/>
        </w:rPr>
        <w:t>中规定的日期、时间和地点组织公开开标。投标人代表均须按时参加开标会。参加开标的投标人代表应签名报到以证明其出席。</w:t>
      </w:r>
      <w:bookmarkEnd w:id="93"/>
    </w:p>
    <w:p w14:paraId="1A186C7A">
      <w:pPr>
        <w:spacing w:line="360" w:lineRule="auto"/>
        <w:ind w:firstLine="420" w:firstLineChars="200"/>
        <w:rPr>
          <w:rFonts w:asciiTheme="minorEastAsia" w:hAnsiTheme="minorEastAsia"/>
          <w:szCs w:val="21"/>
        </w:rPr>
      </w:pPr>
      <w:r>
        <w:rPr>
          <w:rFonts w:asciiTheme="minorEastAsia" w:hAnsiTheme="minorEastAsia"/>
          <w:szCs w:val="21"/>
        </w:rPr>
        <w:t>开标时，招标</w:t>
      </w:r>
      <w:r>
        <w:rPr>
          <w:rFonts w:hint="eastAsia" w:asciiTheme="minorEastAsia" w:hAnsiTheme="minorEastAsia"/>
          <w:szCs w:val="21"/>
        </w:rPr>
        <w:t>人</w:t>
      </w:r>
      <w:r>
        <w:rPr>
          <w:rFonts w:asciiTheme="minorEastAsia" w:hAnsiTheme="minorEastAsia"/>
          <w:szCs w:val="21"/>
        </w:rPr>
        <w:t>当众宣读投标人名称、修改和撤回投标的通知、投标价格、是否提交了投标保证金，以及招标</w:t>
      </w:r>
      <w:r>
        <w:rPr>
          <w:rFonts w:hint="eastAsia" w:asciiTheme="minorEastAsia" w:hAnsiTheme="minorEastAsia"/>
          <w:szCs w:val="21"/>
        </w:rPr>
        <w:t>人</w:t>
      </w:r>
      <w:r>
        <w:rPr>
          <w:rFonts w:asciiTheme="minorEastAsia" w:hAnsiTheme="minorEastAsia"/>
          <w:szCs w:val="21"/>
        </w:rPr>
        <w:t>认为合适的其他内容。除了按照本须知的规定原封退回迟到的投标之外，开标时将不得拒绝任何已购买招标文件的投标人的投标。</w:t>
      </w:r>
    </w:p>
    <w:p w14:paraId="5AE18406">
      <w:pPr>
        <w:pStyle w:val="4"/>
        <w:spacing w:line="360" w:lineRule="auto"/>
        <w:ind w:firstLine="482"/>
      </w:pPr>
      <w:bookmarkStart w:id="94" w:name="_Toc1622"/>
      <w:bookmarkStart w:id="95" w:name="_Toc55548522"/>
      <w:r>
        <w:t>资格核查</w:t>
      </w:r>
      <w:bookmarkEnd w:id="94"/>
      <w:bookmarkEnd w:id="95"/>
    </w:p>
    <w:p w14:paraId="1C9AF257">
      <w:pPr>
        <w:spacing w:line="360" w:lineRule="auto"/>
        <w:ind w:firstLine="420" w:firstLineChars="200"/>
        <w:rPr>
          <w:rFonts w:asciiTheme="minorEastAsia" w:hAnsiTheme="minorEastAsia"/>
          <w:szCs w:val="21"/>
        </w:rPr>
      </w:pPr>
      <w:r>
        <w:rPr>
          <w:rFonts w:asciiTheme="minorEastAsia" w:hAnsiTheme="minorEastAsia"/>
          <w:szCs w:val="21"/>
        </w:rPr>
        <w:t>开标后，招标</w:t>
      </w:r>
      <w:r>
        <w:rPr>
          <w:rFonts w:hint="eastAsia" w:asciiTheme="minorEastAsia" w:hAnsiTheme="minorEastAsia"/>
          <w:szCs w:val="21"/>
        </w:rPr>
        <w:t>人</w:t>
      </w:r>
      <w:r>
        <w:rPr>
          <w:rFonts w:asciiTheme="minorEastAsia" w:hAnsiTheme="minorEastAsia"/>
          <w:szCs w:val="21"/>
        </w:rPr>
        <w:t>就投标文件中的资格证明等内容对投标供应商进行资格核查，核查不合格的，认定其投标无效。核查合格的投标文件提交评标委员会进行评审。</w:t>
      </w:r>
    </w:p>
    <w:p w14:paraId="5D70CF71">
      <w:pPr>
        <w:spacing w:line="360" w:lineRule="auto"/>
        <w:ind w:firstLine="422" w:firstLineChars="200"/>
        <w:rPr>
          <w:rFonts w:asciiTheme="minorEastAsia" w:hAnsiTheme="minorEastAsia"/>
          <w:b/>
          <w:szCs w:val="21"/>
        </w:rPr>
      </w:pPr>
      <w:r>
        <w:rPr>
          <w:rFonts w:asciiTheme="minorEastAsia" w:hAnsiTheme="minorEastAsia"/>
          <w:b/>
          <w:szCs w:val="21"/>
        </w:rPr>
        <w:t>1) 资格瑕疵</w:t>
      </w:r>
    </w:p>
    <w:p w14:paraId="6DBA6969">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资格证明文件未提供或不符合招标文件要求的；</w:t>
      </w:r>
      <w:r>
        <w:rPr>
          <w:rFonts w:hint="eastAsia" w:cs="宋体" w:asciiTheme="minorEastAsia" w:hAnsiTheme="minorEastAsia"/>
          <w:szCs w:val="21"/>
        </w:rPr>
        <w:t>②</w:t>
      </w:r>
      <w:r>
        <w:rPr>
          <w:rFonts w:asciiTheme="minorEastAsia" w:hAnsiTheme="minorEastAsia"/>
          <w:szCs w:val="21"/>
        </w:rPr>
        <w:t>投标人及其制造商与招标人有利害关系的。</w:t>
      </w:r>
    </w:p>
    <w:p w14:paraId="6CC2A1FF">
      <w:pPr>
        <w:pStyle w:val="4"/>
        <w:spacing w:line="360" w:lineRule="auto"/>
        <w:ind w:firstLine="482"/>
      </w:pPr>
      <w:bookmarkStart w:id="96" w:name="_Toc55548523"/>
      <w:bookmarkStart w:id="97" w:name="_Toc31201"/>
      <w:r>
        <w:t>评标委员会和评标方法</w:t>
      </w:r>
      <w:bookmarkEnd w:id="96"/>
      <w:bookmarkEnd w:id="97"/>
    </w:p>
    <w:p w14:paraId="75771317">
      <w:pPr>
        <w:spacing w:line="360" w:lineRule="auto"/>
        <w:ind w:firstLine="420" w:firstLineChars="200"/>
        <w:rPr>
          <w:rFonts w:asciiTheme="minorEastAsia" w:hAnsiTheme="minorEastAsia"/>
          <w:szCs w:val="21"/>
        </w:rPr>
      </w:pPr>
      <w:r>
        <w:rPr>
          <w:rFonts w:asciiTheme="minorEastAsia" w:hAnsiTheme="minorEastAsia"/>
          <w:szCs w:val="21"/>
        </w:rPr>
        <w:t>评标委员会根据招标项目的特点进行组建，并负责评标工作。评标委员会由招标人代表和有关技术、经济等方面的专家组成，成员人数为五人或五人以上单数。其中技术、经济等方面的专家不少于成员总数的三分之二。</w:t>
      </w:r>
    </w:p>
    <w:p w14:paraId="1147D4B1">
      <w:pPr>
        <w:spacing w:line="360" w:lineRule="auto"/>
        <w:ind w:firstLine="420" w:firstLineChars="200"/>
        <w:rPr>
          <w:rFonts w:asciiTheme="minorEastAsia" w:hAnsiTheme="minorEastAsia"/>
          <w:szCs w:val="21"/>
        </w:rPr>
      </w:pPr>
      <w:bookmarkStart w:id="98" w:name="_Ref179621079"/>
      <w:r>
        <w:rPr>
          <w:rFonts w:asciiTheme="minorEastAsia" w:hAnsiTheme="minorEastAsia"/>
          <w:szCs w:val="21"/>
        </w:rPr>
        <w:t>依照有关规定，货物或服务招标采购的评标方法分为最低评标价法、综合评分法和性价比法三种基本方法。评标委员会将按照</w:t>
      </w:r>
      <w:r>
        <w:rPr>
          <w:rFonts w:hint="eastAsia" w:asciiTheme="minorEastAsia" w:hAnsiTheme="minorEastAsia"/>
          <w:b/>
          <w:szCs w:val="21"/>
        </w:rPr>
        <w:t>招标公告</w:t>
      </w:r>
      <w:r>
        <w:rPr>
          <w:rFonts w:asciiTheme="minorEastAsia" w:hAnsiTheme="minorEastAsia"/>
          <w:szCs w:val="21"/>
        </w:rPr>
        <w:t>中所确定的评标方法进行评审。</w:t>
      </w:r>
      <w:bookmarkEnd w:id="98"/>
    </w:p>
    <w:p w14:paraId="0BF3107C">
      <w:pPr>
        <w:spacing w:line="360" w:lineRule="auto"/>
        <w:ind w:firstLine="420" w:firstLineChars="200"/>
        <w:rPr>
          <w:rFonts w:asciiTheme="minorEastAsia" w:hAnsiTheme="minorEastAsia"/>
          <w:szCs w:val="21"/>
        </w:rPr>
      </w:pPr>
      <w:r>
        <w:rPr>
          <w:rFonts w:asciiTheme="minorEastAsia" w:hAnsiTheme="minorEastAsia"/>
          <w:szCs w:val="21"/>
        </w:rPr>
        <w:t>评标委员会对投标文件的评审内容，分为商务评议、技术评议和价格评议/综合评议。评审流程包括资格性检查、符合性检查、澄清问题、比较与评价、推荐中标候选人或确定中标人、编写评标报告等步骤。</w:t>
      </w:r>
    </w:p>
    <w:p w14:paraId="5A61B5BB">
      <w:pPr>
        <w:spacing w:line="360" w:lineRule="auto"/>
        <w:ind w:firstLine="420" w:firstLineChars="200"/>
        <w:rPr>
          <w:rFonts w:asciiTheme="minorEastAsia" w:hAnsiTheme="minorEastAsia"/>
          <w:szCs w:val="21"/>
        </w:rPr>
      </w:pPr>
      <w:bookmarkStart w:id="99" w:name="_Ref179619857"/>
      <w:r>
        <w:rPr>
          <w:rFonts w:asciiTheme="minorEastAsia" w:hAnsiTheme="minorEastAsia"/>
          <w:szCs w:val="21"/>
        </w:rPr>
        <w:t>在评标期间，评标委员会可要求投标人对其投标文件进行澄清，但不得寻求、提供或允许对投标价格等实质性内容做任何更改。有关澄清的要求和答复均应以书面形式提交。</w:t>
      </w:r>
      <w:bookmarkEnd w:id="99"/>
    </w:p>
    <w:p w14:paraId="20F42E82">
      <w:pPr>
        <w:spacing w:line="360" w:lineRule="auto"/>
        <w:ind w:firstLine="420" w:firstLineChars="200"/>
        <w:rPr>
          <w:rFonts w:asciiTheme="minorEastAsia" w:hAnsiTheme="minorEastAsia"/>
          <w:szCs w:val="21"/>
        </w:rPr>
      </w:pPr>
      <w:bookmarkStart w:id="100" w:name="_Toc3712"/>
      <w:bookmarkStart w:id="101" w:name="_Toc27507"/>
      <w:bookmarkStart w:id="102" w:name="_Toc10952"/>
      <w:bookmarkStart w:id="103" w:name="_Toc16749"/>
      <w:r>
        <w:rPr>
          <w:rFonts w:hint="eastAsia" w:asciiTheme="minorEastAsia" w:hAnsiTheme="minorEastAsia"/>
          <w:szCs w:val="21"/>
        </w:rPr>
        <w:t>不同投标人提供相同品牌产品</w:t>
      </w:r>
      <w:bookmarkEnd w:id="100"/>
      <w:bookmarkEnd w:id="101"/>
      <w:bookmarkEnd w:id="102"/>
      <w:bookmarkEnd w:id="103"/>
    </w:p>
    <w:p w14:paraId="74C09FAA">
      <w:pPr>
        <w:spacing w:line="360" w:lineRule="auto"/>
        <w:ind w:firstLine="420" w:firstLineChars="200"/>
        <w:rPr>
          <w:rFonts w:asciiTheme="minorEastAsia" w:hAnsiTheme="minorEastAsia"/>
          <w:szCs w:val="21"/>
        </w:rPr>
      </w:pPr>
      <w:r>
        <w:rPr>
          <w:rFonts w:hint="eastAsia" w:asciiTheme="minorEastAsia" w:hAnsiTheme="minorEastAsia"/>
          <w:szCs w:val="21"/>
        </w:rPr>
        <w:t>采用最低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5997DC7B">
      <w:pPr>
        <w:spacing w:line="360" w:lineRule="auto"/>
        <w:ind w:firstLine="420" w:firstLineChars="200"/>
        <w:rPr>
          <w:rFonts w:asciiTheme="minorEastAsia" w:hAnsiTheme="minorEastAsia"/>
          <w:szCs w:val="21"/>
        </w:rPr>
      </w:pPr>
      <w:r>
        <w:rPr>
          <w:rFonts w:hint="eastAsia" w:asciiTheme="minorEastAsia" w:hAnsiTheme="minorEastAsia"/>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574A82E">
      <w:pPr>
        <w:spacing w:line="360" w:lineRule="auto"/>
        <w:ind w:firstLine="420" w:firstLineChars="200"/>
        <w:rPr>
          <w:rFonts w:asciiTheme="minorEastAsia" w:hAnsiTheme="minorEastAsia"/>
          <w:szCs w:val="21"/>
        </w:rPr>
      </w:pPr>
      <w:r>
        <w:rPr>
          <w:rFonts w:hint="eastAsia" w:asciiTheme="minorEastAsia" w:hAnsiTheme="minorEastAsia"/>
          <w:szCs w:val="21"/>
        </w:rPr>
        <w:t>非单一产品采购项目，采购人应当根据采购项目技术构成、产品价格比重等合理确定核心产品，多家投标人提供的核心产品品牌完全相同的，按本条规定处理。</w:t>
      </w:r>
    </w:p>
    <w:p w14:paraId="57708FBF">
      <w:pPr>
        <w:pStyle w:val="4"/>
        <w:spacing w:line="360" w:lineRule="auto"/>
        <w:ind w:firstLine="482"/>
      </w:pPr>
      <w:bookmarkStart w:id="104" w:name="_Toc21426"/>
      <w:bookmarkStart w:id="105" w:name="_Toc55548524"/>
      <w:r>
        <w:rPr>
          <w:rFonts w:hint="eastAsia"/>
        </w:rPr>
        <w:t>投标文件的初审</w:t>
      </w:r>
      <w:bookmarkEnd w:id="104"/>
      <w:bookmarkEnd w:id="105"/>
    </w:p>
    <w:p w14:paraId="565F4363">
      <w:pPr>
        <w:spacing w:line="360" w:lineRule="auto"/>
        <w:ind w:firstLine="420" w:firstLineChars="200"/>
        <w:rPr>
          <w:rFonts w:asciiTheme="minorEastAsia" w:hAnsiTheme="minorEastAsia"/>
          <w:szCs w:val="21"/>
        </w:rPr>
      </w:pPr>
      <w:r>
        <w:rPr>
          <w:rFonts w:asciiTheme="minorEastAsia" w:hAnsiTheme="minorEastAsia"/>
          <w:szCs w:val="21"/>
        </w:rPr>
        <w:t>评标委员会将审查投标文件是否完整、总体编排是否有序、文件签署是否合格等。</w:t>
      </w:r>
    </w:p>
    <w:p w14:paraId="2A6CB6BF">
      <w:pPr>
        <w:spacing w:line="360" w:lineRule="auto"/>
        <w:ind w:firstLine="420" w:firstLineChars="200"/>
        <w:rPr>
          <w:rFonts w:asciiTheme="minorEastAsia" w:hAnsiTheme="minorEastAsia"/>
          <w:szCs w:val="21"/>
        </w:rPr>
      </w:pPr>
      <w:r>
        <w:rPr>
          <w:rFonts w:asciiTheme="minorEastAsia" w:hAnsiTheme="minorEastAsia"/>
          <w:szCs w:val="21"/>
        </w:rPr>
        <w:t>算术错误将按以下方法更正：若开标一览表中单价和总价相矛盾，以投标单价为准修改总价；若开标一览表内容与投标文件中明细表内容不相符的，以开标一览表为准；若用文字表示的数值与用数字表示的数值不一致，以文字表示的数值为准。如果投标人不接受对其错误的更正，其投标将被拒绝。</w:t>
      </w:r>
    </w:p>
    <w:p w14:paraId="767AE1B7">
      <w:pPr>
        <w:spacing w:line="360" w:lineRule="auto"/>
        <w:ind w:firstLine="420" w:firstLineChars="200"/>
        <w:rPr>
          <w:rFonts w:asciiTheme="minorEastAsia" w:hAnsiTheme="minorEastAsia"/>
          <w:szCs w:val="21"/>
        </w:rPr>
      </w:pPr>
      <w:r>
        <w:rPr>
          <w:rFonts w:asciiTheme="minorEastAsia" w:hAnsiTheme="minorEastAsia"/>
          <w:szCs w:val="21"/>
        </w:rPr>
        <w:t>投标文件中的缺漏项将按以下方法更正：以所有投标报价中该项最高报价核算其缺漏项金额，缺漏项金额大于或等于其投标总价的1%时，视为重大投标漏项，该投标作</w:t>
      </w:r>
      <w:r>
        <w:rPr>
          <w:rFonts w:hint="eastAsia" w:asciiTheme="minorEastAsia" w:hAnsiTheme="minorEastAsia"/>
          <w:szCs w:val="21"/>
        </w:rPr>
        <w:t>投标无效</w:t>
      </w:r>
      <w:r>
        <w:rPr>
          <w:rFonts w:asciiTheme="minorEastAsia" w:hAnsiTheme="minorEastAsia"/>
          <w:szCs w:val="21"/>
        </w:rPr>
        <w:t>处理；缺漏项金额小于其投标总价的1%时，评标委员会将视为其投标总价已包括缺漏项内容，若其中标，有关该内容的合同价格不予调整，但评标时将对该投标作不利的评标价调整或评审分数量化。如果投标人不接受对其错误的更正，其投标将被拒绝。</w:t>
      </w:r>
    </w:p>
    <w:p w14:paraId="0EB6FFA9">
      <w:pPr>
        <w:spacing w:line="360" w:lineRule="auto"/>
        <w:ind w:firstLine="420" w:firstLineChars="200"/>
        <w:rPr>
          <w:rFonts w:asciiTheme="minorEastAsia" w:hAnsiTheme="minorEastAsia"/>
          <w:szCs w:val="21"/>
        </w:rPr>
      </w:pPr>
      <w:r>
        <w:rPr>
          <w:rFonts w:asciiTheme="minorEastAsia" w:hAnsiTheme="minorEastAsia"/>
          <w:szCs w:val="21"/>
        </w:rPr>
        <w:t>对于投标文件中不构成实质性偏差的不正规、不一致或不规则，评标委员会可以接受，但这种接受不能损害或影响任何投标人的相对排序。</w:t>
      </w:r>
    </w:p>
    <w:p w14:paraId="304FAD74">
      <w:pPr>
        <w:spacing w:line="360" w:lineRule="auto"/>
        <w:ind w:firstLine="420" w:firstLineChars="200"/>
        <w:rPr>
          <w:rFonts w:asciiTheme="minorEastAsia" w:hAnsiTheme="minorEastAsia"/>
          <w:szCs w:val="21"/>
        </w:rPr>
      </w:pPr>
      <w:r>
        <w:rPr>
          <w:rFonts w:asciiTheme="minorEastAsia" w:hAnsiTheme="minorEastAsia"/>
          <w:szCs w:val="21"/>
        </w:rPr>
        <w:t>在详细评审之前，评标委员将会审查每份投标文件是否实质上响应了招标文件的要求。实质上响应的投标是与招标文件要求的关键条款、条件和规格相符，没有重大偏离的投标。例如关于投标保证金、投标人资格要求、关键技术指标要求、投标报价要求和评标标准等。评标委员会审查投标的响应性只根据投标文件本身的内容，而不寻求外部的证据。</w:t>
      </w:r>
    </w:p>
    <w:p w14:paraId="03BE7DD1">
      <w:pPr>
        <w:spacing w:line="360" w:lineRule="auto"/>
        <w:ind w:firstLine="420" w:firstLineChars="200"/>
        <w:rPr>
          <w:rFonts w:asciiTheme="minorEastAsia" w:hAnsiTheme="minorEastAsia"/>
          <w:szCs w:val="21"/>
        </w:rPr>
      </w:pPr>
      <w:bookmarkStart w:id="106" w:name="_Ref179619330"/>
      <w:r>
        <w:rPr>
          <w:rFonts w:asciiTheme="minorEastAsia" w:hAnsiTheme="minorEastAsia"/>
          <w:szCs w:val="21"/>
        </w:rPr>
        <w:t>实质上没有响应招标文件要求的投标将被作</w:t>
      </w:r>
      <w:r>
        <w:rPr>
          <w:rFonts w:hint="eastAsia" w:asciiTheme="minorEastAsia" w:hAnsiTheme="minorEastAsia"/>
          <w:szCs w:val="21"/>
        </w:rPr>
        <w:t>投标无效</w:t>
      </w:r>
      <w:r>
        <w:rPr>
          <w:rFonts w:asciiTheme="minorEastAsia" w:hAnsiTheme="minorEastAsia"/>
          <w:szCs w:val="21"/>
        </w:rPr>
        <w:t>处理。投标人不得通过修正或撤销不合要求的偏离或保留从而使其投标成为实质上响应的投标。评标委员会评审中，发现下列情况之一的，其投标将作</w:t>
      </w:r>
      <w:r>
        <w:rPr>
          <w:rFonts w:hint="eastAsia" w:asciiTheme="minorEastAsia" w:hAnsiTheme="minorEastAsia"/>
          <w:szCs w:val="21"/>
        </w:rPr>
        <w:t>投标无效</w:t>
      </w:r>
      <w:r>
        <w:rPr>
          <w:rFonts w:asciiTheme="minorEastAsia" w:hAnsiTheme="minorEastAsia"/>
          <w:szCs w:val="21"/>
        </w:rPr>
        <w:t>处理：</w:t>
      </w:r>
      <w:bookmarkEnd w:id="106"/>
    </w:p>
    <w:p w14:paraId="6AA742B6">
      <w:pPr>
        <w:spacing w:line="360" w:lineRule="auto"/>
        <w:ind w:firstLine="420" w:firstLineChars="200"/>
        <w:rPr>
          <w:rFonts w:asciiTheme="minorEastAsia" w:hAnsiTheme="minorEastAsia"/>
          <w:szCs w:val="21"/>
        </w:rPr>
      </w:pPr>
      <w:bookmarkStart w:id="107" w:name="_Ref179621189"/>
      <w:r>
        <w:rPr>
          <w:rFonts w:asciiTheme="minorEastAsia" w:hAnsiTheme="minorEastAsia"/>
          <w:szCs w:val="21"/>
        </w:rPr>
        <w:t>符合性检查</w:t>
      </w:r>
      <w:bookmarkEnd w:id="107"/>
    </w:p>
    <w:p w14:paraId="0D00C659">
      <w:pPr>
        <w:spacing w:line="360" w:lineRule="auto"/>
        <w:ind w:firstLine="422" w:firstLineChars="200"/>
        <w:rPr>
          <w:rFonts w:asciiTheme="minorEastAsia" w:hAnsiTheme="minorEastAsia"/>
          <w:b/>
          <w:szCs w:val="21"/>
        </w:rPr>
      </w:pPr>
      <w:bookmarkStart w:id="108" w:name="_Toc32392"/>
      <w:bookmarkStart w:id="109" w:name="_Toc25993"/>
      <w:bookmarkStart w:id="110" w:name="_Toc2459"/>
      <w:bookmarkStart w:id="111" w:name="_Toc1347"/>
      <w:bookmarkStart w:id="112" w:name="_Toc5963"/>
      <w:bookmarkStart w:id="113" w:name="_Toc385"/>
      <w:bookmarkStart w:id="114" w:name="_Toc13273"/>
      <w:r>
        <w:rPr>
          <w:rFonts w:asciiTheme="minorEastAsia" w:hAnsiTheme="minorEastAsia"/>
          <w:b/>
          <w:szCs w:val="21"/>
        </w:rPr>
        <w:t>1) 投标文件的有效性、完整性瑕疵</w:t>
      </w:r>
      <w:bookmarkEnd w:id="108"/>
      <w:bookmarkEnd w:id="109"/>
      <w:bookmarkEnd w:id="110"/>
      <w:bookmarkEnd w:id="111"/>
      <w:bookmarkEnd w:id="112"/>
      <w:bookmarkEnd w:id="113"/>
      <w:bookmarkEnd w:id="114"/>
    </w:p>
    <w:p w14:paraId="2182E545">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投标文件的数量、制作、密封、标记不符合要求；</w:t>
      </w:r>
      <w:r>
        <w:rPr>
          <w:rFonts w:hint="eastAsia" w:cs="宋体" w:asciiTheme="minorEastAsia" w:hAnsiTheme="minorEastAsia"/>
          <w:szCs w:val="21"/>
        </w:rPr>
        <w:t>②</w:t>
      </w:r>
      <w:r>
        <w:rPr>
          <w:rFonts w:asciiTheme="minorEastAsia" w:hAnsiTheme="minorEastAsia"/>
          <w:szCs w:val="21"/>
        </w:rPr>
        <w:t>投标文件无法定代表人或其授权代表签字，或签字人无法定代表人有效授权的；</w:t>
      </w:r>
      <w:r>
        <w:rPr>
          <w:rFonts w:hint="eastAsia" w:cs="宋体" w:asciiTheme="minorEastAsia" w:hAnsiTheme="minorEastAsia"/>
          <w:szCs w:val="21"/>
        </w:rPr>
        <w:t>③</w:t>
      </w:r>
      <w:r>
        <w:rPr>
          <w:rFonts w:asciiTheme="minorEastAsia" w:hAnsiTheme="minorEastAsia"/>
          <w:szCs w:val="21"/>
        </w:rPr>
        <w:t>签字盖章不符合招标文件要求的；</w:t>
      </w:r>
      <w:r>
        <w:rPr>
          <w:rFonts w:hint="eastAsia" w:cs="宋体" w:asciiTheme="minorEastAsia" w:hAnsiTheme="minorEastAsia"/>
          <w:szCs w:val="21"/>
        </w:rPr>
        <w:t>④</w:t>
      </w:r>
      <w:r>
        <w:rPr>
          <w:rFonts w:asciiTheme="minorEastAsia" w:hAnsiTheme="minorEastAsia"/>
          <w:szCs w:val="21"/>
        </w:rPr>
        <w:t>投标文件内容有严重缺漏项的；</w:t>
      </w:r>
      <w:r>
        <w:rPr>
          <w:rFonts w:hint="eastAsia" w:cs="宋体" w:asciiTheme="minorEastAsia" w:hAnsiTheme="minorEastAsia"/>
          <w:szCs w:val="21"/>
        </w:rPr>
        <w:t>⑤</w:t>
      </w:r>
      <w:r>
        <w:rPr>
          <w:rFonts w:asciiTheme="minorEastAsia" w:hAnsiTheme="minorEastAsia"/>
          <w:szCs w:val="21"/>
        </w:rPr>
        <w:t>投标报价有严重缺漏项的；</w:t>
      </w:r>
      <w:r>
        <w:rPr>
          <w:rFonts w:hint="eastAsia" w:cs="宋体" w:asciiTheme="minorEastAsia" w:hAnsiTheme="minorEastAsia"/>
          <w:szCs w:val="21"/>
        </w:rPr>
        <w:t>⑥</w:t>
      </w:r>
      <w:r>
        <w:rPr>
          <w:rFonts w:asciiTheme="minorEastAsia" w:hAnsiTheme="minorEastAsia"/>
          <w:szCs w:val="21"/>
        </w:rPr>
        <w:t>投标文件的关键内容字迹模糊、无法辨认的</w:t>
      </w:r>
      <w:r>
        <w:rPr>
          <w:rFonts w:hint="eastAsia" w:asciiTheme="minorEastAsia" w:hAnsiTheme="minorEastAsia"/>
          <w:szCs w:val="21"/>
        </w:rPr>
        <w:t>；</w:t>
      </w:r>
      <w:r>
        <w:rPr>
          <w:rFonts w:hint="eastAsia" w:cs="宋体" w:asciiTheme="minorEastAsia" w:hAnsiTheme="minorEastAsia"/>
          <w:szCs w:val="21"/>
        </w:rPr>
        <w:t>⑦</w:t>
      </w:r>
      <w:r>
        <w:rPr>
          <w:rFonts w:hint="eastAsia" w:asciiTheme="minorEastAsia" w:hAnsiTheme="minorEastAsia"/>
          <w:szCs w:val="21"/>
        </w:rPr>
        <w:t>未按招标文件要求编制。</w:t>
      </w:r>
    </w:p>
    <w:p w14:paraId="7ABDDDED">
      <w:pPr>
        <w:spacing w:line="360" w:lineRule="auto"/>
        <w:ind w:firstLine="422" w:firstLineChars="200"/>
        <w:rPr>
          <w:rFonts w:asciiTheme="minorEastAsia" w:hAnsiTheme="minorEastAsia"/>
          <w:b/>
          <w:szCs w:val="21"/>
        </w:rPr>
      </w:pPr>
      <w:bookmarkStart w:id="115" w:name="_Toc31066"/>
      <w:bookmarkStart w:id="116" w:name="_Toc30904"/>
      <w:bookmarkStart w:id="117" w:name="_Toc6513"/>
      <w:bookmarkStart w:id="118" w:name="_Toc4787"/>
      <w:bookmarkStart w:id="119" w:name="_Toc29078"/>
      <w:bookmarkStart w:id="120" w:name="_Toc24825"/>
      <w:bookmarkStart w:id="121" w:name="_Toc17493"/>
      <w:r>
        <w:rPr>
          <w:rFonts w:asciiTheme="minorEastAsia" w:hAnsiTheme="minorEastAsia"/>
          <w:b/>
          <w:szCs w:val="21"/>
        </w:rPr>
        <w:t>2) 技术响应瑕疵</w:t>
      </w:r>
      <w:bookmarkEnd w:id="115"/>
      <w:bookmarkEnd w:id="116"/>
      <w:bookmarkEnd w:id="117"/>
      <w:bookmarkEnd w:id="118"/>
      <w:bookmarkEnd w:id="119"/>
      <w:bookmarkEnd w:id="120"/>
      <w:bookmarkEnd w:id="121"/>
    </w:p>
    <w:p w14:paraId="469C9986">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投标文件不满足招标文件中加注星号（</w:t>
      </w:r>
      <w:r>
        <w:rPr>
          <w:rFonts w:hint="eastAsia" w:cs="宋体" w:asciiTheme="minorEastAsia" w:hAnsiTheme="minorEastAsia"/>
          <w:szCs w:val="21"/>
        </w:rPr>
        <w:t>※</w:t>
      </w:r>
      <w:r>
        <w:rPr>
          <w:rFonts w:asciiTheme="minorEastAsia" w:hAnsiTheme="minorEastAsia"/>
          <w:szCs w:val="21"/>
        </w:rPr>
        <w:t>）的主要参数要求或加注星号的主要参数无技术资料支持的；</w:t>
      </w:r>
      <w:r>
        <w:rPr>
          <w:rFonts w:hint="eastAsia" w:cs="宋体" w:asciiTheme="minorEastAsia" w:hAnsiTheme="minorEastAsia"/>
          <w:szCs w:val="21"/>
        </w:rPr>
        <w:t>②</w:t>
      </w:r>
      <w:r>
        <w:rPr>
          <w:rFonts w:asciiTheme="minorEastAsia" w:hAnsiTheme="minorEastAsia"/>
          <w:szCs w:val="21"/>
        </w:rPr>
        <w:t>一般参数超出允许偏离的最大范围或最高项数的；</w:t>
      </w:r>
      <w:r>
        <w:rPr>
          <w:rFonts w:hint="eastAsia" w:cs="宋体" w:asciiTheme="minorEastAsia" w:hAnsiTheme="minorEastAsia"/>
          <w:szCs w:val="21"/>
        </w:rPr>
        <w:t>③</w:t>
      </w:r>
      <w:r>
        <w:rPr>
          <w:rFonts w:asciiTheme="minorEastAsia" w:hAnsiTheme="minorEastAsia"/>
          <w:szCs w:val="21"/>
        </w:rPr>
        <w:t>投标文件技术响应与事实不符或虚假投标的；</w:t>
      </w:r>
      <w:r>
        <w:rPr>
          <w:rFonts w:hint="eastAsia" w:cs="宋体" w:asciiTheme="minorEastAsia" w:hAnsiTheme="minorEastAsia"/>
          <w:szCs w:val="21"/>
        </w:rPr>
        <w:t>④</w:t>
      </w:r>
      <w:r>
        <w:rPr>
          <w:rFonts w:asciiTheme="minorEastAsia" w:hAnsiTheme="minorEastAsia"/>
          <w:szCs w:val="21"/>
        </w:rPr>
        <w:t>投标人复制招标文件的技术规格相关部分内容作为其投标文件的一部分的；</w:t>
      </w:r>
      <w:r>
        <w:rPr>
          <w:rFonts w:hint="eastAsia" w:cs="宋体" w:asciiTheme="minorEastAsia" w:hAnsiTheme="minorEastAsia"/>
          <w:szCs w:val="21"/>
        </w:rPr>
        <w:t>⑤</w:t>
      </w:r>
      <w:r>
        <w:rPr>
          <w:rFonts w:asciiTheme="minorEastAsia" w:hAnsiTheme="minorEastAsia"/>
          <w:szCs w:val="21"/>
        </w:rPr>
        <w:t>《技术规格偏离表》填写不明或不实的；</w:t>
      </w:r>
      <w:r>
        <w:rPr>
          <w:rFonts w:hint="eastAsia" w:cs="宋体" w:asciiTheme="minorEastAsia" w:hAnsiTheme="minorEastAsia"/>
          <w:szCs w:val="21"/>
        </w:rPr>
        <w:t>⑥</w:t>
      </w:r>
      <w:r>
        <w:rPr>
          <w:rFonts w:asciiTheme="minorEastAsia" w:hAnsiTheme="minorEastAsia"/>
          <w:szCs w:val="21"/>
        </w:rPr>
        <w:t>将一个包中的内容拆开投标的；</w:t>
      </w:r>
      <w:r>
        <w:rPr>
          <w:rFonts w:hint="eastAsia" w:cs="宋体" w:asciiTheme="minorEastAsia" w:hAnsiTheme="minorEastAsia"/>
          <w:szCs w:val="21"/>
        </w:rPr>
        <w:t>⑦</w:t>
      </w:r>
      <w:r>
        <w:rPr>
          <w:rFonts w:asciiTheme="minorEastAsia" w:hAnsiTheme="minorEastAsia"/>
          <w:szCs w:val="21"/>
        </w:rPr>
        <w:t>投标人对同一货物或服务投标时，同时提供两套或两套以上的投标方案的；</w:t>
      </w:r>
      <w:r>
        <w:rPr>
          <w:rFonts w:hint="eastAsia" w:cs="宋体" w:asciiTheme="minorEastAsia" w:hAnsiTheme="minorEastAsia"/>
          <w:szCs w:val="21"/>
        </w:rPr>
        <w:t>⑧</w:t>
      </w:r>
      <w:r>
        <w:rPr>
          <w:rFonts w:asciiTheme="minorEastAsia" w:hAnsiTheme="minorEastAsia"/>
          <w:szCs w:val="21"/>
        </w:rPr>
        <w:t>明显不符合技术规格、技术标准要求的；</w:t>
      </w:r>
      <w:r>
        <w:rPr>
          <w:rFonts w:hint="eastAsia" w:cs="宋体" w:asciiTheme="minorEastAsia" w:hAnsiTheme="minorEastAsia"/>
          <w:szCs w:val="21"/>
        </w:rPr>
        <w:t>⑨</w:t>
      </w:r>
      <w:r>
        <w:rPr>
          <w:rFonts w:asciiTheme="minorEastAsia" w:hAnsiTheme="minorEastAsia"/>
          <w:szCs w:val="21"/>
        </w:rPr>
        <w:t>其他未实质性响应招标文件技术要求的。</w:t>
      </w:r>
    </w:p>
    <w:p w14:paraId="2F84BAC2">
      <w:pPr>
        <w:spacing w:line="360" w:lineRule="auto"/>
        <w:ind w:firstLine="422" w:firstLineChars="200"/>
        <w:rPr>
          <w:rFonts w:asciiTheme="minorEastAsia" w:hAnsiTheme="minorEastAsia"/>
          <w:b/>
          <w:szCs w:val="21"/>
        </w:rPr>
      </w:pPr>
      <w:bookmarkStart w:id="122" w:name="_Toc32692"/>
      <w:bookmarkStart w:id="123" w:name="_Toc6987"/>
      <w:bookmarkStart w:id="124" w:name="_Toc13742"/>
      <w:bookmarkStart w:id="125" w:name="_Toc27147"/>
      <w:bookmarkStart w:id="126" w:name="_Toc9317"/>
      <w:bookmarkStart w:id="127" w:name="_Toc16856"/>
      <w:bookmarkStart w:id="128" w:name="_Toc19531"/>
      <w:r>
        <w:rPr>
          <w:rFonts w:asciiTheme="minorEastAsia" w:hAnsiTheme="minorEastAsia"/>
          <w:b/>
          <w:szCs w:val="21"/>
        </w:rPr>
        <w:t>3) 商务响应瑕疵</w:t>
      </w:r>
      <w:bookmarkEnd w:id="122"/>
      <w:bookmarkEnd w:id="123"/>
      <w:bookmarkEnd w:id="124"/>
      <w:bookmarkEnd w:id="125"/>
      <w:bookmarkEnd w:id="126"/>
      <w:bookmarkEnd w:id="127"/>
      <w:bookmarkEnd w:id="128"/>
    </w:p>
    <w:p w14:paraId="48D4872F">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招标文件加注星号（</w:t>
      </w:r>
      <w:r>
        <w:rPr>
          <w:rFonts w:hint="eastAsia" w:cs="宋体" w:asciiTheme="minorEastAsia" w:hAnsiTheme="minorEastAsia"/>
          <w:szCs w:val="21"/>
        </w:rPr>
        <w:t>※</w:t>
      </w:r>
      <w:r>
        <w:rPr>
          <w:rFonts w:asciiTheme="minorEastAsia" w:hAnsiTheme="minorEastAsia"/>
          <w:szCs w:val="21"/>
        </w:rPr>
        <w:t>）的商务要求负偏离的；</w:t>
      </w:r>
      <w:r>
        <w:rPr>
          <w:rFonts w:hint="eastAsia" w:cs="宋体" w:asciiTheme="minorEastAsia" w:hAnsiTheme="minorEastAsia"/>
          <w:szCs w:val="21"/>
        </w:rPr>
        <w:t>②</w:t>
      </w:r>
      <w:r>
        <w:rPr>
          <w:rFonts w:asciiTheme="minorEastAsia" w:hAnsiTheme="minorEastAsia"/>
          <w:szCs w:val="21"/>
        </w:rPr>
        <w:t>招标项目完成期未满足招标文件要求的；</w:t>
      </w:r>
      <w:r>
        <w:rPr>
          <w:rFonts w:hint="eastAsia" w:cs="宋体" w:asciiTheme="minorEastAsia" w:hAnsiTheme="minorEastAsia"/>
          <w:szCs w:val="21"/>
        </w:rPr>
        <w:t>③</w:t>
      </w:r>
      <w:r>
        <w:rPr>
          <w:rFonts w:asciiTheme="minorEastAsia" w:hAnsiTheme="minorEastAsia"/>
          <w:szCs w:val="21"/>
        </w:rPr>
        <w:t>投标文件载明的货物包装方式、检验标准和方法不符合招标文件要求的；</w:t>
      </w:r>
      <w:r>
        <w:rPr>
          <w:rFonts w:hint="eastAsia" w:cs="宋体" w:asciiTheme="minorEastAsia" w:hAnsiTheme="minorEastAsia"/>
          <w:szCs w:val="21"/>
        </w:rPr>
        <w:t>④</w:t>
      </w:r>
      <w:r>
        <w:rPr>
          <w:rFonts w:asciiTheme="minorEastAsia" w:hAnsiTheme="minorEastAsia"/>
          <w:szCs w:val="21"/>
        </w:rPr>
        <w:t>《商务条款偏离表》填写不明或不实的；</w:t>
      </w:r>
      <w:r>
        <w:rPr>
          <w:rFonts w:hint="eastAsia" w:cs="宋体" w:asciiTheme="minorEastAsia" w:hAnsiTheme="minorEastAsia"/>
          <w:szCs w:val="21"/>
        </w:rPr>
        <w:t>⑤</w:t>
      </w:r>
      <w:r>
        <w:rPr>
          <w:rFonts w:asciiTheme="minorEastAsia" w:hAnsiTheme="minorEastAsia"/>
          <w:szCs w:val="21"/>
        </w:rPr>
        <w:t>投标文件附有招标人不能接受的条件的；</w:t>
      </w:r>
      <w:r>
        <w:rPr>
          <w:rFonts w:hint="eastAsia" w:cs="宋体" w:asciiTheme="minorEastAsia" w:hAnsiTheme="minorEastAsia"/>
          <w:szCs w:val="21"/>
        </w:rPr>
        <w:t>⑥</w:t>
      </w:r>
      <w:r>
        <w:rPr>
          <w:rFonts w:hint="eastAsia" w:asciiTheme="minorEastAsia" w:hAnsiTheme="minorEastAsia"/>
          <w:szCs w:val="21"/>
        </w:rPr>
        <w:t>投标文件中附有招标人不能接受的条件；</w:t>
      </w:r>
      <w:r>
        <w:rPr>
          <w:rFonts w:hint="eastAsia" w:cs="宋体" w:asciiTheme="minorEastAsia" w:hAnsiTheme="minorEastAsia"/>
          <w:szCs w:val="21"/>
        </w:rPr>
        <w:t>⑦</w:t>
      </w:r>
      <w:r>
        <w:rPr>
          <w:rFonts w:asciiTheme="minorEastAsia" w:hAnsiTheme="minorEastAsia"/>
          <w:szCs w:val="21"/>
        </w:rPr>
        <w:t>其他未实质性响应招标文件商务要求的。</w:t>
      </w:r>
    </w:p>
    <w:p w14:paraId="526FD488">
      <w:pPr>
        <w:spacing w:line="360" w:lineRule="auto"/>
        <w:ind w:firstLine="422" w:firstLineChars="200"/>
        <w:rPr>
          <w:rFonts w:asciiTheme="minorEastAsia" w:hAnsiTheme="minorEastAsia"/>
          <w:b/>
          <w:szCs w:val="21"/>
        </w:rPr>
      </w:pPr>
      <w:r>
        <w:rPr>
          <w:rFonts w:asciiTheme="minorEastAsia" w:hAnsiTheme="minorEastAsia"/>
          <w:b/>
          <w:szCs w:val="21"/>
        </w:rPr>
        <w:t>4）违规行为</w:t>
      </w:r>
    </w:p>
    <w:p w14:paraId="69B0EDEA">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以他人的名义投标、串通投标、以行贿手段谋取中标或者以其他弄虚作假方式投标的；</w:t>
      </w:r>
      <w:r>
        <w:rPr>
          <w:rFonts w:hint="eastAsia" w:cs="宋体" w:asciiTheme="minorEastAsia" w:hAnsiTheme="minorEastAsia"/>
          <w:szCs w:val="21"/>
        </w:rPr>
        <w:t>②</w:t>
      </w:r>
      <w:r>
        <w:rPr>
          <w:rFonts w:asciiTheme="minorEastAsia" w:hAnsiTheme="minorEastAsia"/>
          <w:szCs w:val="21"/>
        </w:rPr>
        <w:t>拒不按照要求对投标文件进行澄清、说明或者补正的；</w:t>
      </w:r>
      <w:r>
        <w:rPr>
          <w:rFonts w:hint="eastAsia" w:cs="宋体" w:asciiTheme="minorEastAsia" w:hAnsiTheme="minorEastAsia"/>
          <w:szCs w:val="21"/>
        </w:rPr>
        <w:t>③</w:t>
      </w:r>
      <w:r>
        <w:rPr>
          <w:rFonts w:asciiTheme="minorEastAsia" w:hAnsiTheme="minorEastAsia"/>
          <w:szCs w:val="21"/>
        </w:rPr>
        <w:t>扰乱开标、评标秩序，干扰招标工作正常进行的。</w:t>
      </w:r>
    </w:p>
    <w:p w14:paraId="4A5C7CA7">
      <w:pPr>
        <w:spacing w:line="360" w:lineRule="auto"/>
        <w:ind w:firstLine="422" w:firstLineChars="200"/>
        <w:rPr>
          <w:rFonts w:asciiTheme="minorEastAsia" w:hAnsiTheme="minorEastAsia"/>
          <w:b/>
          <w:szCs w:val="21"/>
        </w:rPr>
      </w:pPr>
      <w:r>
        <w:rPr>
          <w:rFonts w:hint="eastAsia" w:asciiTheme="minorEastAsia" w:hAnsiTheme="minorEastAsia"/>
          <w:b/>
          <w:szCs w:val="21"/>
        </w:rPr>
        <w:t>投标报价</w:t>
      </w:r>
    </w:p>
    <w:p w14:paraId="2657A5AB">
      <w:pPr>
        <w:spacing w:line="360" w:lineRule="auto"/>
        <w:ind w:firstLine="420" w:firstLineChars="200"/>
        <w:rPr>
          <w:rFonts w:asciiTheme="minorEastAsia" w:hAnsiTheme="minorEastAsia"/>
          <w:szCs w:val="21"/>
        </w:rPr>
      </w:pPr>
      <w:r>
        <w:rPr>
          <w:rFonts w:hint="eastAsia" w:asciiTheme="minorEastAsia" w:hAnsiTheme="minorEastAsia"/>
          <w:bCs/>
          <w:szCs w:val="21"/>
        </w:rPr>
        <w:t>包括但不限于：</w:t>
      </w:r>
      <w:r>
        <w:rPr>
          <w:rFonts w:hint="eastAsia" w:cs="宋体" w:asciiTheme="minorEastAsia" w:hAnsiTheme="minorEastAsia"/>
          <w:szCs w:val="21"/>
        </w:rPr>
        <w:t>①</w:t>
      </w:r>
      <w:r>
        <w:rPr>
          <w:rFonts w:hint="eastAsia" w:asciiTheme="minorEastAsia" w:hAnsiTheme="minorEastAsia"/>
          <w:szCs w:val="21"/>
        </w:rPr>
        <w:t>投标报价超出预算控制金额上限，或超过招标文件规定的最高投标限价</w:t>
      </w:r>
      <w:r>
        <w:rPr>
          <w:rFonts w:hint="eastAsia" w:cs="宋体" w:asciiTheme="minorEastAsia" w:hAnsiTheme="minorEastAsia"/>
          <w:szCs w:val="21"/>
        </w:rPr>
        <w:t>②</w:t>
      </w:r>
      <w:r>
        <w:rPr>
          <w:rFonts w:hint="eastAsia" w:asciiTheme="minorEastAsia" w:hAnsiTheme="minorEastAsia"/>
          <w:szCs w:val="21"/>
        </w:rPr>
        <w:t>选择性报价或可变动报价</w:t>
      </w:r>
      <w:r>
        <w:rPr>
          <w:rFonts w:hint="eastAsia" w:cs="宋体" w:asciiTheme="minorEastAsia" w:hAnsiTheme="minorEastAsia"/>
          <w:szCs w:val="21"/>
        </w:rPr>
        <w:t>③</w:t>
      </w:r>
      <w:r>
        <w:rPr>
          <w:rFonts w:asciiTheme="minorEastAsia" w:hAnsiTheme="minorEastAsia"/>
          <w:szCs w:val="21"/>
        </w:rPr>
        <w:t>投标人低于成本报价竞标的</w:t>
      </w:r>
    </w:p>
    <w:p w14:paraId="7D267B46">
      <w:pPr>
        <w:spacing w:line="360" w:lineRule="auto"/>
        <w:ind w:firstLine="422" w:firstLineChars="200"/>
        <w:rPr>
          <w:rFonts w:asciiTheme="minorEastAsia" w:hAnsiTheme="minorEastAsia"/>
          <w:b/>
          <w:bCs/>
          <w:szCs w:val="21"/>
        </w:rPr>
      </w:pPr>
      <w:r>
        <w:rPr>
          <w:rFonts w:hint="eastAsia" w:asciiTheme="minorEastAsia" w:hAnsiTheme="minorEastAsia"/>
          <w:b/>
          <w:bCs/>
          <w:szCs w:val="21"/>
        </w:rPr>
        <w:t>6</w:t>
      </w:r>
      <w:r>
        <w:rPr>
          <w:rFonts w:asciiTheme="minorEastAsia" w:hAnsiTheme="minorEastAsia"/>
          <w:b/>
          <w:bCs/>
          <w:szCs w:val="21"/>
        </w:rPr>
        <w:t>）法律法规及招标文件中规定的其它情形。</w:t>
      </w:r>
    </w:p>
    <w:p w14:paraId="672F18C5">
      <w:pPr>
        <w:spacing w:line="360" w:lineRule="auto"/>
        <w:ind w:firstLine="420" w:firstLineChars="200"/>
        <w:rPr>
          <w:rFonts w:asciiTheme="minorEastAsia" w:hAnsiTheme="minorEastAsia"/>
          <w:szCs w:val="21"/>
        </w:rPr>
      </w:pPr>
      <w:r>
        <w:rPr>
          <w:rFonts w:asciiTheme="minorEastAsia" w:hAnsiTheme="minorEastAsia"/>
          <w:szCs w:val="21"/>
        </w:rPr>
        <w:t>根据项目情况，评标委员会有权决定招标文件中“可能导致</w:t>
      </w:r>
      <w:r>
        <w:rPr>
          <w:rFonts w:hint="eastAsia" w:asciiTheme="minorEastAsia" w:hAnsiTheme="minorEastAsia"/>
          <w:szCs w:val="21"/>
        </w:rPr>
        <w:t>投标无效</w:t>
      </w:r>
      <w:r>
        <w:rPr>
          <w:rFonts w:asciiTheme="minorEastAsia" w:hAnsiTheme="minorEastAsia"/>
          <w:szCs w:val="21"/>
        </w:rPr>
        <w:t>”或“可能导致其投标被拒绝”等具体条款是否实施“</w:t>
      </w:r>
      <w:r>
        <w:rPr>
          <w:rFonts w:hint="eastAsia" w:asciiTheme="minorEastAsia" w:hAnsiTheme="minorEastAsia"/>
          <w:szCs w:val="21"/>
        </w:rPr>
        <w:t>投标无效</w:t>
      </w:r>
      <w:r>
        <w:rPr>
          <w:rFonts w:asciiTheme="minorEastAsia" w:hAnsiTheme="minorEastAsia"/>
          <w:szCs w:val="21"/>
        </w:rPr>
        <w:t>”或“投标被拒绝”，但对同一条款的裁决应适用于每个投标人。</w:t>
      </w:r>
    </w:p>
    <w:p w14:paraId="593B03BB">
      <w:pPr>
        <w:pStyle w:val="4"/>
        <w:spacing w:line="360" w:lineRule="auto"/>
        <w:ind w:firstLine="482"/>
      </w:pPr>
      <w:bookmarkStart w:id="129" w:name="_Toc7255"/>
      <w:bookmarkStart w:id="130" w:name="_Toc55548525"/>
      <w:r>
        <w:rPr>
          <w:rFonts w:hint="eastAsia"/>
        </w:rPr>
        <w:t>评标方法和定标原则</w:t>
      </w:r>
      <w:bookmarkEnd w:id="129"/>
      <w:bookmarkEnd w:id="130"/>
    </w:p>
    <w:p w14:paraId="6CD238DB">
      <w:pPr>
        <w:spacing w:line="360" w:lineRule="auto"/>
        <w:ind w:firstLine="420" w:firstLineChars="200"/>
        <w:rPr>
          <w:rFonts w:asciiTheme="minorEastAsia" w:hAnsiTheme="minorEastAsia"/>
          <w:szCs w:val="21"/>
        </w:rPr>
      </w:pPr>
      <w:r>
        <w:rPr>
          <w:rFonts w:asciiTheme="minorEastAsia" w:hAnsiTheme="minorEastAsia"/>
          <w:szCs w:val="21"/>
        </w:rPr>
        <w:t>最低评标价法</w:t>
      </w:r>
    </w:p>
    <w:p w14:paraId="16160DB9">
      <w:pPr>
        <w:spacing w:line="360" w:lineRule="auto"/>
        <w:ind w:firstLine="420" w:firstLineChars="200"/>
        <w:rPr>
          <w:rFonts w:asciiTheme="minorEastAsia" w:hAnsiTheme="minorEastAsia"/>
          <w:szCs w:val="21"/>
        </w:rPr>
      </w:pPr>
      <w:r>
        <w:rPr>
          <w:rFonts w:asciiTheme="minorEastAsia" w:hAnsiTheme="minorEastAsia"/>
          <w:szCs w:val="21"/>
        </w:rPr>
        <w:t>最低评标价法，是指以价格因素确定中标候选人的评标方法，即在满足招标文件实质性要求前提下，以报价最低的投标供应商作为中标候选人或中标人。完全满足招标文件的实质性要求，按照报价由低到高的顺序，依据招标文件中规定的数量或者比例推荐候选中标供应商。</w:t>
      </w:r>
    </w:p>
    <w:p w14:paraId="3D89A152">
      <w:pPr>
        <w:spacing w:line="360" w:lineRule="auto"/>
        <w:ind w:firstLine="420" w:firstLineChars="200"/>
        <w:rPr>
          <w:rFonts w:asciiTheme="minorEastAsia" w:hAnsiTheme="minorEastAsia"/>
          <w:szCs w:val="21"/>
        </w:rPr>
      </w:pPr>
      <w:r>
        <w:rPr>
          <w:rFonts w:asciiTheme="minorEastAsia" w:hAnsiTheme="minorEastAsia"/>
          <w:szCs w:val="21"/>
        </w:rPr>
        <w:t>中标人的投标应当符合招标文件规定的资质、技术要求和标准，但评标委员会无需对投标文件的技术部分进行价格折算。</w:t>
      </w:r>
    </w:p>
    <w:p w14:paraId="389A00D9">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9CDB9C2">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7FF0A1AF">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6FEB842F">
      <w:pPr>
        <w:spacing w:line="360" w:lineRule="auto"/>
        <w:ind w:firstLine="420" w:firstLineChars="200"/>
        <w:rPr>
          <w:rFonts w:asciiTheme="minorEastAsia" w:hAnsiTheme="minorEastAsia"/>
          <w:szCs w:val="21"/>
        </w:rPr>
      </w:pPr>
      <w:r>
        <w:rPr>
          <w:rFonts w:asciiTheme="minorEastAsia" w:hAnsiTheme="minorEastAsia"/>
          <w:szCs w:val="21"/>
        </w:rPr>
        <w:t>通过资格性检查和符合性审查且报价不超过预算控制金额并同时具备以下条件的投标人应当确定为中标候选供应商或中标供应商：</w:t>
      </w:r>
    </w:p>
    <w:p w14:paraId="2232724E">
      <w:pPr>
        <w:spacing w:line="360" w:lineRule="auto"/>
        <w:ind w:firstLine="420" w:firstLineChars="200"/>
        <w:rPr>
          <w:rFonts w:asciiTheme="minorEastAsia" w:hAnsiTheme="minorEastAsia"/>
          <w:szCs w:val="21"/>
        </w:rPr>
      </w:pPr>
      <w:r>
        <w:rPr>
          <w:rFonts w:asciiTheme="minorEastAsia" w:hAnsiTheme="minorEastAsia"/>
          <w:szCs w:val="21"/>
        </w:rPr>
        <w:t>（一）满足招标文件实质性要求；</w:t>
      </w:r>
    </w:p>
    <w:p w14:paraId="52007068">
      <w:pPr>
        <w:spacing w:line="360" w:lineRule="auto"/>
        <w:ind w:firstLine="420" w:firstLineChars="200"/>
        <w:rPr>
          <w:rFonts w:asciiTheme="minorEastAsia" w:hAnsiTheme="minorEastAsia"/>
          <w:szCs w:val="21"/>
        </w:rPr>
      </w:pPr>
      <w:r>
        <w:rPr>
          <w:rFonts w:asciiTheme="minorEastAsia" w:hAnsiTheme="minorEastAsia"/>
          <w:szCs w:val="21"/>
        </w:rPr>
        <w:t>（二）投标的价格最低。</w:t>
      </w:r>
    </w:p>
    <w:p w14:paraId="639D4225">
      <w:pPr>
        <w:spacing w:line="360" w:lineRule="auto"/>
        <w:ind w:firstLine="420" w:firstLineChars="200"/>
        <w:rPr>
          <w:rFonts w:asciiTheme="minorEastAsia" w:hAnsiTheme="minorEastAsia"/>
          <w:szCs w:val="21"/>
        </w:rPr>
      </w:pPr>
      <w:r>
        <w:rPr>
          <w:rFonts w:asciiTheme="minorEastAsia" w:hAnsiTheme="minorEastAsia"/>
          <w:szCs w:val="21"/>
        </w:rPr>
        <w:t>按投标报价由低到高顺序排列。投标报价相同的，按技术指标优劣顺序排列。评标委员会认为，排在前面的供应商的最低投标报价或者某些分项报价明显不合理或者低于成本，有可能影响商品质量和不能诚信履约的，评标委员会应当要求其在规定的期限内提供书面文件予以解释说明，并提交相关证明材料；否则，评标委员会可以取消该投标供应商的中标资格，按顺序由排在后面的供应商递补，以此类推。</w:t>
      </w:r>
    </w:p>
    <w:p w14:paraId="3A18EDE9">
      <w:pPr>
        <w:spacing w:line="360" w:lineRule="auto"/>
        <w:ind w:firstLine="420" w:firstLineChars="200"/>
        <w:rPr>
          <w:rFonts w:asciiTheme="minorEastAsia" w:hAnsiTheme="minorEastAsia"/>
          <w:szCs w:val="21"/>
        </w:rPr>
      </w:pPr>
      <w:r>
        <w:rPr>
          <w:rFonts w:asciiTheme="minorEastAsia" w:hAnsiTheme="minorEastAsia"/>
          <w:szCs w:val="21"/>
        </w:rPr>
        <w:t>综合评分法</w:t>
      </w:r>
    </w:p>
    <w:p w14:paraId="571B2529">
      <w:pPr>
        <w:spacing w:line="360" w:lineRule="auto"/>
        <w:ind w:firstLine="420" w:firstLineChars="200"/>
        <w:rPr>
          <w:rFonts w:asciiTheme="minorEastAsia" w:hAnsiTheme="minorEastAsia"/>
          <w:szCs w:val="21"/>
        </w:rPr>
      </w:pPr>
      <w:r>
        <w:rPr>
          <w:rFonts w:asciiTheme="minorEastAsia" w:hAnsiTheme="minorEastAsia"/>
          <w:szCs w:val="21"/>
        </w:rPr>
        <w:t>综合评分法是指在最大限度满足招标文件实质性要求前提下，按照招标文件规定的各项评价因素进行量化打分，每个投标供应商的总得分应以全体评委评分加权汇总后的算术平均值确定，以评标总得分最高的投标供应商作为中标候选供应商或中标供应商的评标方法。除另有规定外，评标委员会在评标报告中，按照“N+2”的数量推荐中标候选供应商，其中N为需要的中标供应商数量。当有效供应商少于“N+2”时，全部推荐。</w:t>
      </w:r>
    </w:p>
    <w:p w14:paraId="330BF9C9">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49982A19">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04B8A5A6">
      <w:pPr>
        <w:spacing w:line="360" w:lineRule="auto"/>
        <w:ind w:firstLine="420" w:firstLineChars="200"/>
        <w:rPr>
          <w:rFonts w:asciiTheme="minorEastAsia" w:hAnsiTheme="minorEastAsia"/>
          <w:szCs w:val="21"/>
        </w:rPr>
      </w:pPr>
      <w:bookmarkStart w:id="131" w:name="_Ref179621304"/>
      <w:r>
        <w:rPr>
          <w:rFonts w:asciiTheme="minorEastAsia" w:hAnsiTheme="minorEastAsia"/>
          <w:szCs w:val="21"/>
        </w:rPr>
        <w:t>综合评审：评标委员会按照下述公式对每个通过资格性检查和符合性检查且报价不超过预算控制金额的投标供应商进行评审、打分，然后汇总每个投标供应商每项评分因素的得分。综合评分的各项因素主要包括技术、价格和商务等内容，根据招标项目要求的不同，本项目的评分因素和权重分值见招标文件。</w:t>
      </w:r>
      <w:bookmarkEnd w:id="131"/>
    </w:p>
    <w:p w14:paraId="78F17213">
      <w:pPr>
        <w:spacing w:line="360" w:lineRule="auto"/>
        <w:ind w:firstLine="420" w:firstLineChars="200"/>
        <w:rPr>
          <w:rFonts w:asciiTheme="minorEastAsia" w:hAnsiTheme="minorEastAsia"/>
          <w:szCs w:val="21"/>
        </w:rPr>
      </w:pPr>
      <w:r>
        <w:rPr>
          <w:rFonts w:asciiTheme="minorEastAsia" w:hAnsiTheme="minorEastAsia"/>
          <w:szCs w:val="21"/>
        </w:rPr>
        <w:t>评标总得分＝（A1×J+A2×S+…An×X）；</w:t>
      </w:r>
    </w:p>
    <w:p w14:paraId="6C01CF00">
      <w:pPr>
        <w:spacing w:line="360" w:lineRule="auto"/>
        <w:ind w:firstLine="420" w:firstLineChars="200"/>
        <w:rPr>
          <w:rFonts w:asciiTheme="minorEastAsia" w:hAnsiTheme="minorEastAsia"/>
          <w:szCs w:val="21"/>
        </w:rPr>
      </w:pPr>
      <w:r>
        <w:rPr>
          <w:rFonts w:asciiTheme="minorEastAsia" w:hAnsiTheme="minorEastAsia"/>
          <w:szCs w:val="21"/>
        </w:rPr>
        <w:t>J、S、……X分别为各项评分因素，各因素满分均为100分；</w:t>
      </w:r>
    </w:p>
    <w:p w14:paraId="3A5F8E15">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173E9A36">
      <w:pPr>
        <w:spacing w:line="360" w:lineRule="auto"/>
        <w:ind w:firstLine="420" w:firstLineChars="200"/>
        <w:rPr>
          <w:rFonts w:asciiTheme="minorEastAsia" w:hAnsiTheme="minorEastAsia"/>
          <w:szCs w:val="21"/>
        </w:rPr>
      </w:pPr>
      <w:r>
        <w:rPr>
          <w:rFonts w:asciiTheme="minorEastAsia" w:hAnsiTheme="minorEastAsia"/>
          <w:szCs w:val="21"/>
        </w:rPr>
        <w:t>价格分计算方法：满足招标文件要求且投标价格最低的投标报价为评标基准价，其价格分为满分。其他投标人的价格分统一按照下列公式计算：</w:t>
      </w:r>
    </w:p>
    <w:p w14:paraId="0221683B">
      <w:pPr>
        <w:spacing w:line="360" w:lineRule="auto"/>
        <w:ind w:firstLine="420" w:firstLineChars="200"/>
        <w:rPr>
          <w:rFonts w:asciiTheme="minorEastAsia" w:hAnsiTheme="minorEastAsia"/>
          <w:szCs w:val="21"/>
        </w:rPr>
      </w:pPr>
      <w:r>
        <w:rPr>
          <w:rFonts w:asciiTheme="minorEastAsia" w:hAnsiTheme="minorEastAsia"/>
          <w:szCs w:val="21"/>
        </w:rPr>
        <w:t>投标报价得分=(评标基准价／投标报价)×价格权重×100</w:t>
      </w:r>
    </w:p>
    <w:p w14:paraId="3453B7C6">
      <w:pPr>
        <w:spacing w:line="360" w:lineRule="auto"/>
        <w:ind w:firstLine="420" w:firstLineChars="200"/>
        <w:rPr>
          <w:rFonts w:asciiTheme="minorEastAsia" w:hAnsiTheme="minorEastAsia"/>
          <w:szCs w:val="21"/>
        </w:rPr>
      </w:pPr>
      <w:r>
        <w:rPr>
          <w:rFonts w:asciiTheme="minorEastAsia" w:hAnsiTheme="minorEastAsia"/>
          <w:szCs w:val="21"/>
        </w:rPr>
        <w:t>定标原则：按评审后得分由高到低顺序排序。得分最高的投标供应商作为中标候选供应商或中标供应商。得分相同的，按投标报价由低到高排列。得分且投标报价相同的，按技术指标优劣顺序排列。</w:t>
      </w:r>
    </w:p>
    <w:p w14:paraId="7E8DACC9">
      <w:pPr>
        <w:spacing w:line="360" w:lineRule="auto"/>
        <w:ind w:firstLine="420" w:firstLineChars="200"/>
        <w:rPr>
          <w:rFonts w:asciiTheme="minorEastAsia" w:hAnsiTheme="minorEastAsia"/>
          <w:szCs w:val="21"/>
        </w:rPr>
      </w:pPr>
      <w:r>
        <w:rPr>
          <w:rFonts w:asciiTheme="minorEastAsia" w:hAnsiTheme="minorEastAsia"/>
          <w:szCs w:val="21"/>
        </w:rPr>
        <w:t>性价比法</w:t>
      </w:r>
    </w:p>
    <w:p w14:paraId="53F708B7">
      <w:pPr>
        <w:spacing w:line="360" w:lineRule="auto"/>
        <w:ind w:firstLine="420" w:firstLineChars="200"/>
        <w:rPr>
          <w:rFonts w:asciiTheme="minorEastAsia" w:hAnsiTheme="minorEastAsia"/>
          <w:szCs w:val="21"/>
        </w:rPr>
      </w:pPr>
      <w:r>
        <w:rPr>
          <w:rFonts w:asciiTheme="minorEastAsia" w:hAnsiTheme="minorEastAsia"/>
          <w:szCs w:val="21"/>
        </w:rPr>
        <w:t>性价比法，是指除价格因素外，经对投标文件进行评审，计算出各评分因素的总分，除以投标报价，以商数最高的投标供应商作为中标候选供应商或中标供应商的评标方法。</w:t>
      </w:r>
    </w:p>
    <w:p w14:paraId="76544B8E">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A917F5B">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评标委员会同时将参照本须知第</w:t>
      </w:r>
      <w:r>
        <w:rPr>
          <w:rFonts w:asciiTheme="minorEastAsia" w:hAnsiTheme="minorEastAsia"/>
          <w:szCs w:val="21"/>
        </w:rPr>
        <w:fldChar w:fldCharType="begin"/>
      </w:r>
      <w:r>
        <w:rPr>
          <w:rFonts w:asciiTheme="minorEastAsia" w:hAnsiTheme="minorEastAsia"/>
          <w:szCs w:val="21"/>
        </w:rPr>
        <w:instrText xml:space="preserve"> REF _Ref179619330 \r \h  \* MERGEFORMAT </w:instrText>
      </w:r>
      <w:r>
        <w:rPr>
          <w:rFonts w:asciiTheme="minorEastAsia" w:hAnsiTheme="minorEastAsia"/>
          <w:szCs w:val="21"/>
        </w:rPr>
        <w:fldChar w:fldCharType="separate"/>
      </w:r>
      <w:r>
        <w:rPr>
          <w:rFonts w:asciiTheme="minorEastAsia" w:hAnsiTheme="minorEastAsia"/>
          <w:b/>
          <w:szCs w:val="21"/>
        </w:rPr>
        <w:t>29.6</w:t>
      </w:r>
      <w:r>
        <w:rPr>
          <w:rFonts w:asciiTheme="minorEastAsia" w:hAnsiTheme="minorEastAsia"/>
          <w:szCs w:val="21"/>
        </w:rPr>
        <w:fldChar w:fldCharType="end"/>
      </w:r>
      <w:r>
        <w:rPr>
          <w:rFonts w:asciiTheme="minorEastAsia" w:hAnsiTheme="minorEastAsia"/>
          <w:szCs w:val="21"/>
        </w:rPr>
        <w:t>条规定，只对确定为实质上响应招标文件要求的投标进行下一步评定。</w:t>
      </w:r>
    </w:p>
    <w:p w14:paraId="18412166">
      <w:pPr>
        <w:spacing w:line="360" w:lineRule="auto"/>
        <w:ind w:firstLine="420" w:firstLineChars="200"/>
        <w:rPr>
          <w:rFonts w:asciiTheme="minorEastAsia" w:hAnsiTheme="minorEastAsia"/>
          <w:szCs w:val="21"/>
        </w:rPr>
      </w:pPr>
      <w:bookmarkStart w:id="132" w:name="_Ref179621588"/>
      <w:r>
        <w:rPr>
          <w:rFonts w:asciiTheme="minorEastAsia" w:hAnsiTheme="minorEastAsia"/>
          <w:szCs w:val="21"/>
        </w:rPr>
        <w:t>综合评审：评标委员会对每个通过资格性检查和符合性检查且报价不超过预算控制金额的投标供应商进行评审、打分。综合评分的各项因素主要包括技术和商务等内容，根据招标项目要求的不同，本项目的评分因素和权重分值见招标文件。</w:t>
      </w:r>
      <w:bookmarkEnd w:id="132"/>
    </w:p>
    <w:p w14:paraId="3123427A">
      <w:pPr>
        <w:spacing w:line="360" w:lineRule="auto"/>
        <w:ind w:firstLine="420" w:firstLineChars="200"/>
        <w:rPr>
          <w:rFonts w:asciiTheme="minorEastAsia" w:hAnsiTheme="minorEastAsia"/>
          <w:szCs w:val="21"/>
        </w:rPr>
      </w:pPr>
      <w:r>
        <w:rPr>
          <w:rFonts w:asciiTheme="minorEastAsia" w:hAnsiTheme="minorEastAsia"/>
          <w:szCs w:val="21"/>
        </w:rPr>
        <w:t>计算</w:t>
      </w:r>
    </w:p>
    <w:p w14:paraId="3F5BF606">
      <w:pPr>
        <w:spacing w:line="360" w:lineRule="auto"/>
        <w:ind w:firstLine="420" w:firstLineChars="200"/>
        <w:rPr>
          <w:rFonts w:asciiTheme="minorEastAsia" w:hAnsiTheme="minorEastAsia"/>
          <w:szCs w:val="21"/>
        </w:rPr>
      </w:pPr>
      <w:r>
        <w:rPr>
          <w:rFonts w:asciiTheme="minorEastAsia" w:hAnsiTheme="minorEastAsia"/>
          <w:szCs w:val="21"/>
        </w:rPr>
        <w:t>评标总得分=Bi/Ni</w:t>
      </w:r>
    </w:p>
    <w:p w14:paraId="1E7BD64F">
      <w:pPr>
        <w:spacing w:line="360" w:lineRule="auto"/>
        <w:ind w:firstLine="420" w:firstLineChars="200"/>
        <w:rPr>
          <w:rFonts w:asciiTheme="minorEastAsia" w:hAnsiTheme="minorEastAsia"/>
          <w:szCs w:val="21"/>
        </w:rPr>
      </w:pPr>
      <w:r>
        <w:rPr>
          <w:rFonts w:asciiTheme="minorEastAsia" w:hAnsiTheme="minorEastAsia"/>
          <w:szCs w:val="21"/>
        </w:rPr>
        <w:t>Ni——为投标供应商的投标报价；</w:t>
      </w:r>
    </w:p>
    <w:p w14:paraId="39869F3B">
      <w:pPr>
        <w:spacing w:line="360" w:lineRule="auto"/>
        <w:ind w:firstLine="420" w:firstLineChars="200"/>
        <w:rPr>
          <w:rFonts w:asciiTheme="minorEastAsia" w:hAnsiTheme="minorEastAsia"/>
          <w:szCs w:val="21"/>
        </w:rPr>
      </w:pPr>
      <w:r>
        <w:rPr>
          <w:rFonts w:asciiTheme="minorEastAsia" w:hAnsiTheme="minorEastAsia"/>
          <w:szCs w:val="21"/>
        </w:rPr>
        <w:t>Bi——为投标供应商的综合得分，其中Bi＝（A1×J+A2×C+…+An×F）；</w:t>
      </w:r>
    </w:p>
    <w:p w14:paraId="57B9BD66">
      <w:pPr>
        <w:spacing w:line="360" w:lineRule="auto"/>
        <w:ind w:firstLine="420" w:firstLineChars="200"/>
        <w:rPr>
          <w:rFonts w:asciiTheme="minorEastAsia" w:hAnsiTheme="minorEastAsia"/>
          <w:szCs w:val="21"/>
        </w:rPr>
      </w:pPr>
      <w:r>
        <w:rPr>
          <w:rFonts w:asciiTheme="minorEastAsia" w:hAnsiTheme="minorEastAsia"/>
          <w:szCs w:val="21"/>
        </w:rPr>
        <w:t>J、C、……F分别为各项评分因素（技术、信誉、业绩、服务等因素），投标报价除外；各因素满分均为100分；</w:t>
      </w:r>
    </w:p>
    <w:p w14:paraId="5665D98A">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4E0CC633">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77B31048">
      <w:pPr>
        <w:spacing w:line="360" w:lineRule="auto"/>
        <w:ind w:firstLine="420" w:firstLineChars="200"/>
        <w:rPr>
          <w:rFonts w:asciiTheme="minorEastAsia" w:hAnsiTheme="minorEastAsia"/>
          <w:szCs w:val="21"/>
        </w:rPr>
      </w:pPr>
      <w:r>
        <w:rPr>
          <w:rFonts w:asciiTheme="minorEastAsia" w:hAnsiTheme="minorEastAsia"/>
          <w:szCs w:val="21"/>
        </w:rPr>
        <w:t>按商数得分由高到低顺序排列，以商数最高的投标供应商作为中标侯选供应商或中标供应商。商数得分相同的，按投标报价由低到高顺序排列。商数得分且投标报价相同的，按技术指标优劣顺序排列。</w:t>
      </w:r>
    </w:p>
    <w:p w14:paraId="7677631F">
      <w:pPr>
        <w:pStyle w:val="5"/>
        <w:ind w:firstLine="482"/>
      </w:pPr>
      <w:bookmarkStart w:id="133" w:name="_Toc12447"/>
      <w:bookmarkStart w:id="134" w:name="_Toc31060"/>
      <w:bookmarkStart w:id="135" w:name="_Toc55548528"/>
      <w:r>
        <w:t>六、授予合同</w:t>
      </w:r>
      <w:bookmarkEnd w:id="133"/>
      <w:bookmarkEnd w:id="134"/>
      <w:bookmarkEnd w:id="135"/>
    </w:p>
    <w:p w14:paraId="4F2D64AF">
      <w:pPr>
        <w:pStyle w:val="4"/>
        <w:spacing w:line="360" w:lineRule="auto"/>
        <w:ind w:firstLine="482"/>
      </w:pPr>
      <w:bookmarkStart w:id="136" w:name="_Toc4551"/>
      <w:bookmarkStart w:id="137" w:name="_Toc55548529"/>
      <w:r>
        <w:rPr>
          <w:rFonts w:hint="eastAsia"/>
        </w:rPr>
        <w:t>最终审查</w:t>
      </w:r>
      <w:bookmarkEnd w:id="136"/>
      <w:bookmarkEnd w:id="137"/>
    </w:p>
    <w:p w14:paraId="5F038BC9">
      <w:pPr>
        <w:spacing w:line="360" w:lineRule="auto"/>
        <w:ind w:firstLine="420" w:firstLineChars="200"/>
        <w:rPr>
          <w:rFonts w:asciiTheme="minorEastAsia" w:hAnsiTheme="minorEastAsia"/>
          <w:szCs w:val="21"/>
        </w:rPr>
      </w:pPr>
      <w:r>
        <w:rPr>
          <w:rFonts w:asciiTheme="minorEastAsia" w:hAnsiTheme="minorEastAsia"/>
          <w:szCs w:val="21"/>
        </w:rPr>
        <w:t>评标委员会将根据本须知列出的标准审查第一中标候选人是否有能力圆满地履行合同。</w:t>
      </w:r>
    </w:p>
    <w:p w14:paraId="0375B975">
      <w:pPr>
        <w:spacing w:line="360" w:lineRule="auto"/>
        <w:ind w:firstLine="420" w:firstLineChars="200"/>
        <w:rPr>
          <w:rFonts w:asciiTheme="minorEastAsia" w:hAnsiTheme="minorEastAsia"/>
          <w:szCs w:val="21"/>
        </w:rPr>
      </w:pPr>
      <w:r>
        <w:rPr>
          <w:rFonts w:asciiTheme="minorEastAsia" w:hAnsiTheme="minorEastAsia"/>
          <w:szCs w:val="21"/>
        </w:rPr>
        <w:t>授标决定时还将考虑投标人的财务、技术和生产能力在招标期间是否有实质性变化。其基础是审查投标人按照本须知规定提交的资格证明文件和评标委员会认为必要的、合适的其它资料。</w:t>
      </w:r>
    </w:p>
    <w:p w14:paraId="2A8528E6">
      <w:pPr>
        <w:spacing w:line="360" w:lineRule="auto"/>
        <w:ind w:firstLine="420" w:firstLineChars="200"/>
        <w:rPr>
          <w:rFonts w:asciiTheme="minorEastAsia" w:hAnsiTheme="minorEastAsia"/>
          <w:szCs w:val="21"/>
        </w:rPr>
      </w:pPr>
      <w:r>
        <w:rPr>
          <w:rFonts w:asciiTheme="minorEastAsia" w:hAnsiTheme="minorEastAsia"/>
          <w:szCs w:val="21"/>
        </w:rPr>
        <w:t>如果审查通过，评标委员会将把合同授予该投标人；如果审查没有通过，评标委员会将拒绝其投标，并对下一个中标候选人能否令人满意地履行合同作类似的审查。</w:t>
      </w:r>
    </w:p>
    <w:p w14:paraId="51FAA4DE">
      <w:pPr>
        <w:pStyle w:val="4"/>
        <w:spacing w:line="360" w:lineRule="auto"/>
        <w:ind w:firstLine="482"/>
      </w:pPr>
      <w:bookmarkStart w:id="138" w:name="_Toc55548530"/>
      <w:bookmarkStart w:id="139" w:name="_Toc9998"/>
      <w:r>
        <w:rPr>
          <w:rFonts w:hint="eastAsia"/>
        </w:rPr>
        <w:t>合同授予标准</w:t>
      </w:r>
      <w:bookmarkEnd w:id="138"/>
      <w:bookmarkEnd w:id="139"/>
    </w:p>
    <w:p w14:paraId="1C16ACC0">
      <w:pPr>
        <w:spacing w:line="360" w:lineRule="auto"/>
        <w:ind w:firstLine="420" w:firstLineChars="200"/>
        <w:rPr>
          <w:rFonts w:asciiTheme="minorEastAsia" w:hAnsiTheme="minorEastAsia"/>
          <w:szCs w:val="21"/>
        </w:rPr>
      </w:pPr>
      <w:r>
        <w:rPr>
          <w:rFonts w:asciiTheme="minorEastAsia" w:hAnsiTheme="minorEastAsia"/>
          <w:szCs w:val="21"/>
        </w:rPr>
        <w:t>评标委员会将把合同授予被确定为实质上响应招标文件的要求并有履行合同能力的最低评标价的投标人或综合评价得分最高的投标人或评标总商数最高的投标人。</w:t>
      </w:r>
    </w:p>
    <w:p w14:paraId="409CF9CA">
      <w:pPr>
        <w:pStyle w:val="4"/>
        <w:spacing w:line="360" w:lineRule="auto"/>
        <w:ind w:firstLine="482"/>
      </w:pPr>
      <w:bookmarkStart w:id="140" w:name="_Toc29853"/>
      <w:bookmarkStart w:id="141" w:name="_Toc55548532"/>
      <w:r>
        <w:rPr>
          <w:rFonts w:hint="eastAsia"/>
        </w:rPr>
        <w:t>中标结果公示</w:t>
      </w:r>
      <w:bookmarkEnd w:id="140"/>
      <w:bookmarkEnd w:id="141"/>
    </w:p>
    <w:p w14:paraId="660CC93B">
      <w:pPr>
        <w:spacing w:line="360" w:lineRule="auto"/>
        <w:ind w:firstLine="420" w:firstLineChars="200"/>
        <w:rPr>
          <w:rFonts w:asciiTheme="minorEastAsia" w:hAnsiTheme="minorEastAsia"/>
          <w:szCs w:val="21"/>
        </w:rPr>
      </w:pPr>
      <w:r>
        <w:rPr>
          <w:rFonts w:asciiTheme="minorEastAsia" w:hAnsiTheme="minorEastAsia"/>
          <w:szCs w:val="21"/>
        </w:rPr>
        <w:t>为体现“公开、公平、公正”的原则，评标结束后，将在</w:t>
      </w:r>
      <w:r>
        <w:rPr>
          <w:rFonts w:hint="eastAsia" w:asciiTheme="minorEastAsia" w:hAnsiTheme="minorEastAsia"/>
          <w:szCs w:val="21"/>
        </w:rPr>
        <w:t>https://www.bawjxt.net/baqjbyfkzzx/ (深圳市宝安区疾病预防控制中心官网)</w:t>
      </w:r>
      <w:r>
        <w:rPr>
          <w:rFonts w:asciiTheme="minorEastAsia" w:hAnsiTheme="minorEastAsia"/>
          <w:szCs w:val="21"/>
        </w:rPr>
        <w:t>进行中标结果公示，公示期为三日。投标人如对评标结果有异议，应于公示期内以书面形式提出。若在公示期内未提出异议，则视为无异议或放弃异议权。</w:t>
      </w:r>
    </w:p>
    <w:p w14:paraId="5DC1F72B">
      <w:pPr>
        <w:spacing w:line="360" w:lineRule="auto"/>
        <w:ind w:firstLine="420" w:firstLineChars="200"/>
        <w:rPr>
          <w:rFonts w:asciiTheme="minorEastAsia" w:hAnsiTheme="minorEastAsia"/>
          <w:szCs w:val="21"/>
        </w:rPr>
      </w:pPr>
      <w:r>
        <w:rPr>
          <w:rFonts w:asciiTheme="minorEastAsia" w:hAnsiTheme="minorEastAsia"/>
          <w:szCs w:val="21"/>
        </w:rPr>
        <w:t>提出质疑的投标人应保证提出质疑内容及相应证明材料的真实性及来源的合法性，并承担相应的法律责任。提供虚假情况恶意质疑投诉，情节严重的，将可能导致暂停或取消其投标资格或者投标保证金被罚没。</w:t>
      </w:r>
    </w:p>
    <w:p w14:paraId="1AB23D13">
      <w:pPr>
        <w:pStyle w:val="4"/>
        <w:spacing w:line="360" w:lineRule="auto"/>
        <w:ind w:firstLine="482"/>
      </w:pPr>
      <w:bookmarkStart w:id="142" w:name="_Ref179619923"/>
      <w:bookmarkStart w:id="143" w:name="_Toc5257"/>
      <w:bookmarkStart w:id="144" w:name="_Toc55548533"/>
      <w:r>
        <w:rPr>
          <w:rFonts w:hint="eastAsia"/>
        </w:rPr>
        <w:t>接受和拒绝任何或所有投标的权力</w:t>
      </w:r>
      <w:bookmarkEnd w:id="142"/>
      <w:bookmarkEnd w:id="143"/>
      <w:bookmarkEnd w:id="144"/>
    </w:p>
    <w:p w14:paraId="60BC212E">
      <w:pPr>
        <w:spacing w:line="360" w:lineRule="auto"/>
        <w:ind w:firstLine="420" w:firstLineChars="200"/>
        <w:rPr>
          <w:rFonts w:asciiTheme="minorEastAsia" w:hAnsiTheme="minorEastAsia"/>
          <w:szCs w:val="21"/>
        </w:rPr>
      </w:pPr>
      <w:r>
        <w:rPr>
          <w:rFonts w:asciiTheme="minorEastAsia" w:hAnsiTheme="minorEastAsia"/>
          <w:szCs w:val="21"/>
        </w:rPr>
        <w:t>在特殊情况下，招标人保留在授标之前拒绝任何投标以及宣布招标程序无效或拒绝所有投标的权力，且对受影响的投标人不承担任何责任，也无义务向受影响的投标人解释采取这一行动的理由。</w:t>
      </w:r>
    </w:p>
    <w:p w14:paraId="51B8E0D8">
      <w:pPr>
        <w:pStyle w:val="4"/>
        <w:spacing w:line="360" w:lineRule="auto"/>
        <w:ind w:firstLine="482"/>
      </w:pPr>
      <w:bookmarkStart w:id="145" w:name="_Toc55548534"/>
      <w:bookmarkStart w:id="146" w:name="_Toc1842"/>
      <w:r>
        <w:rPr>
          <w:rFonts w:hint="eastAsia"/>
        </w:rPr>
        <w:t>中标通知书</w:t>
      </w:r>
      <w:bookmarkEnd w:id="145"/>
      <w:bookmarkEnd w:id="146"/>
    </w:p>
    <w:p w14:paraId="344FCA7D">
      <w:pPr>
        <w:spacing w:line="360" w:lineRule="auto"/>
        <w:ind w:firstLine="420" w:firstLineChars="200"/>
        <w:rPr>
          <w:rFonts w:asciiTheme="minorEastAsia" w:hAnsiTheme="minorEastAsia"/>
          <w:szCs w:val="21"/>
        </w:rPr>
      </w:pPr>
      <w:r>
        <w:rPr>
          <w:rFonts w:asciiTheme="minorEastAsia" w:hAnsiTheme="minorEastAsia"/>
          <w:szCs w:val="21"/>
        </w:rPr>
        <w:t>中标人确定后，</w:t>
      </w:r>
      <w:r>
        <w:rPr>
          <w:rFonts w:hint="eastAsia" w:asciiTheme="minorEastAsia" w:hAnsiTheme="minorEastAsia"/>
          <w:szCs w:val="21"/>
        </w:rPr>
        <w:t>本中心</w:t>
      </w:r>
      <w:r>
        <w:rPr>
          <w:rFonts w:asciiTheme="minorEastAsia" w:hAnsiTheme="minorEastAsia"/>
          <w:szCs w:val="21"/>
        </w:rPr>
        <w:t>将向中标人发出《中标通知书》。</w:t>
      </w:r>
    </w:p>
    <w:p w14:paraId="20174E07">
      <w:pPr>
        <w:spacing w:line="360" w:lineRule="auto"/>
        <w:ind w:firstLine="420" w:firstLineChars="200"/>
        <w:rPr>
          <w:rFonts w:asciiTheme="minorEastAsia" w:hAnsiTheme="minorEastAsia"/>
          <w:szCs w:val="21"/>
        </w:rPr>
      </w:pPr>
      <w:r>
        <w:rPr>
          <w:rFonts w:asciiTheme="minorEastAsia" w:hAnsiTheme="minorEastAsia"/>
          <w:szCs w:val="21"/>
        </w:rPr>
        <w:t>《中标通知书》是合同的一个组成部分。</w:t>
      </w:r>
    </w:p>
    <w:p w14:paraId="2EC28CCD">
      <w:pPr>
        <w:pStyle w:val="4"/>
        <w:spacing w:line="360" w:lineRule="auto"/>
        <w:ind w:firstLine="482"/>
      </w:pPr>
      <w:bookmarkStart w:id="147" w:name="_Toc55548535"/>
      <w:bookmarkStart w:id="148" w:name="_Toc11931"/>
      <w:bookmarkStart w:id="149" w:name="_Ref179619520"/>
      <w:r>
        <w:rPr>
          <w:rFonts w:hint="eastAsia"/>
        </w:rPr>
        <w:t>签订合同</w:t>
      </w:r>
      <w:bookmarkEnd w:id="147"/>
      <w:bookmarkEnd w:id="148"/>
      <w:bookmarkEnd w:id="149"/>
    </w:p>
    <w:p w14:paraId="1C4A9406">
      <w:pPr>
        <w:spacing w:line="360" w:lineRule="auto"/>
        <w:ind w:firstLine="420" w:firstLineChars="200"/>
        <w:rPr>
          <w:rFonts w:asciiTheme="minorEastAsia" w:hAnsiTheme="minorEastAsia"/>
          <w:szCs w:val="21"/>
        </w:rPr>
      </w:pPr>
      <w:r>
        <w:rPr>
          <w:rFonts w:asciiTheme="minorEastAsia" w:hAnsiTheme="minorEastAsia"/>
          <w:szCs w:val="21"/>
        </w:rPr>
        <w:t>《中标通知书》发出后10个工作日内，中标人应按照招标文件和中标人的投标文件订立书面合同。中标人不得与招标人再订立背离合同实质性内容的其他协议。</w:t>
      </w:r>
    </w:p>
    <w:p w14:paraId="2F39BD6B">
      <w:pPr>
        <w:spacing w:line="360" w:lineRule="auto"/>
        <w:ind w:firstLine="420" w:firstLineChars="200"/>
        <w:rPr>
          <w:rFonts w:asciiTheme="minorEastAsia" w:hAnsiTheme="minorEastAsia"/>
          <w:szCs w:val="21"/>
        </w:rPr>
      </w:pPr>
      <w:r>
        <w:rPr>
          <w:rFonts w:asciiTheme="minorEastAsia" w:hAnsiTheme="minorEastAsia"/>
          <w:szCs w:val="21"/>
        </w:rPr>
        <w:t>招标文件、中标人的投标文件及其澄清文件等，均为签订合同的依据。</w:t>
      </w:r>
    </w:p>
    <w:p w14:paraId="7F6AB098">
      <w:pPr>
        <w:spacing w:line="360" w:lineRule="auto"/>
        <w:ind w:firstLine="420" w:firstLineChars="200"/>
        <w:rPr>
          <w:rFonts w:asciiTheme="minorEastAsia" w:hAnsiTheme="minorEastAsia"/>
          <w:szCs w:val="21"/>
        </w:rPr>
      </w:pPr>
      <w:r>
        <w:rPr>
          <w:rFonts w:asciiTheme="minorEastAsia" w:hAnsiTheme="minorEastAsia"/>
          <w:szCs w:val="21"/>
        </w:rPr>
        <w:t>合同签订后5个工作日内，中标人须将合同副本(合同复印件加盖中标人公章，原件核验)送</w:t>
      </w:r>
      <w:r>
        <w:rPr>
          <w:rFonts w:hint="eastAsia" w:asciiTheme="minorEastAsia" w:hAnsiTheme="minorEastAsia"/>
          <w:szCs w:val="21"/>
        </w:rPr>
        <w:t>本中心</w:t>
      </w:r>
      <w:r>
        <w:rPr>
          <w:rFonts w:asciiTheme="minorEastAsia" w:hAnsiTheme="minorEastAsia"/>
          <w:szCs w:val="21"/>
        </w:rPr>
        <w:t>存档备案。</w:t>
      </w:r>
    </w:p>
    <w:p w14:paraId="19FB6FC9">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56D4B065">
      <w:pPr>
        <w:pStyle w:val="2"/>
      </w:pPr>
      <w:bookmarkStart w:id="150" w:name="_Toc61880307"/>
      <w:bookmarkStart w:id="151" w:name="_Toc61539111"/>
      <w:r>
        <w:rPr>
          <w:rFonts w:hint="eastAsia"/>
        </w:rPr>
        <w:t>第四章  附件－投标文件格式</w:t>
      </w:r>
      <w:bookmarkEnd w:id="150"/>
      <w:bookmarkEnd w:id="151"/>
    </w:p>
    <w:p w14:paraId="744592AA">
      <w:pPr>
        <w:spacing w:line="360" w:lineRule="auto"/>
        <w:ind w:firstLine="420" w:firstLineChars="200"/>
        <w:rPr>
          <w:rFonts w:asciiTheme="minorEastAsia" w:hAnsiTheme="minorEastAsia"/>
          <w:szCs w:val="21"/>
        </w:rPr>
      </w:pPr>
      <w:r>
        <w:rPr>
          <w:rFonts w:hint="eastAsia" w:asciiTheme="minorEastAsia" w:hAnsiTheme="minorEastAsia"/>
          <w:szCs w:val="21"/>
        </w:rPr>
        <w:t>附件1：投标函格式</w:t>
      </w:r>
    </w:p>
    <w:p w14:paraId="28F76139">
      <w:pPr>
        <w:keepNext/>
        <w:keepLines/>
        <w:spacing w:before="160" w:after="170"/>
        <w:ind w:firstLine="602" w:firstLineChars="200"/>
        <w:jc w:val="center"/>
        <w:outlineLvl w:val="4"/>
        <w:rPr>
          <w:b/>
          <w:bCs/>
          <w:sz w:val="30"/>
          <w:szCs w:val="28"/>
        </w:rPr>
      </w:pPr>
      <w:bookmarkStart w:id="152" w:name="_Toc55548538"/>
      <w:r>
        <w:rPr>
          <w:rFonts w:hint="eastAsia"/>
          <w:b/>
          <w:bCs/>
          <w:sz w:val="30"/>
          <w:szCs w:val="28"/>
        </w:rPr>
        <w:t>投标函</w:t>
      </w:r>
      <w:bookmarkEnd w:id="152"/>
    </w:p>
    <w:p w14:paraId="5F1BEC47">
      <w:pPr>
        <w:spacing w:line="360" w:lineRule="auto"/>
        <w:ind w:firstLine="420" w:firstLineChars="200"/>
        <w:rPr>
          <w:rFonts w:asciiTheme="minorEastAsia" w:hAnsiTheme="minorEastAsia"/>
          <w:color w:val="000000"/>
          <w:szCs w:val="21"/>
          <w:u w:val="single"/>
        </w:rPr>
      </w:pPr>
      <w:r>
        <w:rPr>
          <w:rFonts w:hint="eastAsia" w:asciiTheme="minorEastAsia" w:hAnsiTheme="minorEastAsia"/>
          <w:color w:val="000000"/>
          <w:szCs w:val="21"/>
        </w:rPr>
        <w:t>致：</w:t>
      </w:r>
      <w:r>
        <w:rPr>
          <w:rFonts w:hint="eastAsia" w:asciiTheme="minorEastAsia" w:hAnsiTheme="minorEastAsia"/>
          <w:szCs w:val="21"/>
          <w:u w:val="single"/>
        </w:rPr>
        <w:t>深圳市宝安区疾病预防控制中心（深圳市宝安区卫生监督所）</w:t>
      </w:r>
    </w:p>
    <w:p w14:paraId="1F65CF8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我们收到你们组织的</w:t>
      </w:r>
      <w:r>
        <w:rPr>
          <w:rFonts w:hint="eastAsia" w:asciiTheme="minorEastAsia" w:hAnsiTheme="minorEastAsia"/>
          <w:color w:val="000000"/>
          <w:szCs w:val="21"/>
          <w:u w:val="single"/>
        </w:rPr>
        <w:t xml:space="preserve"> （项目名称） </w:t>
      </w:r>
      <w:r>
        <w:rPr>
          <w:rFonts w:hint="eastAsia" w:asciiTheme="minorEastAsia" w:hAnsiTheme="minorEastAsia"/>
          <w:color w:val="000000"/>
          <w:szCs w:val="21"/>
        </w:rPr>
        <w:t xml:space="preserve">招标文件，经详细研究，我们决定参加该项目 </w:t>
      </w:r>
      <w:r>
        <w:rPr>
          <w:rFonts w:hint="eastAsia" w:asciiTheme="minorEastAsia" w:hAnsiTheme="minorEastAsia"/>
          <w:color w:val="000000"/>
          <w:szCs w:val="21"/>
          <w:u w:val="single"/>
        </w:rPr>
        <w:t xml:space="preserve">（项目编号） </w:t>
      </w:r>
      <w:r>
        <w:rPr>
          <w:rFonts w:hint="eastAsia" w:asciiTheme="minorEastAsia" w:hAnsiTheme="minorEastAsia"/>
          <w:color w:val="000000"/>
          <w:szCs w:val="21"/>
        </w:rPr>
        <w:t xml:space="preserve"> 招标的有关活动，并投标。为此，我方谨郑重声明以下诸点，并对之负法律责任。</w:t>
      </w:r>
    </w:p>
    <w:p w14:paraId="2324EEB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1、我方愿以《开标一览表》中填写的投标总价并按照招标文件中的一切要求，承担上述项目的全部工作。</w:t>
      </w:r>
    </w:p>
    <w:p w14:paraId="5009749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2、我方提交的投标文件为：投标书正本一份，副本二份，电子档文件一份。</w:t>
      </w:r>
    </w:p>
    <w:p w14:paraId="02E7DB5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3、如果我们投标书被接受，我们将履行招标文件中规定的每一项要求，按期、按质、按量完成任务。</w:t>
      </w:r>
    </w:p>
    <w:p w14:paraId="722026C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4、我们愿意提供招标文件中要求的所有资料，且所递交的投标文件在投标有效期（即90天）内有效，在此期间内我方的投标有可能中标，我方将受此约束。</w:t>
      </w:r>
    </w:p>
    <w:p w14:paraId="7F8EBC7D">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5、我们理解，最低报价不是中标的唯一条件。我们认为你们有选择或拒绝任何投标者中标的权利。</w:t>
      </w:r>
    </w:p>
    <w:p w14:paraId="772EC46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6、我方愿按《中华人民共和国合同法》履行自己的全部责任。</w:t>
      </w:r>
    </w:p>
    <w:p w14:paraId="7A0FEC2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7、我们同意招标文件之规定，遵守有关招标的各项规定。</w:t>
      </w:r>
    </w:p>
    <w:p w14:paraId="15E2DA54">
      <w:pPr>
        <w:spacing w:line="360" w:lineRule="auto"/>
        <w:ind w:firstLine="420" w:firstLineChars="200"/>
        <w:rPr>
          <w:rFonts w:asciiTheme="minorEastAsia" w:hAnsiTheme="minorEastAsia"/>
          <w:color w:val="000000"/>
          <w:szCs w:val="21"/>
        </w:rPr>
      </w:pPr>
      <w:r>
        <w:rPr>
          <w:rFonts w:asciiTheme="minorEastAsia" w:hAnsiTheme="minorEastAsia"/>
          <w:color w:val="000000"/>
          <w:szCs w:val="21"/>
        </w:rPr>
        <w:t>8</w:t>
      </w:r>
      <w:r>
        <w:rPr>
          <w:rFonts w:hint="eastAsia" w:asciiTheme="minorEastAsia" w:hAnsiTheme="minorEastAsia"/>
          <w:color w:val="000000"/>
          <w:szCs w:val="21"/>
        </w:rPr>
        <w:t>、所有有关本标书的函电，请按下列地址联系：</w:t>
      </w:r>
    </w:p>
    <w:p w14:paraId="2DE17445">
      <w:pPr>
        <w:spacing w:line="360" w:lineRule="auto"/>
        <w:ind w:firstLine="420" w:firstLineChars="200"/>
        <w:rPr>
          <w:rFonts w:asciiTheme="minorEastAsia" w:hAnsiTheme="minorEastAsia"/>
          <w:color w:val="000000"/>
          <w:szCs w:val="21"/>
        </w:rPr>
      </w:pPr>
    </w:p>
    <w:p w14:paraId="36828BD1">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单    位： （盖章）</w:t>
      </w:r>
    </w:p>
    <w:p w14:paraId="2A1E93C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授权代表或法人代表： （签字）</w:t>
      </w:r>
    </w:p>
    <w:p w14:paraId="7F7790D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地    址： </w:t>
      </w:r>
    </w:p>
    <w:p w14:paraId="625379C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电    话：     </w:t>
      </w:r>
    </w:p>
    <w:p w14:paraId="4E0DA85F">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传    真：</w:t>
      </w:r>
    </w:p>
    <w:p w14:paraId="29CF46A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邮    编：</w:t>
      </w:r>
    </w:p>
    <w:p w14:paraId="4CB1208D">
      <w:pPr>
        <w:spacing w:line="360" w:lineRule="auto"/>
        <w:ind w:firstLine="420" w:firstLineChars="200"/>
        <w:rPr>
          <w:rFonts w:asciiTheme="minorEastAsia" w:hAnsiTheme="minorEastAsia"/>
          <w:szCs w:val="21"/>
        </w:rPr>
      </w:pPr>
      <w:r>
        <w:rPr>
          <w:rFonts w:asciiTheme="minorEastAsia" w:hAnsiTheme="minorEastAsia"/>
          <w:szCs w:val="21"/>
        </w:rPr>
        <w:br w:type="page"/>
      </w:r>
      <w:r>
        <w:rPr>
          <w:rFonts w:hint="eastAsia" w:asciiTheme="minorEastAsia" w:hAnsiTheme="minorEastAsia"/>
          <w:szCs w:val="21"/>
        </w:rPr>
        <w:t>附件2：政府采购投标及履约承诺函</w:t>
      </w:r>
    </w:p>
    <w:p w14:paraId="074513C9">
      <w:pPr>
        <w:keepNext/>
        <w:keepLines/>
        <w:spacing w:before="160" w:after="170"/>
        <w:ind w:firstLine="602" w:firstLineChars="200"/>
        <w:jc w:val="center"/>
        <w:outlineLvl w:val="4"/>
        <w:rPr>
          <w:b/>
          <w:bCs/>
          <w:sz w:val="30"/>
          <w:szCs w:val="28"/>
        </w:rPr>
      </w:pPr>
      <w:bookmarkStart w:id="153" w:name="_Toc55548539"/>
      <w:bookmarkStart w:id="154" w:name="_Toc30545"/>
      <w:r>
        <w:rPr>
          <w:rFonts w:hint="eastAsia"/>
          <w:b/>
          <w:bCs/>
          <w:sz w:val="30"/>
          <w:szCs w:val="28"/>
        </w:rPr>
        <w:t>政府采购投标及履约承诺函</w:t>
      </w:r>
      <w:bookmarkEnd w:id="153"/>
    </w:p>
    <w:p w14:paraId="53F3C9A8">
      <w:pPr>
        <w:spacing w:line="360" w:lineRule="auto"/>
        <w:ind w:firstLine="420" w:firstLineChars="200"/>
        <w:rPr>
          <w:rFonts w:asciiTheme="minorEastAsia" w:hAnsiTheme="minorEastAsia"/>
          <w:szCs w:val="21"/>
        </w:rPr>
      </w:pPr>
      <w:r>
        <w:rPr>
          <w:rFonts w:hint="eastAsia" w:asciiTheme="minorEastAsia" w:hAnsiTheme="minorEastAsia"/>
          <w:szCs w:val="21"/>
        </w:rPr>
        <w:t>致：</w:t>
      </w:r>
      <w:r>
        <w:rPr>
          <w:rFonts w:hint="eastAsia" w:cs="Courier New" w:asciiTheme="minorEastAsia" w:hAnsiTheme="minorEastAsia"/>
          <w:snapToGrid w:val="0"/>
          <w:szCs w:val="21"/>
        </w:rPr>
        <w:t>深圳市宝安区疾病预防控制中心</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lang w:val="en-US" w:eastAsia="zh-CN"/>
        </w:rPr>
        <w:t>深圳市宝安区卫生监督所</w:t>
      </w:r>
      <w:r>
        <w:rPr>
          <w:rFonts w:hint="eastAsia" w:cs="Courier New" w:asciiTheme="minorEastAsia" w:hAnsiTheme="minorEastAsia"/>
          <w:snapToGrid w:val="0"/>
          <w:szCs w:val="21"/>
          <w:lang w:eastAsia="zh-CN"/>
        </w:rPr>
        <w:t>）</w:t>
      </w:r>
    </w:p>
    <w:p w14:paraId="058176CB">
      <w:pPr>
        <w:spacing w:line="360" w:lineRule="auto"/>
        <w:ind w:right="-815" w:firstLine="420" w:firstLineChars="200"/>
        <w:rPr>
          <w:rFonts w:asciiTheme="minorEastAsia" w:hAnsiTheme="minorEastAsia"/>
          <w:szCs w:val="21"/>
        </w:rPr>
      </w:pPr>
      <w:r>
        <w:rPr>
          <w:rFonts w:hint="eastAsia" w:asciiTheme="minorEastAsia" w:hAnsiTheme="minorEastAsia"/>
          <w:szCs w:val="21"/>
        </w:rPr>
        <w:t>我公司承诺：</w:t>
      </w:r>
    </w:p>
    <w:p w14:paraId="3E52E402">
      <w:pPr>
        <w:spacing w:line="360" w:lineRule="auto"/>
        <w:ind w:firstLine="420" w:firstLineChars="200"/>
        <w:rPr>
          <w:rFonts w:asciiTheme="minorEastAsia" w:hAnsiTheme="minorEastAsia"/>
          <w:szCs w:val="21"/>
        </w:rPr>
      </w:pPr>
      <w:r>
        <w:rPr>
          <w:rFonts w:hint="eastAsia" w:asciiTheme="minorEastAsia" w:hAnsiTheme="minorEastAsia"/>
          <w:szCs w:val="21"/>
        </w:rPr>
        <w:t>1.我公司本招标项目所提供的货物或服务未侵犯知识产权。</w:t>
      </w:r>
    </w:p>
    <w:p w14:paraId="2108367F">
      <w:pPr>
        <w:spacing w:line="360" w:lineRule="auto"/>
        <w:ind w:firstLine="420" w:firstLineChars="200"/>
        <w:rPr>
          <w:rFonts w:asciiTheme="minorEastAsia" w:hAnsiTheme="minorEastAsia"/>
          <w:szCs w:val="21"/>
        </w:rPr>
      </w:pPr>
      <w:r>
        <w:rPr>
          <w:rFonts w:hint="eastAsia" w:asciiTheme="minorEastAsia" w:hAnsiTheme="minorEastAsia"/>
          <w:szCs w:val="21"/>
        </w:rPr>
        <w:t>2.我公司近三年内(成立不足三年的从成立之日起算)无行贿犯罪记录。</w:t>
      </w:r>
    </w:p>
    <w:p w14:paraId="7706E2BF">
      <w:pPr>
        <w:spacing w:line="360" w:lineRule="auto"/>
        <w:ind w:firstLine="420" w:firstLineChars="200"/>
        <w:rPr>
          <w:rFonts w:asciiTheme="minorEastAsia" w:hAnsiTheme="minorEastAsia"/>
          <w:szCs w:val="21"/>
        </w:rPr>
      </w:pPr>
      <w:r>
        <w:rPr>
          <w:rFonts w:hint="eastAsia" w:asciiTheme="minorEastAsia" w:hAnsiTheme="minorEastAsia"/>
          <w:szCs w:val="21"/>
        </w:rPr>
        <w:t>3.我公司参与本项目政府采购活动时不存在被有关部门禁止参与政府采购活动且在有效期内的情况。</w:t>
      </w:r>
    </w:p>
    <w:p w14:paraId="7CBBA6EA">
      <w:pPr>
        <w:spacing w:line="360" w:lineRule="auto"/>
        <w:ind w:firstLine="420" w:firstLineChars="200"/>
        <w:rPr>
          <w:rFonts w:asciiTheme="minorEastAsia" w:hAnsiTheme="minorEastAsia"/>
          <w:szCs w:val="21"/>
        </w:rPr>
      </w:pPr>
      <w:r>
        <w:rPr>
          <w:rFonts w:hint="eastAsia" w:asciiTheme="minorEastAsia" w:hAnsiTheme="minorEastAsia"/>
          <w:szCs w:val="21"/>
        </w:rPr>
        <w:t>4.我公司具备《中华人民共和国政府采购法》第二十二条第一款规定的资质。</w:t>
      </w:r>
    </w:p>
    <w:p w14:paraId="2B344CD8">
      <w:pPr>
        <w:spacing w:line="360" w:lineRule="auto"/>
        <w:ind w:firstLine="420" w:firstLineChars="200"/>
        <w:rPr>
          <w:rFonts w:asciiTheme="minorEastAsia" w:hAnsiTheme="minorEastAsia"/>
          <w:szCs w:val="21"/>
        </w:rPr>
      </w:pPr>
      <w:r>
        <w:rPr>
          <w:rFonts w:hint="eastAsia" w:asciiTheme="minorEastAsia" w:hAnsiTheme="minorEastAsia"/>
          <w:szCs w:val="21"/>
        </w:rPr>
        <w:t>5.我公司与其他投标供应商不存在单位负责人为同一人或者存在直接控股、管理关系，未对本次采购项目提供整体设计、规范编制或者项目管理、监理、检测等服务。</w:t>
      </w:r>
    </w:p>
    <w:p w14:paraId="565F5A7E">
      <w:pPr>
        <w:spacing w:line="360" w:lineRule="auto"/>
        <w:ind w:firstLine="420" w:firstLineChars="200"/>
        <w:rPr>
          <w:rFonts w:asciiTheme="minorEastAsia" w:hAnsiTheme="minorEastAsia"/>
          <w:szCs w:val="21"/>
        </w:rPr>
      </w:pPr>
      <w:r>
        <w:rPr>
          <w:rFonts w:hint="eastAsia" w:asciiTheme="minorEastAsia" w:hAnsiTheme="minorEastAsia"/>
          <w:szCs w:val="21"/>
        </w:rPr>
        <w:t>6.我公司未被列入失信被执行人、重大税收违法案件当事人名单、政府采购严重违法失信行为记录名单。</w:t>
      </w:r>
    </w:p>
    <w:p w14:paraId="7B6701D2">
      <w:pPr>
        <w:spacing w:line="360" w:lineRule="auto"/>
        <w:ind w:firstLine="420" w:firstLineChars="200"/>
        <w:rPr>
          <w:rFonts w:asciiTheme="minorEastAsia" w:hAnsiTheme="minorEastAsia"/>
          <w:szCs w:val="21"/>
        </w:rPr>
      </w:pPr>
      <w:r>
        <w:rPr>
          <w:rFonts w:hint="eastAsia" w:asciiTheme="minorEastAsia" w:hAnsiTheme="minorEastAsia"/>
          <w:szCs w:val="21"/>
        </w:rPr>
        <w:t>7.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28200A0F">
      <w:pPr>
        <w:spacing w:line="360" w:lineRule="auto"/>
        <w:ind w:firstLine="420" w:firstLineChars="200"/>
        <w:rPr>
          <w:rFonts w:asciiTheme="minorEastAsia" w:hAnsiTheme="minorEastAsia"/>
          <w:szCs w:val="21"/>
        </w:rPr>
      </w:pPr>
      <w:r>
        <w:rPr>
          <w:rFonts w:hint="eastAsia" w:asciiTheme="minorEastAsia" w:hAnsiTheme="minorEastAsia"/>
          <w:szCs w:val="21"/>
        </w:rPr>
        <w:t>8.我公司如果中标，做到守信，不偷工减料，依照本项目招标文件需求内容、签署的采购合同及本公司在投标中所作的一切承诺履约。项目验收达到全部指标合格，力争优良。</w:t>
      </w:r>
    </w:p>
    <w:p w14:paraId="18CBD689">
      <w:pPr>
        <w:spacing w:line="360" w:lineRule="auto"/>
        <w:ind w:firstLine="420" w:firstLineChars="200"/>
        <w:rPr>
          <w:rFonts w:asciiTheme="minorEastAsia" w:hAnsiTheme="minorEastAsia"/>
          <w:szCs w:val="21"/>
        </w:rPr>
      </w:pPr>
      <w:r>
        <w:rPr>
          <w:rFonts w:hint="eastAsia" w:asciiTheme="minorEastAsia" w:hAnsiTheme="minorEastAsia"/>
          <w:szCs w:val="21"/>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投标保证金将不被退还，且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6666DA4D">
      <w:pPr>
        <w:spacing w:line="360" w:lineRule="auto"/>
        <w:ind w:firstLine="420" w:firstLineChars="200"/>
        <w:rPr>
          <w:rFonts w:asciiTheme="minorEastAsia" w:hAnsiTheme="minorEastAsia"/>
          <w:szCs w:val="21"/>
        </w:rPr>
      </w:pPr>
      <w:r>
        <w:rPr>
          <w:rFonts w:hint="eastAsia" w:asciiTheme="minorEastAsia" w:hAnsiTheme="minorEastAsia"/>
          <w:szCs w:val="21"/>
        </w:rPr>
        <w:t>10.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2F3DE775">
      <w:pPr>
        <w:spacing w:line="360" w:lineRule="auto"/>
        <w:ind w:firstLine="420" w:firstLineChars="200"/>
        <w:rPr>
          <w:rFonts w:asciiTheme="minorEastAsia" w:hAnsiTheme="minorEastAsia"/>
          <w:szCs w:val="21"/>
        </w:rPr>
      </w:pPr>
      <w:r>
        <w:rPr>
          <w:rFonts w:hint="eastAsia" w:asciiTheme="minorEastAsia" w:hAnsiTheme="minorEastAsia"/>
          <w:szCs w:val="21"/>
        </w:rPr>
        <w:t>11.我公司承诺本项目非联合体投标，不非法转包、分包。</w:t>
      </w:r>
    </w:p>
    <w:p w14:paraId="491C952D">
      <w:pPr>
        <w:spacing w:line="360" w:lineRule="auto"/>
        <w:ind w:firstLine="420" w:firstLineChars="200"/>
        <w:rPr>
          <w:rFonts w:asciiTheme="minorEastAsia" w:hAnsiTheme="minorEastAsia"/>
          <w:szCs w:val="21"/>
        </w:rPr>
      </w:pPr>
      <w:r>
        <w:rPr>
          <w:rFonts w:hint="eastAsia" w:asciiTheme="minorEastAsia" w:hAnsiTheme="minorEastAsia"/>
          <w:szCs w:val="21"/>
        </w:rPr>
        <w:t>以上承诺，如有违反，愿依照国家相关法律处理，并承担由此给采购人带来的损失。</w:t>
      </w:r>
    </w:p>
    <w:p w14:paraId="71566430">
      <w:pPr>
        <w:adjustRightInd w:val="0"/>
        <w:snapToGrid w:val="0"/>
        <w:spacing w:line="360" w:lineRule="auto"/>
        <w:ind w:firstLine="422" w:firstLineChars="200"/>
        <w:rPr>
          <w:rFonts w:asciiTheme="minorEastAsia" w:hAnsiTheme="minorEastAsia"/>
          <w:b/>
          <w:snapToGrid w:val="0"/>
          <w:kern w:val="0"/>
          <w:szCs w:val="21"/>
        </w:rPr>
      </w:pPr>
    </w:p>
    <w:p w14:paraId="7E68EBD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14A6B60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33AF6D03">
      <w:pPr>
        <w:spacing w:line="360" w:lineRule="auto"/>
        <w:ind w:firstLine="420" w:firstLineChars="200"/>
        <w:rPr>
          <w:rFonts w:asciiTheme="minorEastAsia" w:hAnsiTheme="minorEastAsia"/>
          <w:color w:val="000000"/>
          <w:szCs w:val="21"/>
        </w:rPr>
        <w:sectPr>
          <w:pgSz w:w="11906" w:h="16838"/>
          <w:pgMar w:top="1440" w:right="1080" w:bottom="1440" w:left="1080" w:header="851" w:footer="992" w:gutter="0"/>
          <w:cols w:space="720" w:num="1"/>
          <w:titlePg/>
          <w:docGrid w:type="lines" w:linePitch="312" w:charSpace="0"/>
        </w:sectPr>
      </w:pPr>
      <w:r>
        <w:rPr>
          <w:rFonts w:hint="eastAsia" w:asciiTheme="minorEastAsia" w:hAnsiTheme="minorEastAsia"/>
          <w:color w:val="000000"/>
          <w:szCs w:val="21"/>
        </w:rPr>
        <w:t>日期：</w:t>
      </w:r>
    </w:p>
    <w:p w14:paraId="79C8A6A6">
      <w:pPr>
        <w:spacing w:line="360" w:lineRule="auto"/>
        <w:ind w:firstLine="420" w:firstLineChars="200"/>
        <w:rPr>
          <w:rFonts w:asciiTheme="minorEastAsia" w:hAnsiTheme="minorEastAsia"/>
          <w:szCs w:val="21"/>
        </w:rPr>
      </w:pPr>
      <w:r>
        <w:rPr>
          <w:rFonts w:hint="eastAsia" w:asciiTheme="minorEastAsia" w:hAnsiTheme="minorEastAsia"/>
          <w:szCs w:val="21"/>
        </w:rPr>
        <w:t>附件3：诚信承诺函格式</w:t>
      </w:r>
      <w:bookmarkEnd w:id="154"/>
    </w:p>
    <w:p w14:paraId="23388305">
      <w:pPr>
        <w:keepNext/>
        <w:keepLines/>
        <w:spacing w:before="160" w:after="170"/>
        <w:ind w:firstLine="602" w:firstLineChars="200"/>
        <w:jc w:val="center"/>
        <w:outlineLvl w:val="4"/>
        <w:rPr>
          <w:b/>
          <w:bCs/>
          <w:snapToGrid w:val="0"/>
          <w:sz w:val="30"/>
          <w:szCs w:val="28"/>
        </w:rPr>
      </w:pPr>
      <w:bookmarkStart w:id="155" w:name="_Toc55548540"/>
      <w:r>
        <w:rPr>
          <w:rFonts w:hint="eastAsia"/>
          <w:b/>
          <w:bCs/>
          <w:snapToGrid w:val="0"/>
          <w:sz w:val="30"/>
          <w:szCs w:val="28"/>
        </w:rPr>
        <w:t>诚信承诺函</w:t>
      </w:r>
      <w:bookmarkEnd w:id="155"/>
    </w:p>
    <w:p w14:paraId="5933E274">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深圳市宝安区疾病预防控制中心</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lang w:val="en-US" w:eastAsia="zh-CN"/>
        </w:rPr>
        <w:t>深圳市宝安区卫生监督所</w:t>
      </w:r>
      <w:r>
        <w:rPr>
          <w:rFonts w:hint="eastAsia" w:cs="Courier New" w:asciiTheme="minorEastAsia" w:hAnsiTheme="minorEastAsia"/>
          <w:snapToGrid w:val="0"/>
          <w:szCs w:val="21"/>
          <w:lang w:eastAsia="zh-CN"/>
        </w:rPr>
        <w:t>）</w:t>
      </w:r>
      <w:r>
        <w:rPr>
          <w:rFonts w:hint="eastAsia" w:cs="Courier New" w:asciiTheme="minorEastAsia" w:hAnsiTheme="minorEastAsia"/>
          <w:snapToGrid w:val="0"/>
          <w:szCs w:val="21"/>
        </w:rPr>
        <w:t>：</w:t>
      </w:r>
    </w:p>
    <w:p w14:paraId="64BA6E05">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根据《深圳市政府采购供应商诚信管理暂行办法》相关规定，在参与政府采购活动中不存在出现诚信相关问题且在相关主管部门处理措施实施期限内，如若投标文件与事实情况不符，我司自愿承担“隐瞒真实情况，提供虚假资料”以及其他一切不利的法律后果。</w:t>
      </w:r>
    </w:p>
    <w:p w14:paraId="397DBD6A">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我公司承诺，在参加政府采购活动中没有出现下列行为之一：</w:t>
      </w:r>
    </w:p>
    <w:p w14:paraId="083043B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（一）投标截止后，无正当理由撤销其投标行为，导致项目无法正常开评标的；</w:t>
      </w:r>
    </w:p>
    <w:p w14:paraId="4054C1D6">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（二）未按《采购条例》规定签订、履行采购合同，严重影响采购人日常工作的；</w:t>
      </w:r>
    </w:p>
    <w:p w14:paraId="336E7692">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（三）在投标文件中未说明且未经采购人同意，将中标项目分包给他人，情节严重的；</w:t>
      </w:r>
    </w:p>
    <w:p w14:paraId="687A75A1">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（四）严重违反合同约定，擅自降低货物质量等次和售后服务，货物、工程或者服务存在严重质量问题的；</w:t>
      </w:r>
    </w:p>
    <w:p w14:paraId="1AC11D13">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（五）严重违反合同约定，未能完成全部货物、服务或工程项目，中途停止配送或者变相增加费用的；</w:t>
      </w:r>
    </w:p>
    <w:p w14:paraId="5626214D">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（六）捏造事实、提供虚假材料进行质疑的；</w:t>
      </w:r>
    </w:p>
    <w:p w14:paraId="421B3728">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（七）假冒他人名义质疑的；</w:t>
      </w:r>
    </w:p>
    <w:p w14:paraId="0E746C2D">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（八）无正当理由拒不配合进行质疑调查的。</w:t>
      </w:r>
    </w:p>
    <w:p w14:paraId="019665A1">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特此承诺。</w:t>
      </w:r>
    </w:p>
    <w:p w14:paraId="5049AE03">
      <w:pPr>
        <w:spacing w:line="360" w:lineRule="auto"/>
        <w:ind w:firstLine="420" w:firstLineChars="200"/>
        <w:rPr>
          <w:rFonts w:asciiTheme="minorEastAsia" w:hAnsiTheme="minorEastAsia"/>
          <w:szCs w:val="21"/>
        </w:rPr>
      </w:pPr>
    </w:p>
    <w:p w14:paraId="09DF85B9">
      <w:pPr>
        <w:spacing w:line="360" w:lineRule="auto"/>
        <w:ind w:firstLine="420" w:firstLineChars="200"/>
        <w:rPr>
          <w:rFonts w:asciiTheme="minorEastAsia" w:hAnsiTheme="minorEastAsia"/>
          <w:szCs w:val="21"/>
        </w:rPr>
      </w:pPr>
    </w:p>
    <w:p w14:paraId="465A1B78">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0F39EB24">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F00298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68261C7C">
      <w:pPr>
        <w:spacing w:line="360" w:lineRule="auto"/>
        <w:ind w:firstLine="420" w:firstLineChars="200"/>
        <w:rPr>
          <w:rFonts w:asciiTheme="minorEastAsia" w:hAnsiTheme="minorEastAsia"/>
          <w:szCs w:val="21"/>
        </w:rPr>
      </w:pPr>
    </w:p>
    <w:p w14:paraId="1D6160DE">
      <w:pPr>
        <w:spacing w:line="360" w:lineRule="auto"/>
        <w:ind w:firstLine="422" w:firstLineChars="200"/>
        <w:rPr>
          <w:rFonts w:asciiTheme="minorEastAsia" w:hAnsiTheme="minorEastAsia"/>
          <w:b/>
          <w:szCs w:val="21"/>
        </w:rPr>
      </w:pPr>
    </w:p>
    <w:p w14:paraId="18786E18">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56" w:name="_Toc6706"/>
      <w:r>
        <w:rPr>
          <w:rFonts w:hint="eastAsia" w:asciiTheme="minorEastAsia" w:hAnsiTheme="minorEastAsia"/>
          <w:szCs w:val="21"/>
        </w:rPr>
        <w:t>附件</w:t>
      </w:r>
      <w:r>
        <w:rPr>
          <w:rFonts w:asciiTheme="minorEastAsia" w:hAnsiTheme="minorEastAsia"/>
          <w:szCs w:val="21"/>
        </w:rPr>
        <w:t>4</w:t>
      </w:r>
      <w:r>
        <w:rPr>
          <w:rFonts w:hint="eastAsia" w:asciiTheme="minorEastAsia" w:hAnsiTheme="minorEastAsia"/>
          <w:szCs w:val="21"/>
        </w:rPr>
        <w:t>：开标一览表格式</w:t>
      </w:r>
      <w:bookmarkEnd w:id="156"/>
    </w:p>
    <w:p w14:paraId="1674C976">
      <w:pPr>
        <w:keepNext/>
        <w:keepLines/>
        <w:spacing w:before="160" w:after="170"/>
        <w:ind w:firstLine="602" w:firstLineChars="200"/>
        <w:jc w:val="center"/>
        <w:outlineLvl w:val="4"/>
        <w:rPr>
          <w:b/>
          <w:bCs/>
          <w:sz w:val="30"/>
          <w:szCs w:val="28"/>
        </w:rPr>
      </w:pPr>
      <w:bookmarkStart w:id="157" w:name="_Toc55548541"/>
      <w:r>
        <w:rPr>
          <w:rFonts w:hint="eastAsia"/>
          <w:b/>
          <w:bCs/>
          <w:sz w:val="30"/>
          <w:szCs w:val="28"/>
        </w:rPr>
        <w:t>开标一览表</w:t>
      </w:r>
      <w:bookmarkEnd w:id="157"/>
    </w:p>
    <w:p w14:paraId="039200AE">
      <w:pPr>
        <w:spacing w:line="360" w:lineRule="auto"/>
        <w:ind w:firstLine="420" w:firstLineChars="200"/>
        <w:rPr>
          <w:rFonts w:asciiTheme="minorEastAsia" w:hAnsiTheme="minorEastAsia"/>
          <w:szCs w:val="21"/>
        </w:rPr>
      </w:pPr>
      <w:r>
        <w:rPr>
          <w:rFonts w:hint="eastAsia" w:asciiTheme="minorEastAsia" w:hAnsiTheme="minorEastAsia"/>
          <w:szCs w:val="21"/>
        </w:rPr>
        <w:t>项目名称：</w:t>
      </w:r>
      <w:r>
        <w:rPr>
          <w:rFonts w:hint="eastAsia" w:asciiTheme="minorEastAsia" w:hAnsiTheme="minorEastAsia"/>
          <w:szCs w:val="21"/>
          <w:u w:val="single"/>
        </w:rPr>
        <w:t xml:space="preserve">                          </w:t>
      </w:r>
      <w:r>
        <w:rPr>
          <w:rFonts w:hint="eastAsia" w:asciiTheme="minorEastAsia" w:hAnsiTheme="minorEastAsia"/>
          <w:szCs w:val="21"/>
        </w:rPr>
        <w:t xml:space="preserve"> </w:t>
      </w:r>
    </w:p>
    <w:p w14:paraId="0635EA9D">
      <w:pPr>
        <w:spacing w:line="360" w:lineRule="auto"/>
        <w:ind w:firstLine="420" w:firstLineChars="200"/>
        <w:rPr>
          <w:rFonts w:asciiTheme="minorEastAsia" w:hAnsiTheme="minorEastAsia"/>
          <w:szCs w:val="21"/>
        </w:rPr>
      </w:pPr>
      <w:r>
        <w:rPr>
          <w:rFonts w:hint="eastAsia" w:asciiTheme="minorEastAsia" w:hAnsiTheme="minorEastAsia"/>
          <w:szCs w:val="21"/>
        </w:rPr>
        <w:t>项目编号：</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u w:val="single"/>
        </w:rPr>
        <w:t xml:space="preserve">         </w:t>
      </w:r>
      <w:r>
        <w:rPr>
          <w:rFonts w:hint="eastAsia" w:asciiTheme="minorEastAsia" w:hAnsiTheme="minorEastAsia"/>
          <w:szCs w:val="21"/>
        </w:rPr>
        <w:t xml:space="preserve"> </w:t>
      </w:r>
    </w:p>
    <w:tbl>
      <w:tblPr>
        <w:tblStyle w:val="16"/>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8"/>
        <w:gridCol w:w="2562"/>
        <w:gridCol w:w="2694"/>
        <w:gridCol w:w="1493"/>
      </w:tblGrid>
      <w:tr w14:paraId="3E2A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2888" w:type="dxa"/>
            <w:vAlign w:val="bottom"/>
          </w:tcPr>
          <w:p w14:paraId="31B04699">
            <w:pPr>
              <w:spacing w:line="360" w:lineRule="auto"/>
              <w:ind w:firstLine="420" w:firstLineChars="200"/>
              <w:rPr>
                <w:rFonts w:asciiTheme="minorEastAsia" w:hAnsiTheme="minorEastAsia"/>
                <w:szCs w:val="21"/>
              </w:rPr>
            </w:pPr>
            <w:r>
              <w:rPr>
                <w:rFonts w:hint="eastAsia" w:asciiTheme="minorEastAsia" w:hAnsiTheme="minorEastAsia"/>
                <w:szCs w:val="21"/>
              </w:rPr>
              <w:t>项目名称/包号</w:t>
            </w:r>
          </w:p>
        </w:tc>
        <w:tc>
          <w:tcPr>
            <w:tcW w:w="2562" w:type="dxa"/>
            <w:vAlign w:val="bottom"/>
          </w:tcPr>
          <w:p w14:paraId="0DE726C6">
            <w:pPr>
              <w:spacing w:line="360" w:lineRule="auto"/>
              <w:ind w:firstLine="420" w:firstLineChars="200"/>
              <w:rPr>
                <w:rFonts w:asciiTheme="minorEastAsia" w:hAnsiTheme="minorEastAsia"/>
                <w:szCs w:val="21"/>
              </w:rPr>
            </w:pPr>
            <w:r>
              <w:rPr>
                <w:rFonts w:hint="eastAsia" w:asciiTheme="minorEastAsia" w:hAnsiTheme="minorEastAsia"/>
                <w:szCs w:val="21"/>
              </w:rPr>
              <w:t>投标总价</w:t>
            </w:r>
          </w:p>
          <w:p w14:paraId="48B2BCF5">
            <w:pPr>
              <w:spacing w:line="360" w:lineRule="auto"/>
              <w:ind w:firstLine="420" w:firstLineChars="200"/>
              <w:rPr>
                <w:rFonts w:asciiTheme="minorEastAsia" w:hAnsiTheme="minorEastAsia"/>
                <w:szCs w:val="21"/>
              </w:rPr>
            </w:pPr>
            <w:r>
              <w:rPr>
                <w:rFonts w:hint="eastAsia" w:asciiTheme="minorEastAsia" w:hAnsiTheme="minorEastAsia"/>
                <w:szCs w:val="21"/>
              </w:rPr>
              <w:t>（人民币元）</w:t>
            </w:r>
          </w:p>
        </w:tc>
        <w:tc>
          <w:tcPr>
            <w:tcW w:w="2694" w:type="dxa"/>
            <w:vAlign w:val="bottom"/>
          </w:tcPr>
          <w:p w14:paraId="3A362D0F">
            <w:pPr>
              <w:spacing w:line="360" w:lineRule="auto"/>
              <w:ind w:firstLine="420" w:firstLineChars="200"/>
              <w:rPr>
                <w:rFonts w:asciiTheme="minorEastAsia" w:hAnsiTheme="minorEastAsia"/>
                <w:szCs w:val="21"/>
              </w:rPr>
            </w:pPr>
            <w:r>
              <w:rPr>
                <w:rFonts w:hint="eastAsia" w:asciiTheme="minorEastAsia" w:hAnsiTheme="minorEastAsia"/>
                <w:szCs w:val="21"/>
              </w:rPr>
              <w:t>交货期/服务期</w:t>
            </w:r>
          </w:p>
        </w:tc>
        <w:tc>
          <w:tcPr>
            <w:tcW w:w="1493" w:type="dxa"/>
            <w:vAlign w:val="bottom"/>
          </w:tcPr>
          <w:p w14:paraId="08849F9D">
            <w:pPr>
              <w:spacing w:line="360" w:lineRule="auto"/>
              <w:ind w:firstLine="420" w:firstLineChars="200"/>
              <w:rPr>
                <w:rFonts w:asciiTheme="minorEastAsia" w:hAnsiTheme="minorEastAsia"/>
                <w:szCs w:val="21"/>
              </w:rPr>
            </w:pPr>
            <w:r>
              <w:rPr>
                <w:rFonts w:hint="eastAsia" w:asciiTheme="minorEastAsia" w:hAnsiTheme="minorEastAsia"/>
                <w:szCs w:val="21"/>
              </w:rPr>
              <w:t>备注</w:t>
            </w:r>
          </w:p>
        </w:tc>
      </w:tr>
      <w:tr w14:paraId="5D61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9" w:hRule="atLeast"/>
          <w:jc w:val="center"/>
        </w:trPr>
        <w:tc>
          <w:tcPr>
            <w:tcW w:w="2888" w:type="dxa"/>
          </w:tcPr>
          <w:p w14:paraId="2DE483EE">
            <w:pPr>
              <w:spacing w:line="360" w:lineRule="auto"/>
              <w:ind w:firstLine="420" w:firstLineChars="200"/>
              <w:rPr>
                <w:rFonts w:asciiTheme="minorEastAsia" w:hAnsiTheme="minorEastAsia"/>
                <w:szCs w:val="21"/>
              </w:rPr>
            </w:pPr>
          </w:p>
        </w:tc>
        <w:tc>
          <w:tcPr>
            <w:tcW w:w="2562" w:type="dxa"/>
          </w:tcPr>
          <w:p w14:paraId="4FBCAD33">
            <w:pPr>
              <w:spacing w:line="360" w:lineRule="auto"/>
              <w:ind w:firstLine="420" w:firstLineChars="200"/>
              <w:rPr>
                <w:rFonts w:asciiTheme="minorEastAsia" w:hAnsiTheme="minorEastAsia"/>
                <w:szCs w:val="21"/>
              </w:rPr>
            </w:pPr>
          </w:p>
          <w:p w14:paraId="714C88D4">
            <w:pPr>
              <w:spacing w:line="360" w:lineRule="auto"/>
              <w:ind w:firstLine="420" w:firstLineChars="200"/>
              <w:rPr>
                <w:rFonts w:asciiTheme="minorEastAsia" w:hAnsiTheme="minorEastAsia"/>
                <w:szCs w:val="21"/>
              </w:rPr>
            </w:pPr>
            <w:r>
              <w:rPr>
                <w:rFonts w:hint="eastAsia" w:asciiTheme="minorEastAsia" w:hAnsiTheme="minorEastAsia"/>
                <w:szCs w:val="21"/>
              </w:rPr>
              <w:t>大写：</w:t>
            </w:r>
            <w:r>
              <w:rPr>
                <w:rFonts w:hint="eastAsia" w:asciiTheme="minorEastAsia" w:hAnsiTheme="minorEastAsia"/>
                <w:szCs w:val="21"/>
                <w:u w:val="single"/>
              </w:rPr>
              <w:t xml:space="preserve">        </w:t>
            </w:r>
          </w:p>
          <w:p w14:paraId="6F1565D3">
            <w:pPr>
              <w:spacing w:line="360" w:lineRule="auto"/>
              <w:ind w:firstLine="420" w:firstLineChars="200"/>
              <w:rPr>
                <w:rFonts w:asciiTheme="minorEastAsia" w:hAnsiTheme="minorEastAsia"/>
                <w:szCs w:val="21"/>
              </w:rPr>
            </w:pPr>
            <w:r>
              <w:rPr>
                <w:rFonts w:hint="eastAsia" w:asciiTheme="minorEastAsia" w:hAnsiTheme="minorEastAsia"/>
                <w:szCs w:val="21"/>
              </w:rPr>
              <w:t>小写：</w:t>
            </w:r>
            <w:r>
              <w:rPr>
                <w:rFonts w:hint="eastAsia" w:asciiTheme="minorEastAsia" w:hAnsiTheme="minorEastAsia"/>
                <w:szCs w:val="21"/>
                <w:u w:val="single"/>
              </w:rPr>
              <w:t xml:space="preserve">        </w:t>
            </w:r>
          </w:p>
        </w:tc>
        <w:tc>
          <w:tcPr>
            <w:tcW w:w="2694" w:type="dxa"/>
          </w:tcPr>
          <w:p w14:paraId="47DCA5B8">
            <w:pPr>
              <w:spacing w:line="360" w:lineRule="auto"/>
              <w:ind w:firstLine="420" w:firstLineChars="200"/>
              <w:rPr>
                <w:rFonts w:asciiTheme="minorEastAsia" w:hAnsiTheme="minorEastAsia"/>
                <w:szCs w:val="21"/>
              </w:rPr>
            </w:pPr>
          </w:p>
        </w:tc>
        <w:tc>
          <w:tcPr>
            <w:tcW w:w="1493" w:type="dxa"/>
          </w:tcPr>
          <w:p w14:paraId="3110ED68">
            <w:pPr>
              <w:spacing w:line="360" w:lineRule="auto"/>
              <w:ind w:firstLine="420" w:firstLineChars="200"/>
              <w:rPr>
                <w:rFonts w:asciiTheme="minorEastAsia" w:hAnsiTheme="minorEastAsia"/>
                <w:szCs w:val="21"/>
              </w:rPr>
            </w:pPr>
          </w:p>
        </w:tc>
      </w:tr>
    </w:tbl>
    <w:p w14:paraId="1610B8B7">
      <w:pPr>
        <w:spacing w:line="360" w:lineRule="auto"/>
        <w:ind w:firstLine="420" w:firstLineChars="200"/>
        <w:rPr>
          <w:rFonts w:asciiTheme="minorEastAsia" w:hAnsiTheme="minorEastAsia"/>
          <w:szCs w:val="21"/>
        </w:rPr>
      </w:pPr>
    </w:p>
    <w:p w14:paraId="77F2B810">
      <w:pPr>
        <w:spacing w:line="360" w:lineRule="auto"/>
        <w:ind w:firstLine="420" w:firstLineChars="200"/>
        <w:rPr>
          <w:rFonts w:asciiTheme="minorEastAsia" w:hAnsiTheme="minorEastAsia"/>
          <w:szCs w:val="21"/>
        </w:rPr>
      </w:pPr>
    </w:p>
    <w:p w14:paraId="4DC63C29">
      <w:pPr>
        <w:spacing w:line="360" w:lineRule="auto"/>
        <w:ind w:firstLine="420" w:firstLineChars="200"/>
        <w:rPr>
          <w:rFonts w:asciiTheme="minorEastAsia" w:hAnsiTheme="minorEastAsia"/>
          <w:szCs w:val="21"/>
        </w:rPr>
      </w:pPr>
      <w:r>
        <w:rPr>
          <w:rFonts w:hint="eastAsia" w:asciiTheme="minorEastAsia" w:hAnsiTheme="minorEastAsia"/>
          <w:szCs w:val="21"/>
        </w:rPr>
        <w:t>投标供应商：</w:t>
      </w:r>
    </w:p>
    <w:p w14:paraId="4F1605A8">
      <w:pPr>
        <w:spacing w:line="360" w:lineRule="auto"/>
        <w:ind w:firstLine="420" w:firstLineChars="200"/>
        <w:rPr>
          <w:rFonts w:asciiTheme="minorEastAsia" w:hAnsiTheme="minorEastAsia"/>
          <w:szCs w:val="21"/>
        </w:rPr>
      </w:pPr>
      <w:r>
        <w:rPr>
          <w:rFonts w:hint="eastAsia" w:asciiTheme="minorEastAsia" w:hAnsiTheme="minorEastAsia"/>
          <w:szCs w:val="21"/>
        </w:rPr>
        <w:t>法人</w:t>
      </w:r>
      <w:r>
        <w:rPr>
          <w:rFonts w:asciiTheme="minorEastAsia" w:hAnsiTheme="minorEastAsia"/>
          <w:szCs w:val="21"/>
        </w:rPr>
        <w:t>或</w:t>
      </w:r>
      <w:r>
        <w:rPr>
          <w:rFonts w:hint="eastAsia" w:asciiTheme="minorEastAsia" w:hAnsiTheme="minorEastAsia"/>
          <w:szCs w:val="21"/>
        </w:rPr>
        <w:t>授权</w:t>
      </w:r>
      <w:r>
        <w:rPr>
          <w:rFonts w:asciiTheme="minorEastAsia" w:hAnsiTheme="minorEastAsia"/>
          <w:szCs w:val="21"/>
        </w:rPr>
        <w:t>代表：</w:t>
      </w:r>
    </w:p>
    <w:p w14:paraId="64870AB0">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asciiTheme="minorEastAsia" w:hAnsiTheme="minorEastAsia"/>
          <w:szCs w:val="21"/>
        </w:rPr>
        <w:t>：</w:t>
      </w:r>
    </w:p>
    <w:p w14:paraId="5D12C37D">
      <w:pPr>
        <w:spacing w:line="360" w:lineRule="auto"/>
        <w:ind w:firstLine="420" w:firstLineChars="200"/>
        <w:rPr>
          <w:rFonts w:asciiTheme="minorEastAsia" w:hAnsiTheme="minorEastAsia"/>
          <w:szCs w:val="21"/>
        </w:rPr>
      </w:pPr>
    </w:p>
    <w:p w14:paraId="4F48CA20">
      <w:pPr>
        <w:spacing w:line="360" w:lineRule="auto"/>
        <w:ind w:firstLine="420" w:firstLineChars="200"/>
        <w:rPr>
          <w:rFonts w:asciiTheme="minorEastAsia" w:hAnsiTheme="minorEastAsia"/>
          <w:szCs w:val="21"/>
        </w:rPr>
      </w:pPr>
    </w:p>
    <w:p w14:paraId="491BF9B6">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07DDA410">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、本招标文件中所称“交货期/服务期”指所有货物运抵现场安装调试完毕后交付用户验收和</w:t>
      </w:r>
      <w:r>
        <w:rPr>
          <w:rFonts w:asciiTheme="minorEastAsia" w:hAnsiTheme="minorEastAsia"/>
          <w:szCs w:val="21"/>
        </w:rPr>
        <w:t>服务过程</w:t>
      </w:r>
      <w:r>
        <w:rPr>
          <w:rFonts w:hint="eastAsia" w:asciiTheme="minorEastAsia" w:hAnsiTheme="minorEastAsia"/>
          <w:szCs w:val="21"/>
        </w:rPr>
        <w:t>的日期。</w:t>
      </w:r>
    </w:p>
    <w:p w14:paraId="6F053CDC">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、依据《评标委员会和评标方法暂行规定》第25条规定，“投标文件载明的招标项目完成期限超过招标文件规定的期限”的（即交货期或完工期超过招标文件要求期限），投标文件将作投标无效处理。</w:t>
      </w:r>
    </w:p>
    <w:p w14:paraId="02444238">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58" w:name="_Toc16795"/>
      <w:r>
        <w:rPr>
          <w:rFonts w:hint="eastAsia" w:asciiTheme="minorEastAsia" w:hAnsiTheme="minorEastAsia"/>
          <w:szCs w:val="21"/>
        </w:rPr>
        <w:t>附件</w:t>
      </w:r>
      <w:r>
        <w:rPr>
          <w:rFonts w:asciiTheme="minorEastAsia" w:hAnsiTheme="minorEastAsia"/>
          <w:szCs w:val="21"/>
        </w:rPr>
        <w:t>5</w:t>
      </w:r>
      <w:r>
        <w:rPr>
          <w:rFonts w:hint="eastAsia" w:asciiTheme="minorEastAsia" w:hAnsiTheme="minorEastAsia"/>
          <w:szCs w:val="21"/>
        </w:rPr>
        <w:t>：分项报价清单格式</w:t>
      </w:r>
      <w:bookmarkEnd w:id="158"/>
    </w:p>
    <w:p w14:paraId="7E78EEA7">
      <w:pPr>
        <w:keepNext/>
        <w:keepLines/>
        <w:spacing w:before="160" w:after="170"/>
        <w:ind w:firstLine="602" w:firstLineChars="200"/>
        <w:jc w:val="center"/>
        <w:outlineLvl w:val="4"/>
        <w:rPr>
          <w:b/>
          <w:bCs/>
          <w:sz w:val="30"/>
          <w:szCs w:val="28"/>
        </w:rPr>
      </w:pPr>
      <w:bookmarkStart w:id="159" w:name="_Toc55548542"/>
      <w:r>
        <w:rPr>
          <w:rFonts w:hint="eastAsia"/>
          <w:b/>
          <w:bCs/>
          <w:sz w:val="30"/>
          <w:szCs w:val="28"/>
        </w:rPr>
        <w:t>分项报价清单</w:t>
      </w:r>
      <w:bookmarkEnd w:id="159"/>
    </w:p>
    <w:tbl>
      <w:tblPr>
        <w:tblStyle w:val="16"/>
        <w:tblW w:w="9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902"/>
        <w:gridCol w:w="2357"/>
        <w:gridCol w:w="3148"/>
      </w:tblGrid>
      <w:tr w14:paraId="7378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417" w:type="dxa"/>
            <w:vAlign w:val="center"/>
          </w:tcPr>
          <w:p w14:paraId="0B9017B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序号</w:t>
            </w:r>
          </w:p>
        </w:tc>
        <w:tc>
          <w:tcPr>
            <w:tcW w:w="2902" w:type="dxa"/>
            <w:vAlign w:val="center"/>
          </w:tcPr>
          <w:p w14:paraId="6165360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服务项目或设备名称</w:t>
            </w:r>
          </w:p>
        </w:tc>
        <w:tc>
          <w:tcPr>
            <w:tcW w:w="2357" w:type="dxa"/>
            <w:vAlign w:val="center"/>
          </w:tcPr>
          <w:p w14:paraId="2DE22FC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总价</w:t>
            </w:r>
          </w:p>
        </w:tc>
        <w:tc>
          <w:tcPr>
            <w:tcW w:w="3148" w:type="dxa"/>
            <w:vAlign w:val="center"/>
          </w:tcPr>
          <w:p w14:paraId="50AF74D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备注</w:t>
            </w:r>
          </w:p>
        </w:tc>
      </w:tr>
      <w:tr w14:paraId="039C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7EECC36">
            <w:pPr>
              <w:spacing w:line="360" w:lineRule="auto"/>
              <w:ind w:firstLine="420" w:firstLineChars="200"/>
              <w:rPr>
                <w:rFonts w:asciiTheme="minorEastAsia" w:hAnsiTheme="minorEastAsia"/>
                <w:color w:val="000000"/>
                <w:szCs w:val="21"/>
              </w:rPr>
            </w:pPr>
          </w:p>
        </w:tc>
        <w:tc>
          <w:tcPr>
            <w:tcW w:w="2902" w:type="dxa"/>
            <w:vAlign w:val="center"/>
          </w:tcPr>
          <w:p w14:paraId="2F17AEC1">
            <w:pPr>
              <w:spacing w:line="360" w:lineRule="auto"/>
              <w:ind w:firstLine="420" w:firstLineChars="200"/>
              <w:rPr>
                <w:rFonts w:asciiTheme="minorEastAsia" w:hAnsiTheme="minorEastAsia"/>
                <w:color w:val="000000"/>
                <w:szCs w:val="21"/>
              </w:rPr>
            </w:pPr>
          </w:p>
        </w:tc>
        <w:tc>
          <w:tcPr>
            <w:tcW w:w="2357" w:type="dxa"/>
            <w:vAlign w:val="center"/>
          </w:tcPr>
          <w:p w14:paraId="53F0886B">
            <w:pPr>
              <w:spacing w:line="360" w:lineRule="auto"/>
              <w:ind w:firstLine="420" w:firstLineChars="200"/>
              <w:rPr>
                <w:rFonts w:asciiTheme="minorEastAsia" w:hAnsiTheme="minorEastAsia"/>
                <w:color w:val="000000"/>
                <w:szCs w:val="21"/>
              </w:rPr>
            </w:pPr>
          </w:p>
        </w:tc>
        <w:tc>
          <w:tcPr>
            <w:tcW w:w="3148" w:type="dxa"/>
            <w:vAlign w:val="center"/>
          </w:tcPr>
          <w:p w14:paraId="038FA1F9">
            <w:pPr>
              <w:spacing w:line="360" w:lineRule="auto"/>
              <w:ind w:firstLine="420" w:firstLineChars="200"/>
              <w:rPr>
                <w:rFonts w:asciiTheme="minorEastAsia" w:hAnsiTheme="minorEastAsia"/>
                <w:color w:val="000000"/>
                <w:szCs w:val="21"/>
              </w:rPr>
            </w:pPr>
          </w:p>
        </w:tc>
      </w:tr>
      <w:tr w14:paraId="784D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1B1897EB">
            <w:pPr>
              <w:spacing w:line="360" w:lineRule="auto"/>
              <w:ind w:firstLine="420" w:firstLineChars="200"/>
              <w:rPr>
                <w:rFonts w:asciiTheme="minorEastAsia" w:hAnsiTheme="minorEastAsia"/>
                <w:color w:val="000000"/>
                <w:szCs w:val="21"/>
              </w:rPr>
            </w:pPr>
          </w:p>
        </w:tc>
        <w:tc>
          <w:tcPr>
            <w:tcW w:w="2902" w:type="dxa"/>
            <w:vAlign w:val="center"/>
          </w:tcPr>
          <w:p w14:paraId="7DC3FCE9">
            <w:pPr>
              <w:spacing w:line="360" w:lineRule="auto"/>
              <w:ind w:firstLine="420" w:firstLineChars="200"/>
              <w:rPr>
                <w:rFonts w:asciiTheme="minorEastAsia" w:hAnsiTheme="minorEastAsia"/>
                <w:color w:val="000000"/>
                <w:szCs w:val="21"/>
              </w:rPr>
            </w:pPr>
          </w:p>
        </w:tc>
        <w:tc>
          <w:tcPr>
            <w:tcW w:w="2357" w:type="dxa"/>
            <w:vAlign w:val="center"/>
          </w:tcPr>
          <w:p w14:paraId="204AA51D">
            <w:pPr>
              <w:spacing w:line="360" w:lineRule="auto"/>
              <w:ind w:firstLine="420" w:firstLineChars="200"/>
              <w:rPr>
                <w:rFonts w:asciiTheme="minorEastAsia" w:hAnsiTheme="minorEastAsia"/>
                <w:color w:val="000000"/>
                <w:szCs w:val="21"/>
              </w:rPr>
            </w:pPr>
          </w:p>
        </w:tc>
        <w:tc>
          <w:tcPr>
            <w:tcW w:w="3148" w:type="dxa"/>
            <w:vAlign w:val="center"/>
          </w:tcPr>
          <w:p w14:paraId="14C9672F">
            <w:pPr>
              <w:spacing w:line="360" w:lineRule="auto"/>
              <w:ind w:firstLine="420" w:firstLineChars="200"/>
              <w:rPr>
                <w:rFonts w:asciiTheme="minorEastAsia" w:hAnsiTheme="minorEastAsia"/>
                <w:color w:val="000000"/>
                <w:szCs w:val="21"/>
              </w:rPr>
            </w:pPr>
          </w:p>
        </w:tc>
      </w:tr>
      <w:tr w14:paraId="1C9E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AD3B3C9">
            <w:pPr>
              <w:spacing w:line="360" w:lineRule="auto"/>
              <w:ind w:firstLine="420" w:firstLineChars="200"/>
              <w:rPr>
                <w:rFonts w:asciiTheme="minorEastAsia" w:hAnsiTheme="minorEastAsia"/>
                <w:color w:val="000000"/>
                <w:szCs w:val="21"/>
              </w:rPr>
            </w:pPr>
          </w:p>
        </w:tc>
        <w:tc>
          <w:tcPr>
            <w:tcW w:w="2902" w:type="dxa"/>
            <w:vAlign w:val="center"/>
          </w:tcPr>
          <w:p w14:paraId="3EEF998C">
            <w:pPr>
              <w:spacing w:line="360" w:lineRule="auto"/>
              <w:ind w:firstLine="420" w:firstLineChars="200"/>
              <w:rPr>
                <w:rFonts w:asciiTheme="minorEastAsia" w:hAnsiTheme="minorEastAsia"/>
                <w:color w:val="000000"/>
                <w:szCs w:val="21"/>
              </w:rPr>
            </w:pPr>
          </w:p>
        </w:tc>
        <w:tc>
          <w:tcPr>
            <w:tcW w:w="2357" w:type="dxa"/>
            <w:vAlign w:val="center"/>
          </w:tcPr>
          <w:p w14:paraId="41804381">
            <w:pPr>
              <w:spacing w:line="360" w:lineRule="auto"/>
              <w:ind w:firstLine="420" w:firstLineChars="200"/>
              <w:rPr>
                <w:rFonts w:asciiTheme="minorEastAsia" w:hAnsiTheme="minorEastAsia"/>
                <w:color w:val="000000"/>
                <w:szCs w:val="21"/>
              </w:rPr>
            </w:pPr>
          </w:p>
        </w:tc>
        <w:tc>
          <w:tcPr>
            <w:tcW w:w="3148" w:type="dxa"/>
            <w:vAlign w:val="center"/>
          </w:tcPr>
          <w:p w14:paraId="0E177EC1">
            <w:pPr>
              <w:spacing w:line="360" w:lineRule="auto"/>
              <w:ind w:firstLine="420" w:firstLineChars="200"/>
              <w:rPr>
                <w:rFonts w:asciiTheme="minorEastAsia" w:hAnsiTheme="minorEastAsia"/>
                <w:color w:val="000000"/>
                <w:szCs w:val="21"/>
              </w:rPr>
            </w:pPr>
          </w:p>
        </w:tc>
      </w:tr>
      <w:tr w14:paraId="55B4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6666CAC2">
            <w:pPr>
              <w:spacing w:line="360" w:lineRule="auto"/>
              <w:ind w:firstLine="420" w:firstLineChars="200"/>
              <w:rPr>
                <w:rFonts w:asciiTheme="minorEastAsia" w:hAnsiTheme="minorEastAsia"/>
                <w:color w:val="000000"/>
                <w:szCs w:val="21"/>
              </w:rPr>
            </w:pPr>
          </w:p>
        </w:tc>
        <w:tc>
          <w:tcPr>
            <w:tcW w:w="2902" w:type="dxa"/>
            <w:vAlign w:val="center"/>
          </w:tcPr>
          <w:p w14:paraId="0BBD1A4B">
            <w:pPr>
              <w:spacing w:line="360" w:lineRule="auto"/>
              <w:ind w:firstLine="420" w:firstLineChars="200"/>
              <w:rPr>
                <w:rFonts w:asciiTheme="minorEastAsia" w:hAnsiTheme="minorEastAsia"/>
                <w:color w:val="000000"/>
                <w:szCs w:val="21"/>
              </w:rPr>
            </w:pPr>
          </w:p>
        </w:tc>
        <w:tc>
          <w:tcPr>
            <w:tcW w:w="2357" w:type="dxa"/>
            <w:vAlign w:val="center"/>
          </w:tcPr>
          <w:p w14:paraId="1D4703FE">
            <w:pPr>
              <w:spacing w:line="360" w:lineRule="auto"/>
              <w:ind w:firstLine="420" w:firstLineChars="200"/>
              <w:rPr>
                <w:rFonts w:asciiTheme="minorEastAsia" w:hAnsiTheme="minorEastAsia"/>
                <w:color w:val="000000"/>
                <w:szCs w:val="21"/>
              </w:rPr>
            </w:pPr>
          </w:p>
        </w:tc>
        <w:tc>
          <w:tcPr>
            <w:tcW w:w="3148" w:type="dxa"/>
            <w:vAlign w:val="center"/>
          </w:tcPr>
          <w:p w14:paraId="185FB101">
            <w:pPr>
              <w:spacing w:line="360" w:lineRule="auto"/>
              <w:ind w:firstLine="420" w:firstLineChars="200"/>
              <w:rPr>
                <w:rFonts w:asciiTheme="minorEastAsia" w:hAnsiTheme="minorEastAsia"/>
                <w:color w:val="000000"/>
                <w:szCs w:val="21"/>
              </w:rPr>
            </w:pPr>
          </w:p>
        </w:tc>
      </w:tr>
      <w:tr w14:paraId="01B3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771B45CF">
            <w:pPr>
              <w:spacing w:line="360" w:lineRule="auto"/>
              <w:ind w:firstLine="420" w:firstLineChars="200"/>
              <w:rPr>
                <w:rFonts w:asciiTheme="minorEastAsia" w:hAnsiTheme="minorEastAsia"/>
                <w:color w:val="000000"/>
                <w:szCs w:val="21"/>
              </w:rPr>
            </w:pPr>
          </w:p>
        </w:tc>
        <w:tc>
          <w:tcPr>
            <w:tcW w:w="2902" w:type="dxa"/>
            <w:vAlign w:val="center"/>
          </w:tcPr>
          <w:p w14:paraId="5119BF7E">
            <w:pPr>
              <w:spacing w:line="360" w:lineRule="auto"/>
              <w:ind w:firstLine="420" w:firstLineChars="200"/>
              <w:rPr>
                <w:rFonts w:asciiTheme="minorEastAsia" w:hAnsiTheme="minorEastAsia"/>
                <w:color w:val="000000"/>
                <w:szCs w:val="21"/>
              </w:rPr>
            </w:pPr>
          </w:p>
        </w:tc>
        <w:tc>
          <w:tcPr>
            <w:tcW w:w="2357" w:type="dxa"/>
            <w:vAlign w:val="center"/>
          </w:tcPr>
          <w:p w14:paraId="68B31413">
            <w:pPr>
              <w:spacing w:line="360" w:lineRule="auto"/>
              <w:ind w:firstLine="420" w:firstLineChars="200"/>
              <w:rPr>
                <w:rFonts w:asciiTheme="minorEastAsia" w:hAnsiTheme="minorEastAsia"/>
                <w:color w:val="000000"/>
                <w:szCs w:val="21"/>
              </w:rPr>
            </w:pPr>
          </w:p>
        </w:tc>
        <w:tc>
          <w:tcPr>
            <w:tcW w:w="3148" w:type="dxa"/>
            <w:vAlign w:val="center"/>
          </w:tcPr>
          <w:p w14:paraId="4D8689C6">
            <w:pPr>
              <w:spacing w:line="360" w:lineRule="auto"/>
              <w:ind w:firstLine="420" w:firstLineChars="200"/>
              <w:rPr>
                <w:rFonts w:asciiTheme="minorEastAsia" w:hAnsiTheme="minorEastAsia"/>
                <w:color w:val="000000"/>
                <w:szCs w:val="21"/>
              </w:rPr>
            </w:pPr>
          </w:p>
        </w:tc>
      </w:tr>
      <w:tr w14:paraId="26B6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6FDBBD0B">
            <w:pPr>
              <w:spacing w:line="360" w:lineRule="auto"/>
              <w:ind w:firstLine="420" w:firstLineChars="200"/>
              <w:rPr>
                <w:rFonts w:asciiTheme="minorEastAsia" w:hAnsiTheme="minorEastAsia"/>
                <w:color w:val="000000"/>
                <w:szCs w:val="21"/>
              </w:rPr>
            </w:pPr>
          </w:p>
        </w:tc>
        <w:tc>
          <w:tcPr>
            <w:tcW w:w="2902" w:type="dxa"/>
            <w:vAlign w:val="center"/>
          </w:tcPr>
          <w:p w14:paraId="646A061F">
            <w:pPr>
              <w:spacing w:line="360" w:lineRule="auto"/>
              <w:ind w:firstLine="420" w:firstLineChars="200"/>
              <w:rPr>
                <w:rFonts w:asciiTheme="minorEastAsia" w:hAnsiTheme="minorEastAsia"/>
                <w:color w:val="000000"/>
                <w:szCs w:val="21"/>
              </w:rPr>
            </w:pPr>
          </w:p>
        </w:tc>
        <w:tc>
          <w:tcPr>
            <w:tcW w:w="2357" w:type="dxa"/>
            <w:vAlign w:val="center"/>
          </w:tcPr>
          <w:p w14:paraId="03D220A0">
            <w:pPr>
              <w:spacing w:line="360" w:lineRule="auto"/>
              <w:ind w:firstLine="420" w:firstLineChars="200"/>
              <w:rPr>
                <w:rFonts w:asciiTheme="minorEastAsia" w:hAnsiTheme="minorEastAsia"/>
                <w:color w:val="000000"/>
                <w:szCs w:val="21"/>
              </w:rPr>
            </w:pPr>
          </w:p>
        </w:tc>
        <w:tc>
          <w:tcPr>
            <w:tcW w:w="3148" w:type="dxa"/>
            <w:vAlign w:val="center"/>
          </w:tcPr>
          <w:p w14:paraId="5F6101BE">
            <w:pPr>
              <w:spacing w:line="360" w:lineRule="auto"/>
              <w:ind w:firstLine="420" w:firstLineChars="200"/>
              <w:rPr>
                <w:rFonts w:asciiTheme="minorEastAsia" w:hAnsiTheme="minorEastAsia"/>
                <w:color w:val="000000"/>
                <w:szCs w:val="21"/>
              </w:rPr>
            </w:pPr>
          </w:p>
        </w:tc>
      </w:tr>
      <w:tr w14:paraId="54D3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19" w:type="dxa"/>
            <w:gridSpan w:val="2"/>
            <w:vAlign w:val="center"/>
          </w:tcPr>
          <w:p w14:paraId="56AC9E5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合计</w:t>
            </w:r>
          </w:p>
        </w:tc>
        <w:tc>
          <w:tcPr>
            <w:tcW w:w="5505" w:type="dxa"/>
            <w:gridSpan w:val="2"/>
            <w:vAlign w:val="center"/>
          </w:tcPr>
          <w:p w14:paraId="2C46E8EA">
            <w:pPr>
              <w:spacing w:line="360" w:lineRule="auto"/>
              <w:ind w:firstLine="420" w:firstLineChars="200"/>
              <w:rPr>
                <w:rFonts w:asciiTheme="minorEastAsia" w:hAnsiTheme="minorEastAsia"/>
                <w:color w:val="000000"/>
                <w:szCs w:val="21"/>
              </w:rPr>
            </w:pPr>
          </w:p>
        </w:tc>
      </w:tr>
    </w:tbl>
    <w:p w14:paraId="132D69F2">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6D91BA6C">
      <w:pPr>
        <w:spacing w:line="360" w:lineRule="auto"/>
        <w:ind w:firstLine="420" w:firstLineChars="200"/>
        <w:rPr>
          <w:rFonts w:asciiTheme="minorEastAsia" w:hAnsiTheme="minorEastAsia"/>
          <w:szCs w:val="21"/>
        </w:rPr>
      </w:pPr>
      <w:r>
        <w:rPr>
          <w:rFonts w:hint="eastAsia" w:asciiTheme="minorEastAsia" w:hAnsiTheme="minorEastAsia"/>
          <w:szCs w:val="21"/>
        </w:rPr>
        <w:t>1、所有价格应按“采购文件”中规定的货币单位填写；</w:t>
      </w:r>
    </w:p>
    <w:p w14:paraId="64F0B8AF">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、投标总价应为以上各分项价格之和；</w:t>
      </w:r>
    </w:p>
    <w:p w14:paraId="03449783">
      <w:pPr>
        <w:spacing w:line="360" w:lineRule="auto"/>
        <w:ind w:firstLine="420" w:firstLineChars="200"/>
        <w:rPr>
          <w:rFonts w:asciiTheme="minorEastAsia" w:hAnsiTheme="minorEastAsia"/>
          <w:szCs w:val="21"/>
        </w:rPr>
      </w:pPr>
      <w:r>
        <w:rPr>
          <w:rFonts w:hint="eastAsia" w:asciiTheme="minorEastAsia" w:hAnsiTheme="minorEastAsia"/>
          <w:szCs w:val="21"/>
          <w:highlight w:val="yellow"/>
        </w:rPr>
        <w:t>3、本表格式仅做参考，</w:t>
      </w:r>
      <w:r>
        <w:rPr>
          <w:rFonts w:asciiTheme="minorEastAsia" w:hAnsiTheme="minorEastAsia"/>
          <w:szCs w:val="21"/>
          <w:highlight w:val="yellow"/>
        </w:rPr>
        <w:t>可根据项目</w:t>
      </w:r>
      <w:r>
        <w:rPr>
          <w:rFonts w:hint="eastAsia" w:asciiTheme="minorEastAsia" w:hAnsiTheme="minorEastAsia"/>
          <w:szCs w:val="21"/>
          <w:highlight w:val="yellow"/>
        </w:rPr>
        <w:t>实际</w:t>
      </w:r>
      <w:r>
        <w:rPr>
          <w:rFonts w:asciiTheme="minorEastAsia" w:hAnsiTheme="minorEastAsia"/>
          <w:szCs w:val="21"/>
          <w:highlight w:val="yellow"/>
        </w:rPr>
        <w:t>内容进行调整</w:t>
      </w:r>
      <w:r>
        <w:rPr>
          <w:rFonts w:hint="eastAsia" w:asciiTheme="minorEastAsia" w:hAnsiTheme="minorEastAsia"/>
          <w:szCs w:val="21"/>
          <w:highlight w:val="yellow"/>
        </w:rPr>
        <w:t>；</w:t>
      </w:r>
    </w:p>
    <w:p w14:paraId="42B252FD">
      <w:pPr>
        <w:spacing w:line="360" w:lineRule="auto"/>
        <w:ind w:firstLine="420" w:firstLineChars="200"/>
        <w:rPr>
          <w:rFonts w:asciiTheme="minorEastAsia" w:hAnsiTheme="minorEastAsia"/>
          <w:szCs w:val="21"/>
        </w:rPr>
      </w:pPr>
      <w:r>
        <w:rPr>
          <w:rFonts w:hint="eastAsia" w:asciiTheme="minorEastAsia" w:hAnsiTheme="minor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0BA00823">
      <w:pPr>
        <w:spacing w:line="360" w:lineRule="auto"/>
        <w:ind w:firstLine="420" w:firstLineChars="200"/>
        <w:rPr>
          <w:rFonts w:asciiTheme="minorEastAsia" w:hAnsiTheme="minorEastAsia"/>
          <w:szCs w:val="21"/>
        </w:rPr>
      </w:pPr>
      <w:r>
        <w:rPr>
          <w:rFonts w:hint="eastAsia" w:asciiTheme="minorEastAsia" w:hAnsiTheme="minorEastAsia"/>
          <w:szCs w:val="21"/>
        </w:rPr>
        <w:t>5、投标总价和项目报价表中单个采购预算条目报价均不得超过对应的财政预算限额，否则将导致投标无效。</w:t>
      </w:r>
    </w:p>
    <w:p w14:paraId="02543142">
      <w:pPr>
        <w:spacing w:line="360" w:lineRule="auto"/>
        <w:ind w:firstLine="420" w:firstLineChars="200"/>
        <w:rPr>
          <w:rFonts w:asciiTheme="minorEastAsia" w:hAnsiTheme="minorEastAsia"/>
          <w:szCs w:val="21"/>
        </w:rPr>
      </w:pPr>
      <w:r>
        <w:rPr>
          <w:rFonts w:hint="eastAsia" w:asciiTheme="minorEastAsia" w:hAnsiTheme="minorEastAsia"/>
          <w:szCs w:val="21"/>
        </w:rPr>
        <w:t>6、开标一览表的投标总价必须与项目报价表的投标总价一致。</w:t>
      </w:r>
    </w:p>
    <w:p w14:paraId="4D5F6CAD">
      <w:pPr>
        <w:spacing w:line="360" w:lineRule="auto"/>
        <w:ind w:firstLine="420" w:firstLineChars="200"/>
        <w:rPr>
          <w:rFonts w:asciiTheme="minorEastAsia" w:hAnsiTheme="minorEastAsia"/>
          <w:szCs w:val="21"/>
        </w:rPr>
      </w:pPr>
      <w:r>
        <w:rPr>
          <w:rFonts w:hint="eastAsia" w:asciiTheme="minorEastAsia" w:hAnsiTheme="minorEastAsia"/>
          <w:szCs w:val="21"/>
        </w:rPr>
        <w:t>7、“原产地”是指该产品的实际生产加工地，而非品牌总公司所在地。</w:t>
      </w:r>
    </w:p>
    <w:p w14:paraId="2356E7AB">
      <w:pPr>
        <w:spacing w:line="360" w:lineRule="auto"/>
        <w:ind w:firstLine="420" w:firstLineChars="200"/>
      </w:pPr>
    </w:p>
    <w:p w14:paraId="0083C7DE">
      <w:pPr>
        <w:spacing w:line="360" w:lineRule="auto"/>
      </w:pPr>
    </w:p>
    <w:p w14:paraId="1215EF91">
      <w:pPr>
        <w:spacing w:line="360" w:lineRule="auto"/>
        <w:ind w:firstLine="420" w:firstLineChars="200"/>
      </w:pPr>
    </w:p>
    <w:p w14:paraId="47FA09E8">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bookmarkStart w:id="160" w:name="_Toc32280"/>
    </w:p>
    <w:p w14:paraId="1C56B4D5">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6</w:t>
      </w:r>
      <w:r>
        <w:rPr>
          <w:rFonts w:hint="eastAsia" w:asciiTheme="minorEastAsia" w:hAnsiTheme="minorEastAsia"/>
          <w:szCs w:val="21"/>
        </w:rPr>
        <w:t>：法定代表人证明书格式</w:t>
      </w:r>
      <w:bookmarkEnd w:id="160"/>
    </w:p>
    <w:p w14:paraId="56917416">
      <w:pPr>
        <w:keepNext/>
        <w:keepLines/>
        <w:spacing w:before="160" w:after="170"/>
        <w:ind w:firstLine="602" w:firstLineChars="200"/>
        <w:jc w:val="center"/>
        <w:outlineLvl w:val="4"/>
        <w:rPr>
          <w:b/>
          <w:bCs/>
          <w:sz w:val="30"/>
          <w:szCs w:val="28"/>
        </w:rPr>
      </w:pPr>
      <w:bookmarkStart w:id="161" w:name="_Toc55548545"/>
      <w:bookmarkStart w:id="162" w:name="_Toc2383"/>
      <w:r>
        <w:rPr>
          <w:rFonts w:hint="eastAsia"/>
          <w:b/>
          <w:bCs/>
          <w:sz w:val="30"/>
          <w:szCs w:val="28"/>
        </w:rPr>
        <w:t>法定代表人证明书</w:t>
      </w:r>
      <w:bookmarkEnd w:id="161"/>
    </w:p>
    <w:p w14:paraId="5018F6AB">
      <w:pPr>
        <w:tabs>
          <w:tab w:val="left" w:pos="900"/>
        </w:tabs>
        <w:spacing w:line="360" w:lineRule="auto"/>
        <w:ind w:firstLine="420" w:firstLineChars="200"/>
        <w:rPr>
          <w:rFonts w:asciiTheme="minorEastAsia" w:hAnsiTheme="minorEastAsia"/>
          <w:szCs w:val="21"/>
        </w:rPr>
      </w:pPr>
      <w:r>
        <w:rPr>
          <w:rFonts w:hint="eastAsia" w:asciiTheme="minorEastAsia" w:hAnsiTheme="minorEastAsia"/>
          <w:szCs w:val="21"/>
        </w:rPr>
        <w:t>______________同志，现任我单位</w:t>
      </w:r>
      <w:r>
        <w:rPr>
          <w:rFonts w:asciiTheme="minorEastAsia" w:hAnsiTheme="minorEastAsia"/>
          <w:szCs w:val="21"/>
          <w:u w:val="single"/>
        </w:rPr>
        <w:t xml:space="preserve">         </w:t>
      </w:r>
      <w:r>
        <w:rPr>
          <w:rFonts w:hint="eastAsia" w:asciiTheme="minorEastAsia" w:hAnsiTheme="minorEastAsia"/>
          <w:szCs w:val="21"/>
        </w:rPr>
        <w:t>职务，为法定代表人，特此证明。</w:t>
      </w:r>
    </w:p>
    <w:p w14:paraId="26B67C70">
      <w:pPr>
        <w:spacing w:line="360" w:lineRule="auto"/>
        <w:ind w:firstLine="420" w:firstLineChars="200"/>
        <w:rPr>
          <w:rFonts w:asciiTheme="minorEastAsia" w:hAnsiTheme="minorEastAsia"/>
          <w:szCs w:val="21"/>
        </w:rPr>
      </w:pPr>
      <w:r>
        <w:rPr>
          <w:rFonts w:hint="eastAsia" w:asciiTheme="minorEastAsia" w:hAnsiTheme="minorEastAsia"/>
          <w:szCs w:val="21"/>
        </w:rPr>
        <w:t>有效日期与本公司投标文件中标注的投标有效期相同。</w:t>
      </w:r>
      <w:r>
        <w:rPr>
          <w:rFonts w:asciiTheme="minorEastAsia" w:hAnsiTheme="minorEastAsia"/>
          <w:szCs w:val="21"/>
        </w:rPr>
        <w:t xml:space="preserve">  </w:t>
      </w:r>
    </w:p>
    <w:p w14:paraId="19892F57">
      <w:pPr>
        <w:spacing w:line="360" w:lineRule="auto"/>
        <w:ind w:firstLine="420" w:firstLineChars="200"/>
        <w:rPr>
          <w:rFonts w:asciiTheme="minorEastAsia" w:hAnsiTheme="minorEastAsia"/>
          <w:szCs w:val="21"/>
        </w:rPr>
      </w:pPr>
      <w:r>
        <w:rPr>
          <w:rFonts w:hint="eastAsia" w:asciiTheme="minorEastAsia" w:hAnsiTheme="minorEastAsia"/>
          <w:szCs w:val="21"/>
        </w:rPr>
        <w:t>签发日期：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asciiTheme="minorEastAsia" w:hAnsiTheme="minorEastAsia"/>
          <w:szCs w:val="21"/>
        </w:rPr>
        <w:t xml:space="preserve">             </w:t>
      </w:r>
    </w:p>
    <w:p w14:paraId="6E8C8D7D">
      <w:pPr>
        <w:spacing w:line="360" w:lineRule="auto"/>
        <w:ind w:firstLine="420" w:firstLineChars="200"/>
        <w:rPr>
          <w:rFonts w:asciiTheme="minorEastAsia" w:hAnsiTheme="minorEastAsia"/>
          <w:szCs w:val="21"/>
        </w:rPr>
      </w:pPr>
      <w:r>
        <w:rPr>
          <w:rFonts w:hint="eastAsia" w:asciiTheme="minorEastAsia" w:hAnsiTheme="minorEastAsia"/>
          <w:szCs w:val="21"/>
        </w:rPr>
        <w:t>附：</w:t>
      </w:r>
    </w:p>
    <w:p w14:paraId="368691D3">
      <w:pPr>
        <w:spacing w:line="360" w:lineRule="auto"/>
        <w:ind w:firstLine="420" w:firstLineChars="200"/>
        <w:rPr>
          <w:rFonts w:asciiTheme="minorEastAsia" w:hAnsiTheme="minorEastAsia"/>
          <w:szCs w:val="21"/>
        </w:rPr>
      </w:pPr>
      <w:r>
        <w:rPr>
          <w:rFonts w:hint="eastAsia" w:asciiTheme="minorEastAsia" w:hAnsiTheme="minorEastAsia"/>
          <w:szCs w:val="21"/>
        </w:rPr>
        <w:t xml:space="preserve">营业执照（注册号）：                       </w:t>
      </w:r>
    </w:p>
    <w:p w14:paraId="53EB0DF8">
      <w:pPr>
        <w:spacing w:line="360" w:lineRule="auto"/>
        <w:ind w:firstLine="420" w:firstLineChars="200"/>
        <w:rPr>
          <w:rFonts w:asciiTheme="minorEastAsia" w:hAnsiTheme="minorEastAsia"/>
          <w:szCs w:val="21"/>
        </w:rPr>
      </w:pPr>
      <w:r>
        <w:rPr>
          <w:rFonts w:hint="eastAsia" w:asciiTheme="minorEastAsia" w:hAnsiTheme="minorEastAsia"/>
          <w:szCs w:val="21"/>
        </w:rPr>
        <w:t>经济性质：</w:t>
      </w:r>
    </w:p>
    <w:p w14:paraId="523A1DF7">
      <w:pPr>
        <w:spacing w:line="360" w:lineRule="auto"/>
        <w:ind w:firstLine="420" w:firstLineChars="200"/>
        <w:rPr>
          <w:rFonts w:asciiTheme="minorEastAsia" w:hAnsiTheme="minorEastAsia"/>
          <w:szCs w:val="21"/>
        </w:rPr>
      </w:pPr>
      <w:r>
        <w:rPr>
          <w:rFonts w:hint="eastAsia" w:asciiTheme="minorEastAsia" w:hAnsiTheme="minorEastAsia"/>
          <w:szCs w:val="21"/>
        </w:rPr>
        <w:t>主营（产）：</w:t>
      </w:r>
    </w:p>
    <w:p w14:paraId="3137ABFD">
      <w:pPr>
        <w:spacing w:line="360" w:lineRule="auto"/>
        <w:ind w:firstLine="420" w:firstLineChars="200"/>
        <w:rPr>
          <w:rFonts w:asciiTheme="minorEastAsia" w:hAnsiTheme="minorEastAsia"/>
          <w:szCs w:val="21"/>
        </w:rPr>
      </w:pPr>
      <w:r>
        <w:rPr>
          <w:rFonts w:hint="eastAsia" w:asciiTheme="minorEastAsia" w:hAnsiTheme="minorEastAsia"/>
          <w:szCs w:val="21"/>
        </w:rPr>
        <w:t>兼营（产）：</w:t>
      </w:r>
    </w:p>
    <w:p w14:paraId="112DC3CF">
      <w:pPr>
        <w:spacing w:line="360" w:lineRule="auto"/>
        <w:ind w:firstLine="420" w:firstLineChars="200"/>
        <w:rPr>
          <w:rFonts w:asciiTheme="minorEastAsia" w:hAnsiTheme="minorEastAsia"/>
          <w:szCs w:val="21"/>
        </w:rPr>
      </w:pPr>
    </w:p>
    <w:p w14:paraId="73B36F96">
      <w:pPr>
        <w:spacing w:line="360" w:lineRule="auto"/>
        <w:ind w:firstLine="420" w:firstLineChars="200"/>
        <w:rPr>
          <w:rFonts w:asciiTheme="minorEastAsia" w:hAnsiTheme="minorEastAsia"/>
          <w:b/>
          <w:bCs/>
          <w:szCs w:val="21"/>
        </w:rPr>
      </w:pPr>
      <w:r>
        <mc:AlternateContent>
          <mc:Choice Requires="wps">
            <w:drawing>
              <wp:anchor distT="0" distB="0" distL="114300" distR="114300" simplePos="0" relativeHeight="251660288" behindDoc="0" locked="0" layoutInCell="1" allowOverlap="1">
                <wp:simplePos x="0" y="0"/>
                <wp:positionH relativeFrom="column">
                  <wp:posOffset>2840355</wp:posOffset>
                </wp:positionH>
                <wp:positionV relativeFrom="paragraph">
                  <wp:posOffset>136525</wp:posOffset>
                </wp:positionV>
                <wp:extent cx="2705100" cy="1981200"/>
                <wp:effectExtent l="4445" t="5080" r="14605" b="13970"/>
                <wp:wrapNone/>
                <wp:docPr id="69" name="矩形 69"/>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wps:spPr>
                      <wps:txbx>
                        <w:txbxContent>
                          <w:p w14:paraId="73ABBC5F">
                            <w:pPr>
                              <w:spacing w:line="360" w:lineRule="auto"/>
                              <w:ind w:firstLine="1680" w:firstLineChars="800"/>
                            </w:pPr>
                          </w:p>
                          <w:p w14:paraId="48A596E3">
                            <w:pPr>
                              <w:spacing w:line="360" w:lineRule="auto"/>
                              <w:ind w:firstLine="1680" w:firstLineChars="800"/>
                            </w:pPr>
                            <w:r>
                              <w:rPr>
                                <w:rFonts w:hint="eastAsia"/>
                              </w:rPr>
                              <w:t>法定代表人</w:t>
                            </w:r>
                          </w:p>
                          <w:p w14:paraId="61B0B585">
                            <w:pPr>
                              <w:spacing w:line="360" w:lineRule="auto"/>
                              <w:ind w:firstLine="1155" w:firstLineChars="550"/>
                            </w:pPr>
                            <w:r>
                              <w:rPr>
                                <w:rFonts w:hint="eastAsia"/>
                              </w:rPr>
                              <w:t>居民身份证复印件粘贴处</w:t>
                            </w:r>
                          </w:p>
                          <w:p w14:paraId="2A491B12">
                            <w:pPr>
                              <w:spacing w:line="360" w:lineRule="auto"/>
                              <w:ind w:firstLine="1785" w:firstLineChars="850"/>
                            </w:pPr>
                            <w:r>
                              <w:rPr>
                                <w:rFonts w:hint="eastAsia"/>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3.65pt;margin-top:10.75pt;height:156pt;width:213pt;z-index:251660288;mso-width-relative:page;mso-height-relative:page;" fillcolor="#FFFFFF" filled="t" stroked="t" coordsize="21600,21600" o:gfxdata="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cT0NvZAAAACgEAAA8AAAAAAAAAAQAgAAAAIgAAAGRycy9k&#10;b3ducmV2LnhtbFBLAQIUABQAAAAIAIdO4kCe2XEjOgIAAH0EAAAOAAAAAAAAAAEAIAAAACgBAABk&#10;cnMvZTJvRG9jLnhtbFBLBQYAAAAABgAGAFkBAADUBQAAAAA=&#10;">
                <v:fill on="t" focussize="0,0"/>
                <v:stroke color="#000000" miterlimit="8" joinstyle="miter"/>
                <v:imagedata o:title=""/>
                <o:lock v:ext="edit" aspectratio="f"/>
                <v:textbox>
                  <w:txbxContent>
                    <w:p w14:paraId="73ABBC5F">
                      <w:pPr>
                        <w:spacing w:line="360" w:lineRule="auto"/>
                        <w:ind w:firstLine="1680" w:firstLineChars="800"/>
                      </w:pPr>
                    </w:p>
                    <w:p w14:paraId="48A596E3">
                      <w:pPr>
                        <w:spacing w:line="360" w:lineRule="auto"/>
                        <w:ind w:firstLine="1680" w:firstLineChars="800"/>
                      </w:pPr>
                      <w:r>
                        <w:rPr>
                          <w:rFonts w:hint="eastAsia"/>
                        </w:rPr>
                        <w:t>法定代表人</w:t>
                      </w:r>
                    </w:p>
                    <w:p w14:paraId="61B0B585">
                      <w:pPr>
                        <w:spacing w:line="360" w:lineRule="auto"/>
                        <w:ind w:firstLine="1155" w:firstLineChars="550"/>
                      </w:pPr>
                      <w:r>
                        <w:rPr>
                          <w:rFonts w:hint="eastAsia"/>
                        </w:rPr>
                        <w:t>居民身份证复印件粘贴处</w:t>
                      </w:r>
                    </w:p>
                    <w:p w14:paraId="2A491B12">
                      <w:pPr>
                        <w:spacing w:line="360" w:lineRule="auto"/>
                        <w:ind w:firstLine="1785" w:firstLineChars="850"/>
                      </w:pPr>
                      <w:r>
                        <w:rPr>
                          <w:rFonts w:hint="eastAsia"/>
                        </w:rPr>
                        <w:t>（反面）</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-112395</wp:posOffset>
                </wp:positionH>
                <wp:positionV relativeFrom="paragraph">
                  <wp:posOffset>136525</wp:posOffset>
                </wp:positionV>
                <wp:extent cx="2705100" cy="1981200"/>
                <wp:effectExtent l="4445" t="5080" r="14605" b="13970"/>
                <wp:wrapNone/>
                <wp:docPr id="68" name="矩形 68"/>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wps:spPr>
                      <wps:txbx>
                        <w:txbxContent>
                          <w:p w14:paraId="58F07BC4">
                            <w:pPr>
                              <w:spacing w:line="360" w:lineRule="auto"/>
                              <w:jc w:val="center"/>
                            </w:pPr>
                          </w:p>
                          <w:p w14:paraId="6BD81522">
                            <w:pPr>
                              <w:spacing w:line="360" w:lineRule="auto"/>
                              <w:jc w:val="center"/>
                            </w:pPr>
                            <w:r>
                              <w:rPr>
                                <w:rFonts w:hint="eastAsia"/>
                              </w:rPr>
                              <w:t>法定代表人</w:t>
                            </w:r>
                          </w:p>
                          <w:p w14:paraId="06D9463A">
                            <w:pPr>
                              <w:spacing w:line="360" w:lineRule="auto"/>
                              <w:jc w:val="center"/>
                            </w:pPr>
                            <w:r>
                              <w:rPr>
                                <w:rFonts w:hint="eastAsia"/>
                              </w:rPr>
                              <w:t>居民身份证复印件粘贴处</w:t>
                            </w:r>
                          </w:p>
                          <w:p w14:paraId="25166420">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85pt;margin-top:10.75pt;height:156pt;width:213pt;z-index:251659264;mso-width-relative:page;mso-height-relative:page;" fillcolor="#FFFFFF" filled="t" stroked="t" coordsize="21600,21600" o:gfxdata="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TcSu9kAAAAKAQAADwAAAAAAAAABACAAAAAiAAAAZHJzL2Rv&#10;d25yZXYueG1sUEsBAhQAFAAAAAgAh07iQOP/zn45AgAAfQQAAA4AAAAAAAAAAQAgAAAAKAEAAGRy&#10;cy9lMm9Eb2MueG1sUEsFBgAAAAAGAAYAWQEAANMFAAAAAA==&#10;">
                <v:fill on="t" focussize="0,0"/>
                <v:stroke color="#000000" miterlimit="8" joinstyle="miter"/>
                <v:imagedata o:title=""/>
                <o:lock v:ext="edit" aspectratio="f"/>
                <v:textbox>
                  <w:txbxContent>
                    <w:p w14:paraId="58F07BC4">
                      <w:pPr>
                        <w:spacing w:line="360" w:lineRule="auto"/>
                        <w:jc w:val="center"/>
                      </w:pPr>
                    </w:p>
                    <w:p w14:paraId="6BD81522">
                      <w:pPr>
                        <w:spacing w:line="360" w:lineRule="auto"/>
                        <w:jc w:val="center"/>
                      </w:pPr>
                      <w:r>
                        <w:rPr>
                          <w:rFonts w:hint="eastAsia"/>
                        </w:rPr>
                        <w:t>法定代表人</w:t>
                      </w:r>
                    </w:p>
                    <w:p w14:paraId="06D9463A">
                      <w:pPr>
                        <w:spacing w:line="360" w:lineRule="auto"/>
                        <w:jc w:val="center"/>
                      </w:pPr>
                      <w:r>
                        <w:rPr>
                          <w:rFonts w:hint="eastAsia"/>
                        </w:rPr>
                        <w:t>居民身份证复印件粘贴处</w:t>
                      </w:r>
                    </w:p>
                    <w:p w14:paraId="25166420">
                      <w:pPr>
                        <w:spacing w:line="360" w:lineRule="auto"/>
                        <w:jc w:val="center"/>
                      </w:pPr>
                      <w:r>
                        <w:rPr>
                          <w:rFonts w:hint="eastAsia"/>
                        </w:rPr>
                        <w:t>（正面）</w:t>
                      </w:r>
                    </w:p>
                  </w:txbxContent>
                </v:textbox>
              </v:rect>
            </w:pict>
          </mc:Fallback>
        </mc:AlternateContent>
      </w:r>
    </w:p>
    <w:p w14:paraId="5C02B3FD">
      <w:pPr>
        <w:spacing w:line="360" w:lineRule="auto"/>
        <w:ind w:firstLine="422" w:firstLineChars="200"/>
        <w:rPr>
          <w:rFonts w:asciiTheme="minorEastAsia" w:hAnsiTheme="minorEastAsia"/>
          <w:b/>
          <w:bCs/>
          <w:szCs w:val="21"/>
        </w:rPr>
      </w:pPr>
    </w:p>
    <w:p w14:paraId="6DEF020D">
      <w:pPr>
        <w:spacing w:line="360" w:lineRule="auto"/>
        <w:ind w:firstLine="422" w:firstLineChars="200"/>
        <w:rPr>
          <w:rFonts w:asciiTheme="minorEastAsia" w:hAnsiTheme="minorEastAsia"/>
          <w:b/>
          <w:bCs/>
          <w:szCs w:val="21"/>
        </w:rPr>
      </w:pPr>
    </w:p>
    <w:p w14:paraId="4D2EC033">
      <w:pPr>
        <w:spacing w:line="360" w:lineRule="auto"/>
        <w:ind w:firstLine="422" w:firstLineChars="200"/>
        <w:rPr>
          <w:rFonts w:asciiTheme="minorEastAsia" w:hAnsiTheme="minorEastAsia"/>
          <w:b/>
          <w:bCs/>
          <w:szCs w:val="21"/>
        </w:rPr>
      </w:pPr>
    </w:p>
    <w:p w14:paraId="2E95F3FB">
      <w:pPr>
        <w:spacing w:line="360" w:lineRule="auto"/>
        <w:ind w:firstLine="422" w:firstLineChars="200"/>
        <w:rPr>
          <w:rFonts w:asciiTheme="minorEastAsia" w:hAnsiTheme="minorEastAsia"/>
          <w:b/>
          <w:bCs/>
          <w:szCs w:val="21"/>
        </w:rPr>
      </w:pPr>
    </w:p>
    <w:p w14:paraId="26E3D189">
      <w:pPr>
        <w:spacing w:line="360" w:lineRule="auto"/>
        <w:ind w:firstLine="422" w:firstLineChars="200"/>
        <w:rPr>
          <w:rFonts w:asciiTheme="minorEastAsia" w:hAnsiTheme="minorEastAsia"/>
          <w:b/>
          <w:bCs/>
          <w:szCs w:val="21"/>
        </w:rPr>
      </w:pPr>
    </w:p>
    <w:p w14:paraId="45D54CCA">
      <w:pPr>
        <w:spacing w:line="360" w:lineRule="auto"/>
        <w:ind w:firstLine="422" w:firstLineChars="200"/>
        <w:rPr>
          <w:rFonts w:asciiTheme="minorEastAsia" w:hAnsiTheme="minorEastAsia"/>
          <w:b/>
          <w:bCs/>
          <w:szCs w:val="21"/>
        </w:rPr>
      </w:pPr>
      <w:r>
        <w:rPr>
          <w:rFonts w:hint="eastAsia" w:asciiTheme="minorEastAsia" w:hAnsiTheme="minorEastAsia"/>
          <w:b/>
          <w:bCs/>
          <w:szCs w:val="21"/>
        </w:rPr>
        <w:t xml:space="preserve">                         </w:t>
      </w:r>
    </w:p>
    <w:p w14:paraId="77B59B36">
      <w:pPr>
        <w:spacing w:line="360" w:lineRule="auto"/>
        <w:ind w:firstLine="420" w:firstLineChars="200"/>
        <w:rPr>
          <w:rFonts w:asciiTheme="minorEastAsia" w:hAnsiTheme="minorEastAsia"/>
          <w:szCs w:val="21"/>
        </w:rPr>
      </w:pPr>
    </w:p>
    <w:p w14:paraId="1ADA0A58">
      <w:pPr>
        <w:spacing w:line="360" w:lineRule="auto"/>
        <w:ind w:firstLine="420" w:firstLineChars="200"/>
        <w:rPr>
          <w:rFonts w:asciiTheme="minorEastAsia" w:hAnsiTheme="minorEastAsia"/>
          <w:szCs w:val="21"/>
        </w:rPr>
      </w:pPr>
    </w:p>
    <w:p w14:paraId="711BB16F">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r>
        <w:rPr>
          <w:rFonts w:hint="eastAsia" w:asciiTheme="minorEastAsia" w:hAnsiTheme="minorEastAsia"/>
          <w:szCs w:val="21"/>
          <w:u w:val="single"/>
        </w:rPr>
        <w:t xml:space="preserve">             </w:t>
      </w:r>
    </w:p>
    <w:p w14:paraId="665FE8C5">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 xml:space="preserve">月 </w:t>
      </w:r>
      <w:r>
        <w:rPr>
          <w:rFonts w:hint="eastAsia" w:asciiTheme="minorEastAsia" w:hAnsiTheme="minorEastAsia"/>
          <w:szCs w:val="21"/>
          <w:u w:val="single"/>
        </w:rPr>
        <w:t xml:space="preserve">      </w:t>
      </w:r>
      <w:r>
        <w:rPr>
          <w:rFonts w:hint="eastAsia" w:asciiTheme="minorEastAsia" w:hAnsiTheme="minorEastAsia"/>
          <w:szCs w:val="21"/>
        </w:rPr>
        <w:t>日</w:t>
      </w:r>
    </w:p>
    <w:p w14:paraId="033C158B">
      <w:pPr>
        <w:ind w:firstLine="420" w:firstLineChars="200"/>
      </w:pPr>
    </w:p>
    <w:p w14:paraId="6B624079">
      <w:pPr>
        <w:adjustRightInd w:val="0"/>
        <w:snapToGrid w:val="0"/>
        <w:spacing w:line="360" w:lineRule="auto"/>
        <w:ind w:firstLine="422" w:firstLineChars="200"/>
        <w:rPr>
          <w:rFonts w:asciiTheme="minorEastAsia" w:hAnsiTheme="minorEastAsia"/>
          <w:b/>
          <w:snapToGrid w:val="0"/>
          <w:kern w:val="0"/>
          <w:szCs w:val="21"/>
        </w:rPr>
      </w:pPr>
    </w:p>
    <w:p w14:paraId="58F5097A">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305BD04A">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7</w:t>
      </w:r>
      <w:r>
        <w:rPr>
          <w:rFonts w:hint="eastAsia" w:asciiTheme="minorEastAsia" w:hAnsiTheme="minorEastAsia"/>
          <w:szCs w:val="21"/>
        </w:rPr>
        <w:t>：</w:t>
      </w:r>
      <w:bookmarkEnd w:id="162"/>
      <w:r>
        <w:rPr>
          <w:rFonts w:hint="eastAsia" w:asciiTheme="minorEastAsia" w:hAnsiTheme="minorEastAsia"/>
          <w:szCs w:val="21"/>
        </w:rPr>
        <w:t>法定代表人授权委托证明书</w:t>
      </w:r>
    </w:p>
    <w:p w14:paraId="12479711">
      <w:pPr>
        <w:keepNext/>
        <w:keepLines/>
        <w:spacing w:before="160" w:after="170"/>
        <w:ind w:firstLine="602" w:firstLineChars="200"/>
        <w:jc w:val="center"/>
        <w:outlineLvl w:val="4"/>
        <w:rPr>
          <w:b/>
          <w:bCs/>
          <w:sz w:val="30"/>
          <w:szCs w:val="28"/>
        </w:rPr>
      </w:pPr>
      <w:bookmarkStart w:id="163" w:name="_Toc55548546"/>
      <w:bookmarkStart w:id="164" w:name="_Toc437"/>
      <w:r>
        <w:rPr>
          <w:rFonts w:hint="eastAsia"/>
          <w:b/>
          <w:bCs/>
          <w:sz w:val="30"/>
          <w:szCs w:val="28"/>
        </w:rPr>
        <w:t>法定代表人授权委托书</w:t>
      </w:r>
      <w:bookmarkEnd w:id="163"/>
    </w:p>
    <w:p w14:paraId="3C5D0693">
      <w:pPr>
        <w:spacing w:line="360" w:lineRule="auto"/>
        <w:ind w:firstLine="420" w:firstLineChars="200"/>
        <w:rPr>
          <w:rFonts w:asciiTheme="minorEastAsia" w:hAnsiTheme="minorEastAsia"/>
          <w:b/>
          <w:bCs/>
          <w:szCs w:val="21"/>
        </w:rPr>
      </w:pPr>
      <w:r>
        <w:rPr>
          <w:rFonts w:hint="eastAsia" w:asciiTheme="minorEastAsia" w:hAnsiTheme="minorEastAsia"/>
          <w:szCs w:val="21"/>
        </w:rPr>
        <w:t>深圳市宝安区疾病预防控制中心（深圳市宝安区卫生监督所）</w:t>
      </w:r>
      <w:r>
        <w:rPr>
          <w:rFonts w:hint="eastAsia" w:asciiTheme="minorEastAsia" w:hAnsiTheme="minorEastAsia"/>
          <w:b/>
          <w:bCs/>
          <w:szCs w:val="21"/>
        </w:rPr>
        <w:t>：</w:t>
      </w:r>
    </w:p>
    <w:p w14:paraId="24A9D1C8">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现委派</w:t>
      </w:r>
      <w:r>
        <w:rPr>
          <w:rFonts w:hint="eastAsia" w:asciiTheme="minorEastAsia" w:hAnsiTheme="minorEastAsia"/>
          <w:szCs w:val="21"/>
          <w:u w:val="single"/>
        </w:rPr>
        <w:t xml:space="preserve">  （姓名、职务） </w:t>
      </w:r>
      <w:r>
        <w:rPr>
          <w:rFonts w:hint="eastAsia" w:asciiTheme="minorEastAsia" w:hAnsiTheme="minorEastAsia"/>
          <w:szCs w:val="21"/>
        </w:rPr>
        <w:t>参加贵公司组织的</w:t>
      </w:r>
      <w:r>
        <w:rPr>
          <w:rFonts w:hint="eastAsia" w:asciiTheme="minorEastAsia" w:hAnsiTheme="minorEastAsia"/>
          <w:b/>
          <w:bCs/>
          <w:szCs w:val="21"/>
          <w:u w:val="single"/>
        </w:rPr>
        <w:t xml:space="preserve">  </w:t>
      </w:r>
      <w:r>
        <w:rPr>
          <w:rFonts w:hint="eastAsia" w:asciiTheme="minorEastAsia" w:hAnsiTheme="minorEastAsia"/>
          <w:szCs w:val="21"/>
          <w:u w:val="single"/>
        </w:rPr>
        <w:t xml:space="preserve">（招标项目名称、编号） </w:t>
      </w:r>
      <w:r>
        <w:rPr>
          <w:rFonts w:hint="eastAsia" w:asciiTheme="minorEastAsia" w:hAnsiTheme="minorEastAsia"/>
          <w:szCs w:val="21"/>
        </w:rPr>
        <w:t>招标活动，全权代表我单位处理投标的有关事宜。</w:t>
      </w:r>
    </w:p>
    <w:p w14:paraId="4B24B993">
      <w:pPr>
        <w:spacing w:line="360" w:lineRule="auto"/>
        <w:ind w:firstLine="420" w:firstLineChars="200"/>
        <w:rPr>
          <w:rFonts w:asciiTheme="minorEastAsia" w:hAnsiTheme="minorEastAsia"/>
          <w:szCs w:val="21"/>
        </w:rPr>
      </w:pPr>
    </w:p>
    <w:p w14:paraId="57FEFFB6">
      <w:pPr>
        <w:adjustRightInd w:val="0"/>
        <w:snapToGrid w:val="0"/>
        <w:spacing w:line="360" w:lineRule="auto"/>
        <w:ind w:firstLine="422" w:firstLineChars="200"/>
        <w:rPr>
          <w:rFonts w:asciiTheme="minorEastAsia" w:hAnsiTheme="minorEastAsia"/>
          <w:b/>
          <w:bCs/>
          <w:szCs w:val="21"/>
        </w:rPr>
      </w:pPr>
      <w:r>
        <w:rPr>
          <w:rFonts w:hint="eastAsia" w:asciiTheme="minorEastAsia" w:hAnsiTheme="minorEastAsia"/>
          <w:b/>
          <w:bCs/>
          <w:szCs w:val="21"/>
        </w:rPr>
        <w:t>附授权代表情况：</w:t>
      </w:r>
    </w:p>
    <w:p w14:paraId="1A45E938">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姓名：</w:t>
      </w:r>
      <w:r>
        <w:rPr>
          <w:rFonts w:hint="eastAsia" w:asciiTheme="minorEastAsia" w:hAnsiTheme="minorEastAsia"/>
          <w:b/>
          <w:bCs/>
          <w:szCs w:val="21"/>
        </w:rPr>
        <w:t xml:space="preserve">    </w:t>
      </w:r>
      <w:r>
        <w:rPr>
          <w:rFonts w:hint="eastAsia" w:asciiTheme="minorEastAsia" w:hAnsiTheme="minorEastAsia"/>
          <w:szCs w:val="21"/>
        </w:rPr>
        <w:t xml:space="preserve">            性别：</w:t>
      </w:r>
      <w:r>
        <w:rPr>
          <w:rFonts w:hint="eastAsia" w:asciiTheme="minorEastAsia" w:hAnsiTheme="minorEastAsia"/>
          <w:b/>
          <w:bCs/>
          <w:szCs w:val="21"/>
        </w:rPr>
        <w:t xml:space="preserve"> </w:t>
      </w:r>
    </w:p>
    <w:p w14:paraId="615A7E43">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年龄：</w:t>
      </w:r>
      <w:r>
        <w:rPr>
          <w:rFonts w:hint="eastAsia" w:asciiTheme="minorEastAsia" w:hAnsiTheme="minorEastAsia"/>
          <w:b/>
          <w:bCs/>
          <w:szCs w:val="21"/>
        </w:rPr>
        <w:t xml:space="preserve"> </w:t>
      </w:r>
      <w:r>
        <w:rPr>
          <w:rFonts w:hint="eastAsia" w:asciiTheme="minorEastAsia" w:hAnsiTheme="minorEastAsia"/>
          <w:szCs w:val="21"/>
        </w:rPr>
        <w:t xml:space="preserve">            </w:t>
      </w:r>
    </w:p>
    <w:p w14:paraId="351F8C89">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职务：</w:t>
      </w:r>
    </w:p>
    <w:p w14:paraId="652E7691">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身份证号码：</w:t>
      </w:r>
    </w:p>
    <w:p w14:paraId="60DDA16B">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邮编：</w:t>
      </w:r>
      <w:r>
        <w:rPr>
          <w:rFonts w:hint="eastAsia" w:asciiTheme="minorEastAsia" w:hAnsiTheme="minorEastAsia"/>
          <w:b/>
          <w:bCs/>
          <w:szCs w:val="21"/>
        </w:rPr>
        <w:t xml:space="preserve"> </w:t>
      </w:r>
    </w:p>
    <w:p w14:paraId="1CF85C57">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通讯地址：</w:t>
      </w:r>
      <w:r>
        <w:rPr>
          <w:rFonts w:hint="eastAsia" w:asciiTheme="minorEastAsia" w:hAnsiTheme="minorEastAsia"/>
          <w:b/>
          <w:bCs/>
          <w:szCs w:val="21"/>
        </w:rPr>
        <w:t xml:space="preserve"> </w:t>
      </w:r>
    </w:p>
    <w:p w14:paraId="2B1DAC9F">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 xml:space="preserve">电话： </w:t>
      </w:r>
    </w:p>
    <w:p w14:paraId="3C20D2E9">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p>
    <w:p w14:paraId="3ED8D7AF">
      <w:pPr>
        <w:spacing w:line="360" w:lineRule="auto"/>
        <w:ind w:firstLine="420" w:firstLineChars="200"/>
        <w:rPr>
          <w:rFonts w:asciiTheme="minorEastAsia" w:hAnsiTheme="minorEastAsia"/>
          <w:szCs w:val="21"/>
        </w:rPr>
      </w:pPr>
    </w:p>
    <w:p w14:paraId="0E5BAC2D">
      <w:pPr>
        <w:spacing w:line="360" w:lineRule="auto"/>
        <w:ind w:firstLine="420" w:firstLineChars="200"/>
        <w:rPr>
          <w:rFonts w:asciiTheme="minorEastAsia" w:hAnsiTheme="minorEastAsia"/>
          <w:szCs w:val="21"/>
        </w:rPr>
      </w:pPr>
      <w:r>
        <w:rPr>
          <w:rFonts w:hint="eastAsia" w:asciiTheme="minorEastAsia" w:hAnsiTheme="minorEastAsia"/>
          <w:szCs w:val="21"/>
        </w:rPr>
        <w:t>法人代表：（签章）</w:t>
      </w:r>
    </w:p>
    <w:p w14:paraId="0E8AB3F4">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年</w:t>
      </w:r>
      <w:r>
        <w:rPr>
          <w:rFonts w:hint="eastAsia" w:asciiTheme="minorEastAsia" w:hAnsiTheme="minorEastAsia"/>
          <w:b/>
          <w:bCs/>
          <w:szCs w:val="21"/>
        </w:rPr>
        <w:t xml:space="preserve">    </w:t>
      </w:r>
      <w:r>
        <w:rPr>
          <w:rFonts w:hint="eastAsia" w:asciiTheme="minorEastAsia" w:hAnsiTheme="minorEastAsia"/>
          <w:szCs w:val="21"/>
        </w:rPr>
        <w:t>月</w:t>
      </w:r>
      <w:r>
        <w:rPr>
          <w:rFonts w:hint="eastAsia" w:asciiTheme="minorEastAsia" w:hAnsiTheme="minorEastAsia"/>
          <w:b/>
          <w:bCs/>
          <w:szCs w:val="21"/>
        </w:rPr>
        <w:t xml:space="preserve">   </w:t>
      </w:r>
      <w:r>
        <w:rPr>
          <w:rFonts w:hint="eastAsia" w:asciiTheme="minorEastAsia" w:hAnsiTheme="minorEastAsia"/>
          <w:szCs w:val="21"/>
        </w:rPr>
        <w:t>日</w:t>
      </w:r>
    </w:p>
    <w:p w14:paraId="66842860">
      <w:pPr>
        <w:spacing w:line="360" w:lineRule="auto"/>
        <w:ind w:firstLine="420" w:firstLineChars="200"/>
        <w:rPr>
          <w:rFonts w:asciiTheme="minorEastAsia" w:hAnsiTheme="minorEastAsia"/>
          <w:szCs w:val="21"/>
        </w:rPr>
      </w:pPr>
      <w:bookmarkStart w:id="165" w:name="_Toc226217114"/>
      <w: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71120</wp:posOffset>
                </wp:positionV>
                <wp:extent cx="2619375" cy="1722755"/>
                <wp:effectExtent l="4445" t="4445" r="5080" b="6350"/>
                <wp:wrapNone/>
                <wp:docPr id="67" name="矩形 67"/>
                <wp:cNvGraphicFramePr/>
                <a:graphic xmlns:a="http://schemas.openxmlformats.org/drawingml/2006/main">
                  <a:graphicData uri="http://schemas.microsoft.com/office/word/2010/wordprocessingShape">
                    <wps:wsp>
                      <wps:cNvSpPr>
                        <a:spLocks noChangeArrowheads="1"/>
                      </wps:cNvSpPr>
                      <wps:spPr bwMode="auto">
                        <a:xfrm>
                          <a:off x="0" y="0"/>
                          <a:ext cx="2619375" cy="1722755"/>
                        </a:xfrm>
                        <a:prstGeom prst="rect">
                          <a:avLst/>
                        </a:prstGeom>
                        <a:solidFill>
                          <a:srgbClr val="FFFFFF"/>
                        </a:solidFill>
                        <a:ln w="9525">
                          <a:solidFill>
                            <a:srgbClr val="000000"/>
                          </a:solidFill>
                          <a:miter lim="800000"/>
                        </a:ln>
                      </wps:spPr>
                      <wps:txbx>
                        <w:txbxContent>
                          <w:p w14:paraId="19660D51">
                            <w:pPr>
                              <w:spacing w:line="360" w:lineRule="auto"/>
                              <w:ind w:firstLine="1260" w:firstLineChars="600"/>
                            </w:pPr>
                          </w:p>
                          <w:p w14:paraId="7303B407">
                            <w:pPr>
                              <w:spacing w:line="360" w:lineRule="auto"/>
                              <w:ind w:firstLine="1260" w:firstLineChars="600"/>
                            </w:pPr>
                            <w:r>
                              <w:rPr>
                                <w:rFonts w:hint="eastAsia"/>
                              </w:rPr>
                              <w:t>被授权人（授权代表）</w:t>
                            </w:r>
                          </w:p>
                          <w:p w14:paraId="4253FF3F">
                            <w:pPr>
                              <w:spacing w:line="360" w:lineRule="auto"/>
                              <w:ind w:firstLine="1050" w:firstLineChars="500"/>
                            </w:pPr>
                            <w:r>
                              <w:rPr>
                                <w:rFonts w:hint="eastAsia"/>
                              </w:rPr>
                              <w:t>居民身份证复印件粘贴处</w:t>
                            </w:r>
                          </w:p>
                          <w:p w14:paraId="441FB384">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5pt;margin-top:5.6pt;height:135.65pt;width:206.25pt;z-index:251661312;mso-width-relative:page;mso-height-relative:page;" fillcolor="#FFFFFF" filled="t" stroked="t" coordsize="21600,21600" o:gfxdata="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HHeQVtcAAAAJAQAADwAAAAAAAAABACAAAAAiAAAAZHJzL2Rv&#10;d25yZXYueG1sUEsBAhQAFAAAAAgAh07iQMp/CnE7AgAAfQQAAA4AAAAAAAAAAQAgAAAAJgEAAGRy&#10;cy9lMm9Eb2MueG1sUEsFBgAAAAAGAAYAWQEAANMFAAAAAA==&#10;">
                <v:fill on="t" focussize="0,0"/>
                <v:stroke color="#000000" miterlimit="8" joinstyle="miter"/>
                <v:imagedata o:title=""/>
                <o:lock v:ext="edit" aspectratio="f"/>
                <v:textbox>
                  <w:txbxContent>
                    <w:p w14:paraId="19660D51">
                      <w:pPr>
                        <w:spacing w:line="360" w:lineRule="auto"/>
                        <w:ind w:firstLine="1260" w:firstLineChars="600"/>
                      </w:pPr>
                    </w:p>
                    <w:p w14:paraId="7303B407">
                      <w:pPr>
                        <w:spacing w:line="360" w:lineRule="auto"/>
                        <w:ind w:firstLine="1260" w:firstLineChars="600"/>
                      </w:pPr>
                      <w:r>
                        <w:rPr>
                          <w:rFonts w:hint="eastAsia"/>
                        </w:rPr>
                        <w:t>被授权人（授权代表）</w:t>
                      </w:r>
                    </w:p>
                    <w:p w14:paraId="4253FF3F">
                      <w:pPr>
                        <w:spacing w:line="360" w:lineRule="auto"/>
                        <w:ind w:firstLine="1050" w:firstLineChars="500"/>
                      </w:pPr>
                      <w:r>
                        <w:rPr>
                          <w:rFonts w:hint="eastAsia"/>
                        </w:rPr>
                        <w:t>居民身份证复印件粘贴处</w:t>
                      </w:r>
                    </w:p>
                    <w:p w14:paraId="441FB384">
                      <w:pPr>
                        <w:spacing w:line="360" w:lineRule="auto"/>
                        <w:jc w:val="center"/>
                      </w:pPr>
                      <w:r>
                        <w:rPr>
                          <w:rFonts w:hint="eastAsia"/>
                        </w:rPr>
                        <w:t>（正面）</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2821305</wp:posOffset>
                </wp:positionH>
                <wp:positionV relativeFrom="paragraph">
                  <wp:posOffset>71120</wp:posOffset>
                </wp:positionV>
                <wp:extent cx="2533650" cy="1722755"/>
                <wp:effectExtent l="4445" t="4445" r="14605" b="6350"/>
                <wp:wrapNone/>
                <wp:docPr id="66" name="矩形 66"/>
                <wp:cNvGraphicFramePr/>
                <a:graphic xmlns:a="http://schemas.openxmlformats.org/drawingml/2006/main">
                  <a:graphicData uri="http://schemas.microsoft.com/office/word/2010/wordprocessingShape">
                    <wps:wsp>
                      <wps:cNvSpPr>
                        <a:spLocks noChangeArrowheads="1"/>
                      </wps:cNvSpPr>
                      <wps:spPr bwMode="auto">
                        <a:xfrm>
                          <a:off x="0" y="0"/>
                          <a:ext cx="2533650" cy="1722755"/>
                        </a:xfrm>
                        <a:prstGeom prst="rect">
                          <a:avLst/>
                        </a:prstGeom>
                        <a:solidFill>
                          <a:srgbClr val="FFFFFF"/>
                        </a:solidFill>
                        <a:ln w="9525">
                          <a:solidFill>
                            <a:srgbClr val="000000"/>
                          </a:solidFill>
                          <a:miter lim="800000"/>
                        </a:ln>
                      </wps:spPr>
                      <wps:txbx>
                        <w:txbxContent>
                          <w:p w14:paraId="08C88F61">
                            <w:pPr>
                              <w:spacing w:line="360" w:lineRule="auto"/>
                              <w:jc w:val="center"/>
                            </w:pPr>
                          </w:p>
                          <w:p w14:paraId="2CCD8182">
                            <w:pPr>
                              <w:spacing w:line="360" w:lineRule="auto"/>
                              <w:jc w:val="center"/>
                            </w:pPr>
                            <w:r>
                              <w:rPr>
                                <w:rFonts w:hint="eastAsia"/>
                              </w:rPr>
                              <w:t>被授权人（授权代表）</w:t>
                            </w:r>
                          </w:p>
                          <w:p w14:paraId="5E12DBD7">
                            <w:pPr>
                              <w:spacing w:line="360" w:lineRule="auto"/>
                              <w:jc w:val="center"/>
                            </w:pPr>
                            <w:r>
                              <w:rPr>
                                <w:rFonts w:hint="eastAsia"/>
                              </w:rPr>
                              <w:t>居民身份证复印件粘贴处</w:t>
                            </w:r>
                          </w:p>
                          <w:p w14:paraId="62073399">
                            <w:pPr>
                              <w:spacing w:line="360" w:lineRule="auto"/>
                              <w:jc w:val="center"/>
                            </w:pPr>
                            <w:r>
                              <w:rPr>
                                <w:rFonts w:hint="eastAsia"/>
                              </w:rPr>
                              <w:t>（反面）</w:t>
                            </w:r>
                          </w:p>
                          <w:p w14:paraId="177481CE"/>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2.15pt;margin-top:5.6pt;height:135.65pt;width:199.5pt;z-index:251662336;mso-width-relative:page;mso-height-relative:page;" fillcolor="#FFFFFF" filled="t" stroked="t" coordsize="21600,21600" o:gfxdata="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bTsh1NcAAAAKAQAADwAAAAAAAAABACAAAAAiAAAAZHJzL2Rv&#10;d25yZXYueG1sUEsBAhQAFAAAAAgAh07iQEyOoPE7AgAAfQQAAA4AAAAAAAAAAQAgAAAAJgEAAGRy&#10;cy9lMm9Eb2MueG1sUEsFBgAAAAAGAAYAWQEAANMFAAAAAA==&#10;">
                <v:fill on="t" focussize="0,0"/>
                <v:stroke color="#000000" miterlimit="8" joinstyle="miter"/>
                <v:imagedata o:title=""/>
                <o:lock v:ext="edit" aspectratio="f"/>
                <v:textbox>
                  <w:txbxContent>
                    <w:p w14:paraId="08C88F61">
                      <w:pPr>
                        <w:spacing w:line="360" w:lineRule="auto"/>
                        <w:jc w:val="center"/>
                      </w:pPr>
                    </w:p>
                    <w:p w14:paraId="2CCD8182">
                      <w:pPr>
                        <w:spacing w:line="360" w:lineRule="auto"/>
                        <w:jc w:val="center"/>
                      </w:pPr>
                      <w:r>
                        <w:rPr>
                          <w:rFonts w:hint="eastAsia"/>
                        </w:rPr>
                        <w:t>被授权人（授权代表）</w:t>
                      </w:r>
                    </w:p>
                    <w:p w14:paraId="5E12DBD7">
                      <w:pPr>
                        <w:spacing w:line="360" w:lineRule="auto"/>
                        <w:jc w:val="center"/>
                      </w:pPr>
                      <w:r>
                        <w:rPr>
                          <w:rFonts w:hint="eastAsia"/>
                        </w:rPr>
                        <w:t>居民身份证复印件粘贴处</w:t>
                      </w:r>
                    </w:p>
                    <w:p w14:paraId="62073399">
                      <w:pPr>
                        <w:spacing w:line="360" w:lineRule="auto"/>
                        <w:jc w:val="center"/>
                      </w:pPr>
                      <w:r>
                        <w:rPr>
                          <w:rFonts w:hint="eastAsia"/>
                        </w:rPr>
                        <w:t>（反面）</w:t>
                      </w:r>
                    </w:p>
                    <w:p w14:paraId="177481CE"/>
                  </w:txbxContent>
                </v:textbox>
              </v:rect>
            </w:pict>
          </mc:Fallback>
        </mc:AlternateContent>
      </w:r>
      <w:bookmarkEnd w:id="165"/>
    </w:p>
    <w:p w14:paraId="2070441E">
      <w:pPr>
        <w:spacing w:line="360" w:lineRule="auto"/>
        <w:ind w:firstLine="420" w:firstLineChars="200"/>
        <w:rPr>
          <w:rFonts w:asciiTheme="minorEastAsia" w:hAnsiTheme="minorEastAsia"/>
          <w:szCs w:val="21"/>
        </w:rPr>
      </w:pPr>
    </w:p>
    <w:p w14:paraId="100AF954">
      <w:pPr>
        <w:spacing w:line="360" w:lineRule="auto"/>
        <w:ind w:firstLine="420" w:firstLineChars="200"/>
        <w:rPr>
          <w:rFonts w:asciiTheme="minorEastAsia" w:hAnsiTheme="minorEastAsia"/>
          <w:szCs w:val="21"/>
        </w:rPr>
      </w:pPr>
    </w:p>
    <w:p w14:paraId="4DC02F49">
      <w:pPr>
        <w:spacing w:line="360" w:lineRule="auto"/>
        <w:ind w:firstLine="420" w:firstLineChars="200"/>
        <w:rPr>
          <w:rFonts w:asciiTheme="minorEastAsia" w:hAnsiTheme="minorEastAsia"/>
          <w:szCs w:val="21"/>
        </w:rPr>
      </w:pPr>
    </w:p>
    <w:p w14:paraId="7CC73E33">
      <w:pPr>
        <w:spacing w:line="360" w:lineRule="auto"/>
        <w:ind w:firstLine="420" w:firstLineChars="200"/>
        <w:rPr>
          <w:rFonts w:asciiTheme="minorEastAsia" w:hAnsiTheme="minorEastAsia"/>
          <w:szCs w:val="21"/>
        </w:rPr>
      </w:pPr>
    </w:p>
    <w:p w14:paraId="4086A0BA">
      <w:pPr>
        <w:tabs>
          <w:tab w:val="left" w:pos="5115"/>
        </w:tabs>
        <w:spacing w:line="360" w:lineRule="auto"/>
        <w:ind w:firstLine="420" w:firstLineChars="200"/>
        <w:rPr>
          <w:rFonts w:asciiTheme="minorEastAsia" w:hAnsiTheme="minorEastAsia"/>
          <w:szCs w:val="21"/>
        </w:rPr>
      </w:pPr>
      <w:r>
        <w:rPr>
          <w:rFonts w:asciiTheme="minorEastAsia" w:hAnsiTheme="minorEastAsia"/>
          <w:szCs w:val="21"/>
        </w:rPr>
        <w:tab/>
      </w:r>
    </w:p>
    <w:p w14:paraId="67CD6EBB">
      <w:pPr>
        <w:spacing w:line="360" w:lineRule="auto"/>
        <w:ind w:firstLine="420" w:firstLineChars="200"/>
        <w:rPr>
          <w:rFonts w:asciiTheme="minorEastAsia" w:hAnsiTheme="minorEastAsia"/>
          <w:szCs w:val="21"/>
        </w:rPr>
      </w:pPr>
    </w:p>
    <w:p w14:paraId="4F2B5972">
      <w:pPr>
        <w:adjustRightInd w:val="0"/>
        <w:snapToGrid w:val="0"/>
        <w:spacing w:line="360" w:lineRule="auto"/>
        <w:ind w:firstLine="422" w:firstLineChars="200"/>
        <w:rPr>
          <w:rFonts w:asciiTheme="minorEastAsia" w:hAnsiTheme="minorEastAsia"/>
          <w:b/>
          <w:snapToGrid w:val="0"/>
          <w:kern w:val="0"/>
          <w:szCs w:val="21"/>
        </w:rPr>
      </w:pPr>
    </w:p>
    <w:p w14:paraId="47B7F5D3">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21BCEDD0">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8</w:t>
      </w:r>
      <w:r>
        <w:rPr>
          <w:rFonts w:hint="eastAsia" w:asciiTheme="minorEastAsia" w:hAnsiTheme="minorEastAsia"/>
          <w:szCs w:val="21"/>
        </w:rPr>
        <w:t>：项目实施方案格式</w:t>
      </w:r>
      <w:bookmarkEnd w:id="164"/>
      <w:r>
        <w:rPr>
          <w:rFonts w:hint="eastAsia" w:asciiTheme="minorEastAsia" w:hAnsiTheme="minorEastAsia"/>
          <w:szCs w:val="21"/>
        </w:rPr>
        <w:t>（如有）</w:t>
      </w:r>
    </w:p>
    <w:p w14:paraId="7893B714">
      <w:pPr>
        <w:keepNext/>
        <w:keepLines/>
        <w:spacing w:before="160" w:after="170"/>
        <w:ind w:firstLine="602" w:firstLineChars="200"/>
        <w:jc w:val="center"/>
        <w:outlineLvl w:val="4"/>
        <w:rPr>
          <w:b/>
          <w:bCs/>
          <w:sz w:val="30"/>
          <w:szCs w:val="28"/>
        </w:rPr>
      </w:pPr>
      <w:bookmarkStart w:id="166" w:name="_Toc55548547"/>
      <w:r>
        <w:rPr>
          <w:rFonts w:hint="eastAsia"/>
          <w:b/>
          <w:bCs/>
          <w:sz w:val="30"/>
          <w:szCs w:val="28"/>
        </w:rPr>
        <w:t>项目实施方案</w:t>
      </w:r>
      <w:bookmarkEnd w:id="166"/>
    </w:p>
    <w:p w14:paraId="7237C43A">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1917A30C">
      <w:pPr>
        <w:spacing w:line="360" w:lineRule="auto"/>
        <w:ind w:firstLine="420" w:firstLineChars="200"/>
        <w:rPr>
          <w:rFonts w:asciiTheme="minorEastAsia" w:hAnsiTheme="minorEastAsia"/>
          <w:szCs w:val="21"/>
        </w:rPr>
      </w:pPr>
      <w:r>
        <w:rPr>
          <w:rFonts w:hint="eastAsia" w:asciiTheme="minorEastAsia" w:hAnsiTheme="minorEastAsia"/>
          <w:szCs w:val="21"/>
        </w:rPr>
        <w:t>1、项目实施方案、实施进度表</w:t>
      </w:r>
    </w:p>
    <w:p w14:paraId="3F53F11F">
      <w:pPr>
        <w:spacing w:line="360" w:lineRule="auto"/>
        <w:ind w:firstLine="420" w:firstLineChars="200"/>
        <w:rPr>
          <w:rFonts w:asciiTheme="minorEastAsia" w:hAnsiTheme="minorEastAsia"/>
          <w:szCs w:val="21"/>
        </w:rPr>
      </w:pPr>
      <w:r>
        <w:rPr>
          <w:rFonts w:hint="eastAsia" w:asciiTheme="minorEastAsia" w:hAnsiTheme="minorEastAsia"/>
          <w:szCs w:val="21"/>
        </w:rPr>
        <w:t>2、相关配套措施</w:t>
      </w:r>
    </w:p>
    <w:p w14:paraId="6C96D26D">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（备注：该部分须与“技术保障措施”、“施工安全保障措施”、“商务需求”等部分承诺的内容相呼应，不得前后矛盾。）</w:t>
      </w:r>
    </w:p>
    <w:p w14:paraId="30FC17F5">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7" w:name="_Toc3861"/>
      <w:r>
        <w:rPr>
          <w:rFonts w:hint="eastAsia" w:asciiTheme="minorEastAsia" w:hAnsiTheme="minorEastAsia"/>
          <w:szCs w:val="21"/>
        </w:rPr>
        <w:t>附件</w:t>
      </w:r>
      <w:r>
        <w:rPr>
          <w:rFonts w:asciiTheme="minorEastAsia" w:hAnsiTheme="minorEastAsia"/>
          <w:szCs w:val="21"/>
        </w:rPr>
        <w:t>9</w:t>
      </w:r>
      <w:r>
        <w:rPr>
          <w:rFonts w:hint="eastAsia" w:asciiTheme="minorEastAsia" w:hAnsiTheme="minorEastAsia"/>
          <w:szCs w:val="21"/>
        </w:rPr>
        <w:t>：售后服务方案格式</w:t>
      </w:r>
      <w:bookmarkEnd w:id="167"/>
      <w:r>
        <w:rPr>
          <w:rFonts w:hint="eastAsia" w:asciiTheme="minorEastAsia" w:hAnsiTheme="minorEastAsia"/>
          <w:szCs w:val="21"/>
        </w:rPr>
        <w:t>（如有）</w:t>
      </w:r>
    </w:p>
    <w:p w14:paraId="5BFCE779">
      <w:pPr>
        <w:keepNext/>
        <w:keepLines/>
        <w:spacing w:before="160" w:after="170"/>
        <w:ind w:firstLine="602" w:firstLineChars="200"/>
        <w:jc w:val="center"/>
        <w:outlineLvl w:val="4"/>
        <w:rPr>
          <w:b/>
          <w:bCs/>
          <w:sz w:val="30"/>
          <w:szCs w:val="28"/>
        </w:rPr>
      </w:pPr>
      <w:bookmarkStart w:id="168" w:name="_Toc55548548"/>
      <w:r>
        <w:rPr>
          <w:rFonts w:hint="eastAsia"/>
          <w:b/>
          <w:bCs/>
          <w:sz w:val="30"/>
          <w:szCs w:val="28"/>
        </w:rPr>
        <w:t>售后服务方案</w:t>
      </w:r>
      <w:bookmarkEnd w:id="168"/>
    </w:p>
    <w:p w14:paraId="4DF3FA76">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37DF631B">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、免费保修期；</w:t>
      </w:r>
    </w:p>
    <w:p w14:paraId="423AA29D">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、故障或技术支持响应时间；</w:t>
      </w:r>
    </w:p>
    <w:p w14:paraId="4E70A860">
      <w:pPr>
        <w:spacing w:line="360" w:lineRule="auto"/>
        <w:ind w:firstLine="420" w:firstLineChars="200"/>
        <w:rPr>
          <w:rFonts w:asciiTheme="minorEastAsia" w:hAnsiTheme="minorEastAsia"/>
          <w:szCs w:val="21"/>
        </w:rPr>
      </w:pPr>
      <w:r>
        <w:rPr>
          <w:rFonts w:asciiTheme="minorEastAsia" w:hAnsiTheme="minorEastAsia"/>
          <w:szCs w:val="21"/>
        </w:rPr>
        <w:t>3</w:t>
      </w:r>
      <w:r>
        <w:rPr>
          <w:rFonts w:hint="eastAsia" w:asciiTheme="minorEastAsia" w:hAnsiTheme="minorEastAsia"/>
          <w:szCs w:val="21"/>
        </w:rPr>
        <w:t>、投标人承诺的其他维修维护方案、措施</w:t>
      </w:r>
    </w:p>
    <w:p w14:paraId="056CDBD6">
      <w:pPr>
        <w:spacing w:line="360" w:lineRule="auto"/>
        <w:ind w:firstLine="420" w:firstLineChars="200"/>
        <w:rPr>
          <w:rFonts w:asciiTheme="minorEastAsia" w:hAnsiTheme="minorEastAsia"/>
          <w:szCs w:val="21"/>
        </w:rPr>
      </w:pPr>
      <w:r>
        <w:rPr>
          <w:rFonts w:asciiTheme="minorEastAsia" w:hAnsiTheme="minorEastAsia"/>
          <w:szCs w:val="21"/>
        </w:rPr>
        <w:t>4</w:t>
      </w:r>
      <w:r>
        <w:rPr>
          <w:rFonts w:hint="eastAsia" w:asciiTheme="minorEastAsia" w:hAnsiTheme="minorEastAsia"/>
          <w:szCs w:val="21"/>
        </w:rPr>
        <w:t>、质量保证及违约承诺。</w:t>
      </w:r>
    </w:p>
    <w:p w14:paraId="59924541">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（备注：该部分须与“商务需求”承诺的内容相呼应，不得前后矛盾。）</w:t>
      </w:r>
    </w:p>
    <w:p w14:paraId="50C9B137">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9" w:name="_Toc29995"/>
      <w:r>
        <w:rPr>
          <w:rFonts w:hint="eastAsia" w:asciiTheme="minorEastAsia" w:hAnsiTheme="minorEastAsia"/>
          <w:szCs w:val="21"/>
        </w:rPr>
        <w:t>附件</w:t>
      </w:r>
      <w:r>
        <w:rPr>
          <w:rFonts w:asciiTheme="minorEastAsia" w:hAnsiTheme="minorEastAsia"/>
          <w:szCs w:val="21"/>
        </w:rPr>
        <w:t>10</w:t>
      </w:r>
      <w:r>
        <w:rPr>
          <w:rFonts w:hint="eastAsia" w:asciiTheme="minorEastAsia" w:hAnsiTheme="minorEastAsia"/>
          <w:szCs w:val="21"/>
        </w:rPr>
        <w:t>：中小企业声明函</w:t>
      </w:r>
      <w:bookmarkEnd w:id="169"/>
      <w:r>
        <w:rPr>
          <w:rFonts w:hint="eastAsia" w:asciiTheme="minorEastAsia" w:hAnsiTheme="minorEastAsia"/>
          <w:szCs w:val="21"/>
        </w:rPr>
        <w:t>（如有）</w:t>
      </w:r>
    </w:p>
    <w:p w14:paraId="45B7B09F">
      <w:pPr>
        <w:keepNext/>
        <w:keepLines/>
        <w:spacing w:before="160" w:after="170"/>
        <w:ind w:firstLine="602" w:firstLineChars="200"/>
        <w:jc w:val="center"/>
        <w:outlineLvl w:val="4"/>
        <w:rPr>
          <w:b/>
          <w:bCs/>
          <w:sz w:val="30"/>
          <w:szCs w:val="28"/>
        </w:rPr>
      </w:pPr>
      <w:bookmarkStart w:id="170" w:name="_Toc55548549"/>
      <w:r>
        <w:rPr>
          <w:rFonts w:hint="eastAsia"/>
          <w:b/>
          <w:bCs/>
          <w:sz w:val="30"/>
          <w:szCs w:val="28"/>
        </w:rPr>
        <w:t>中小企业声明函</w:t>
      </w:r>
      <w:bookmarkEnd w:id="170"/>
    </w:p>
    <w:p w14:paraId="112BE93C">
      <w:pPr>
        <w:spacing w:line="360" w:lineRule="auto"/>
        <w:ind w:firstLine="420" w:firstLineChars="200"/>
        <w:rPr>
          <w:rFonts w:asciiTheme="minorEastAsia" w:hAnsiTheme="minorEastAsia"/>
          <w:szCs w:val="21"/>
        </w:rPr>
      </w:pPr>
      <w:r>
        <w:rPr>
          <w:rFonts w:asciiTheme="minorEastAsia" w:hAnsiTheme="minorEastAsia"/>
          <w:szCs w:val="21"/>
        </w:rPr>
        <w:t>本公司郑重声明，根据《政府采购促进中小企业发展暂行办法》（财库[2011]181号）的规定，本公司为______（请填写：中型、小型、微型）企业。即，本公司同时满足以下条件：</w:t>
      </w:r>
    </w:p>
    <w:p w14:paraId="7133F6E9">
      <w:pPr>
        <w:spacing w:line="360" w:lineRule="auto"/>
        <w:ind w:firstLine="420" w:firstLineChars="200"/>
        <w:rPr>
          <w:rFonts w:asciiTheme="minorEastAsia" w:hAnsiTheme="minorEastAsia"/>
          <w:szCs w:val="21"/>
        </w:rPr>
      </w:pPr>
    </w:p>
    <w:p w14:paraId="6AECFD15">
      <w:pPr>
        <w:spacing w:line="360" w:lineRule="auto"/>
        <w:ind w:firstLine="420" w:firstLineChars="200"/>
        <w:rPr>
          <w:rFonts w:asciiTheme="minorEastAsia" w:hAnsiTheme="minorEastAsia"/>
          <w:szCs w:val="21"/>
        </w:rPr>
      </w:pPr>
      <w:r>
        <w:rPr>
          <w:rFonts w:asciiTheme="minorEastAsia" w:hAnsiTheme="minorEastAsia"/>
          <w:szCs w:val="21"/>
        </w:rPr>
        <w:t>1.根据《工业和信息化部、国家统计局、国家发展和改革委员会、财政部关于印发中小企业划型标准规定的通知》（工信部联企业[2011]300号）规定的划分标准，本公司为______（请填写：中型、小型、微型）企业。</w:t>
      </w:r>
    </w:p>
    <w:p w14:paraId="2290CEBD">
      <w:pPr>
        <w:spacing w:line="360" w:lineRule="auto"/>
        <w:ind w:firstLine="420" w:firstLineChars="200"/>
        <w:rPr>
          <w:rFonts w:asciiTheme="minorEastAsia" w:hAnsiTheme="minorEastAsia"/>
          <w:szCs w:val="21"/>
        </w:rPr>
      </w:pPr>
      <w:r>
        <w:rPr>
          <w:rFonts w:asciiTheme="minorEastAsia" w:hAnsiTheme="minorEastAsia"/>
          <w:szCs w:val="21"/>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6D95A7D3">
      <w:pPr>
        <w:spacing w:line="360" w:lineRule="auto"/>
        <w:ind w:firstLine="420" w:firstLineChars="200"/>
        <w:rPr>
          <w:rFonts w:asciiTheme="minorEastAsia" w:hAnsiTheme="minorEastAsia"/>
          <w:szCs w:val="21"/>
        </w:rPr>
      </w:pPr>
      <w:r>
        <w:rPr>
          <w:rFonts w:asciiTheme="minorEastAsia" w:hAnsiTheme="minorEastAsia"/>
          <w:szCs w:val="21"/>
        </w:rPr>
        <w:t>本公司对上述声明的真实性负责。如有虚假，将依法承担相应责任。</w:t>
      </w:r>
    </w:p>
    <w:p w14:paraId="51561B4E">
      <w:pPr>
        <w:spacing w:line="360" w:lineRule="auto"/>
        <w:ind w:firstLine="420" w:firstLineChars="200"/>
        <w:rPr>
          <w:rFonts w:asciiTheme="minorEastAsia" w:hAnsiTheme="minorEastAsia"/>
          <w:szCs w:val="21"/>
        </w:rPr>
      </w:pPr>
    </w:p>
    <w:p w14:paraId="77DD0576">
      <w:pPr>
        <w:spacing w:line="360" w:lineRule="auto"/>
        <w:ind w:firstLine="420" w:firstLineChars="200"/>
        <w:rPr>
          <w:rFonts w:asciiTheme="minorEastAsia" w:hAnsiTheme="minorEastAsia"/>
          <w:szCs w:val="21"/>
        </w:rPr>
      </w:pPr>
    </w:p>
    <w:p w14:paraId="03173C7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7A1823D3">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C82BB4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5D34553C">
      <w:pPr>
        <w:spacing w:line="360" w:lineRule="auto"/>
        <w:ind w:firstLine="420" w:firstLineChars="200"/>
        <w:rPr>
          <w:rFonts w:asciiTheme="minorEastAsia" w:hAnsiTheme="minorEastAsia"/>
          <w:szCs w:val="21"/>
        </w:rPr>
      </w:pPr>
    </w:p>
    <w:p w14:paraId="7573F722">
      <w:pPr>
        <w:spacing w:line="360" w:lineRule="auto"/>
        <w:ind w:firstLine="420" w:firstLineChars="200"/>
        <w:rPr>
          <w:rFonts w:asciiTheme="minorEastAsia" w:hAnsiTheme="minorEastAsia"/>
          <w:szCs w:val="21"/>
        </w:rPr>
      </w:pPr>
      <w:r>
        <w:rPr>
          <w:rFonts w:hint="eastAsia" w:asciiTheme="minorEastAsia" w:hAnsiTheme="minorEastAsia"/>
          <w:szCs w:val="21"/>
        </w:rPr>
        <w:t>备注：填写前请认真阅读《工业和信息化部、国家统计局、国家发展和改革委员会、财政部关于印发中小企业划型标准规定的通知》(工信部联企业〔2011〕300号)和《财政部、工业和信息化部关于印发政府采购促进中小企业发展暂行办法的通知》(财库〔2011〕181号)相关规定。如不符合前述相关规定所确定的小型和微型企业，则不需要在投标文件中提供本《中小企业声明函》；若符合前述相关规定所确定的小型和微型企业，在投标文件中没有提供本《中小企业声明函》，视为在本项目中放弃政府采购政策扶持，不进行价格扣除。</w:t>
      </w:r>
    </w:p>
    <w:p w14:paraId="4BF014BF">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71" w:name="_Toc51086642"/>
      <w:bookmarkStart w:id="172" w:name="_Toc21677"/>
      <w:bookmarkStart w:id="173" w:name="_Toc51255734"/>
      <w:bookmarkStart w:id="174" w:name="_Toc51682373"/>
      <w:bookmarkStart w:id="175" w:name="_Toc52129207"/>
      <w:r>
        <w:rPr>
          <w:rFonts w:hint="eastAsia" w:asciiTheme="minorEastAsia" w:hAnsiTheme="minorEastAsia"/>
          <w:szCs w:val="21"/>
        </w:rPr>
        <w:t>附件</w:t>
      </w:r>
      <w:r>
        <w:rPr>
          <w:rFonts w:asciiTheme="minorEastAsia" w:hAnsiTheme="minorEastAsia"/>
          <w:szCs w:val="21"/>
        </w:rPr>
        <w:t>11</w:t>
      </w:r>
      <w:r>
        <w:rPr>
          <w:rFonts w:hint="eastAsia" w:asciiTheme="minorEastAsia" w:hAnsiTheme="minorEastAsia"/>
          <w:szCs w:val="21"/>
        </w:rPr>
        <w:t>：监狱企业证明函</w:t>
      </w:r>
      <w:bookmarkEnd w:id="171"/>
      <w:bookmarkEnd w:id="172"/>
      <w:bookmarkEnd w:id="173"/>
      <w:bookmarkEnd w:id="174"/>
      <w:bookmarkEnd w:id="175"/>
      <w:r>
        <w:rPr>
          <w:rFonts w:hint="eastAsia" w:asciiTheme="minorEastAsia" w:hAnsiTheme="minorEastAsia"/>
          <w:szCs w:val="21"/>
        </w:rPr>
        <w:t>（如有）</w:t>
      </w:r>
    </w:p>
    <w:p w14:paraId="5F037324">
      <w:pPr>
        <w:keepNext/>
        <w:keepLines/>
        <w:spacing w:before="160" w:after="170"/>
        <w:ind w:firstLine="602" w:firstLineChars="200"/>
        <w:jc w:val="center"/>
        <w:outlineLvl w:val="4"/>
        <w:rPr>
          <w:b/>
          <w:bCs/>
          <w:sz w:val="30"/>
          <w:szCs w:val="28"/>
        </w:rPr>
      </w:pPr>
      <w:bookmarkStart w:id="176" w:name="_Toc55548550"/>
      <w:r>
        <w:rPr>
          <w:rFonts w:hint="eastAsia"/>
          <w:b/>
          <w:bCs/>
          <w:sz w:val="30"/>
          <w:szCs w:val="28"/>
        </w:rPr>
        <w:t>监狱企业证明函</w:t>
      </w:r>
      <w:bookmarkEnd w:id="176"/>
    </w:p>
    <w:p w14:paraId="7B52B0C7">
      <w:pPr>
        <w:spacing w:line="360" w:lineRule="auto"/>
        <w:ind w:firstLine="420" w:firstLineChars="200"/>
        <w:rPr>
          <w:rFonts w:asciiTheme="minorEastAsia" w:hAnsiTheme="minorEastAsia"/>
          <w:szCs w:val="21"/>
        </w:rPr>
      </w:pPr>
      <w:r>
        <w:rPr>
          <w:rFonts w:hint="eastAsia" w:asciiTheme="minorEastAsia" w:hAnsiTheme="minorEastAsia"/>
          <w:szCs w:val="21"/>
        </w:rPr>
        <w:t>根据《财政部 司法部关于政府采购支持监狱企业发展有关问题的通知》（财库[2014]68号）的规定，（填写供应商法定全称）为监狱企业。</w:t>
      </w:r>
    </w:p>
    <w:p w14:paraId="066D7352">
      <w:pPr>
        <w:spacing w:line="360" w:lineRule="auto"/>
        <w:ind w:firstLine="420" w:firstLineChars="200"/>
        <w:rPr>
          <w:rFonts w:asciiTheme="minorEastAsia" w:hAnsiTheme="minorEastAsia"/>
          <w:szCs w:val="21"/>
        </w:rPr>
      </w:pPr>
      <w:r>
        <w:rPr>
          <w:rFonts w:hint="eastAsia" w:asciiTheme="minorEastAsia" w:hAnsiTheme="minorEastAsia"/>
          <w:szCs w:val="21"/>
        </w:rPr>
        <w:t>特此证明。</w:t>
      </w:r>
    </w:p>
    <w:p w14:paraId="11DDB63F">
      <w:pPr>
        <w:spacing w:line="360" w:lineRule="auto"/>
        <w:ind w:firstLine="420" w:firstLineChars="200"/>
        <w:rPr>
          <w:rFonts w:asciiTheme="minorEastAsia" w:hAnsiTheme="minorEastAsia"/>
          <w:szCs w:val="21"/>
        </w:rPr>
      </w:pPr>
    </w:p>
    <w:p w14:paraId="6512AED6">
      <w:pPr>
        <w:spacing w:line="360" w:lineRule="auto"/>
        <w:ind w:firstLine="420" w:firstLineChars="200"/>
        <w:rPr>
          <w:rFonts w:asciiTheme="minorEastAsia" w:hAnsiTheme="minorEastAsia"/>
          <w:szCs w:val="21"/>
        </w:rPr>
      </w:pPr>
    </w:p>
    <w:p w14:paraId="2A3045BA">
      <w:pPr>
        <w:spacing w:line="360" w:lineRule="auto"/>
        <w:ind w:firstLine="420" w:firstLineChars="200"/>
        <w:rPr>
          <w:rFonts w:asciiTheme="minorEastAsia" w:hAnsiTheme="minorEastAsia"/>
          <w:b/>
          <w:bCs/>
          <w:szCs w:val="21"/>
        </w:rPr>
      </w:pPr>
      <w:r>
        <w:rPr>
          <w:rFonts w:hint="eastAsia" w:asciiTheme="minorEastAsia" w:hAnsiTheme="minorEastAsia"/>
          <w:szCs w:val="21"/>
        </w:rPr>
        <w:t>省级以上监狱管理局、戒毒管理局（含新疆生产建设兵团）（盖章）：</w:t>
      </w:r>
      <w:r>
        <w:rPr>
          <w:rFonts w:asciiTheme="minorEastAsia" w:hAnsiTheme="minorEastAsia"/>
          <w:b/>
          <w:bCs/>
          <w:szCs w:val="21"/>
        </w:rPr>
        <w:br w:type="page"/>
      </w:r>
    </w:p>
    <w:p w14:paraId="1DA921FA">
      <w:pPr>
        <w:spacing w:line="360" w:lineRule="auto"/>
        <w:ind w:firstLine="420" w:firstLineChars="200"/>
        <w:rPr>
          <w:rFonts w:asciiTheme="minorEastAsia" w:hAnsiTheme="minorEastAsia"/>
          <w:szCs w:val="21"/>
        </w:rPr>
      </w:pPr>
      <w:bookmarkStart w:id="177" w:name="_Toc51086643"/>
      <w:bookmarkStart w:id="178" w:name="_Toc51682374"/>
      <w:bookmarkStart w:id="179" w:name="_Toc18139"/>
      <w:bookmarkStart w:id="180" w:name="_Toc52129208"/>
      <w:bookmarkStart w:id="181" w:name="_Toc51255735"/>
      <w:r>
        <w:rPr>
          <w:rFonts w:hint="eastAsia" w:asciiTheme="minorEastAsia" w:hAnsiTheme="minorEastAsia"/>
          <w:szCs w:val="21"/>
        </w:rPr>
        <w:t>附件</w:t>
      </w:r>
      <w:r>
        <w:rPr>
          <w:rFonts w:asciiTheme="minorEastAsia" w:hAnsiTheme="minorEastAsia"/>
          <w:szCs w:val="21"/>
        </w:rPr>
        <w:t>12</w:t>
      </w:r>
      <w:r>
        <w:rPr>
          <w:rFonts w:hint="eastAsia" w:asciiTheme="minorEastAsia" w:hAnsiTheme="minorEastAsia"/>
          <w:szCs w:val="21"/>
        </w:rPr>
        <w:t>：残疾人福利性单位声明函</w:t>
      </w:r>
      <w:bookmarkEnd w:id="177"/>
      <w:bookmarkEnd w:id="178"/>
      <w:bookmarkEnd w:id="179"/>
      <w:bookmarkEnd w:id="180"/>
      <w:bookmarkEnd w:id="181"/>
      <w:r>
        <w:rPr>
          <w:rFonts w:hint="eastAsia" w:asciiTheme="minorEastAsia" w:hAnsiTheme="minorEastAsia"/>
          <w:szCs w:val="21"/>
        </w:rPr>
        <w:t>（如有）</w:t>
      </w:r>
    </w:p>
    <w:p w14:paraId="62A9B6DE">
      <w:pPr>
        <w:keepNext/>
        <w:keepLines/>
        <w:spacing w:before="160" w:after="170"/>
        <w:ind w:firstLine="602" w:firstLineChars="200"/>
        <w:jc w:val="center"/>
        <w:outlineLvl w:val="4"/>
        <w:rPr>
          <w:b/>
          <w:bCs/>
          <w:sz w:val="30"/>
          <w:szCs w:val="28"/>
        </w:rPr>
      </w:pPr>
      <w:bookmarkStart w:id="182" w:name="_Toc55548551"/>
      <w:r>
        <w:rPr>
          <w:rFonts w:hint="eastAsia"/>
          <w:b/>
          <w:bCs/>
          <w:sz w:val="30"/>
          <w:szCs w:val="28"/>
        </w:rPr>
        <w:t>残疾人福利性单位声明函</w:t>
      </w:r>
      <w:bookmarkEnd w:id="182"/>
    </w:p>
    <w:p w14:paraId="1B6B2D80">
      <w:pPr>
        <w:spacing w:line="360" w:lineRule="auto"/>
        <w:ind w:firstLine="420" w:firstLineChars="200"/>
        <w:rPr>
          <w:rFonts w:asciiTheme="minorEastAsia" w:hAnsiTheme="minorEastAsia"/>
          <w:szCs w:val="21"/>
        </w:rPr>
      </w:pPr>
      <w:r>
        <w:rPr>
          <w:rFonts w:hint="eastAsia" w:asciiTheme="minorEastAsia" w:hAnsiTheme="minorEastAsia"/>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1171A73">
      <w:pPr>
        <w:spacing w:line="360" w:lineRule="auto"/>
        <w:ind w:firstLine="420" w:firstLineChars="200"/>
        <w:rPr>
          <w:rFonts w:asciiTheme="minorEastAsia" w:hAnsiTheme="minorEastAsia"/>
          <w:szCs w:val="21"/>
        </w:rPr>
      </w:pPr>
      <w:r>
        <w:rPr>
          <w:rFonts w:hint="eastAsia" w:asciiTheme="minorEastAsia" w:hAnsiTheme="minorEastAsia"/>
          <w:szCs w:val="21"/>
        </w:rPr>
        <w:t>本单位对上述声明的真实性负责。如有虚假，将依法承担相应责任。</w:t>
      </w:r>
    </w:p>
    <w:p w14:paraId="69A0D1FE">
      <w:pPr>
        <w:spacing w:line="360" w:lineRule="auto"/>
        <w:ind w:firstLine="420" w:firstLineChars="200"/>
        <w:rPr>
          <w:rFonts w:asciiTheme="minorEastAsia" w:hAnsiTheme="minorEastAsia"/>
          <w:szCs w:val="21"/>
        </w:rPr>
      </w:pPr>
    </w:p>
    <w:p w14:paraId="7D7E19FA">
      <w:pPr>
        <w:spacing w:line="360" w:lineRule="auto"/>
        <w:ind w:firstLine="420" w:firstLineChars="200"/>
        <w:rPr>
          <w:rFonts w:asciiTheme="minorEastAsia" w:hAnsiTheme="minorEastAsia"/>
          <w:szCs w:val="21"/>
        </w:rPr>
      </w:pPr>
    </w:p>
    <w:p w14:paraId="29D324C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7DD0D1F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19E9FDA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0DFABF3B">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47777A1B">
      <w:pPr>
        <w:spacing w:line="360" w:lineRule="auto"/>
        <w:ind w:firstLine="420" w:firstLineChars="200"/>
        <w:rPr>
          <w:rFonts w:asciiTheme="minorEastAsia" w:hAnsiTheme="minorEastAsia"/>
          <w:szCs w:val="21"/>
        </w:rPr>
      </w:pPr>
      <w:bookmarkStart w:id="183" w:name="_Toc1254"/>
      <w:r>
        <w:rPr>
          <w:rFonts w:hint="eastAsia" w:asciiTheme="minorEastAsia" w:hAnsiTheme="minorEastAsia"/>
          <w:szCs w:val="21"/>
        </w:rPr>
        <w:t>附件</w:t>
      </w:r>
      <w:r>
        <w:rPr>
          <w:rFonts w:asciiTheme="minorEastAsia" w:hAnsiTheme="minorEastAsia"/>
          <w:szCs w:val="21"/>
        </w:rPr>
        <w:t>13</w:t>
      </w:r>
      <w:r>
        <w:rPr>
          <w:rFonts w:hint="eastAsia" w:asciiTheme="minorEastAsia" w:hAnsiTheme="minorEastAsia"/>
          <w:szCs w:val="21"/>
        </w:rPr>
        <w:t>：投标人需要加以说明的其他内容</w:t>
      </w:r>
      <w:bookmarkEnd w:id="183"/>
      <w:r>
        <w:rPr>
          <w:rFonts w:hint="eastAsia" w:asciiTheme="minorEastAsia" w:hAnsiTheme="minorEastAsia"/>
          <w:szCs w:val="21"/>
        </w:rPr>
        <w:t>（如有）</w:t>
      </w:r>
    </w:p>
    <w:p w14:paraId="24749BB5">
      <w:pPr>
        <w:spacing w:line="360" w:lineRule="auto"/>
        <w:ind w:firstLine="420" w:firstLineChars="200"/>
        <w:rPr>
          <w:rFonts w:asciiTheme="minorEastAsia" w:hAnsiTheme="minorEastAsia"/>
          <w:szCs w:val="21"/>
        </w:rPr>
      </w:pPr>
    </w:p>
    <w:p w14:paraId="5E787199">
      <w:pPr>
        <w:spacing w:line="360" w:lineRule="auto"/>
        <w:ind w:firstLine="422" w:firstLineChars="200"/>
        <w:rPr>
          <w:rFonts w:asciiTheme="minorEastAsia" w:hAnsiTheme="minorEastAsia"/>
          <w:b/>
          <w:bCs/>
          <w:szCs w:val="21"/>
        </w:rPr>
      </w:pPr>
      <w:r>
        <w:rPr>
          <w:rFonts w:hint="eastAsia" w:asciiTheme="minorEastAsia" w:hAnsiTheme="minorEastAsia"/>
          <w:b/>
          <w:bCs/>
          <w:szCs w:val="21"/>
        </w:rPr>
        <w:t>投标人认为需要加以说明的其他内容</w:t>
      </w:r>
    </w:p>
    <w:p w14:paraId="7F0AC9DD">
      <w:pPr>
        <w:spacing w:line="360" w:lineRule="auto"/>
        <w:ind w:firstLine="420" w:firstLineChars="200"/>
        <w:rPr>
          <w:rFonts w:asciiTheme="minorEastAsia" w:hAnsiTheme="minorEastAsia"/>
          <w:szCs w:val="21"/>
        </w:rPr>
      </w:pPr>
      <w:r>
        <w:rPr>
          <w:rFonts w:hint="eastAsia" w:asciiTheme="minorEastAsia" w:hAnsiTheme="minorEastAsia"/>
          <w:szCs w:val="21"/>
        </w:rPr>
        <w:t>（格式自定）</w:t>
      </w:r>
    </w:p>
    <w:p w14:paraId="0FF90487">
      <w:pPr>
        <w:spacing w:line="360" w:lineRule="auto"/>
        <w:ind w:firstLine="420" w:firstLineChars="200"/>
      </w:pPr>
    </w:p>
    <w:p w14:paraId="2943998D">
      <w:pPr>
        <w:spacing w:line="360" w:lineRule="auto"/>
        <w:ind w:firstLine="420" w:firstLineChars="200"/>
      </w:pPr>
    </w:p>
    <w:p w14:paraId="672B4CEA">
      <w:pPr>
        <w:spacing w:line="360" w:lineRule="auto"/>
        <w:ind w:firstLine="420" w:firstLineChars="200"/>
      </w:pPr>
    </w:p>
    <w:p w14:paraId="27B7E374">
      <w:pPr>
        <w:spacing w:line="360" w:lineRule="auto"/>
        <w:ind w:firstLine="420" w:firstLineChars="200"/>
      </w:pPr>
    </w:p>
    <w:p w14:paraId="0C2DBAFC">
      <w:pPr>
        <w:spacing w:line="360" w:lineRule="auto"/>
        <w:ind w:firstLine="420" w:firstLineChars="200"/>
      </w:pPr>
    </w:p>
    <w:p w14:paraId="6766FA6B">
      <w:pPr>
        <w:spacing w:line="360" w:lineRule="auto"/>
        <w:ind w:firstLine="420" w:firstLineChars="200"/>
      </w:pPr>
    </w:p>
    <w:p w14:paraId="7F09228C">
      <w:pPr>
        <w:spacing w:line="360" w:lineRule="auto"/>
        <w:ind w:firstLine="420" w:firstLineChars="200"/>
      </w:pPr>
    </w:p>
    <w:p w14:paraId="29CC90A9">
      <w:pPr>
        <w:spacing w:line="360" w:lineRule="auto"/>
        <w:ind w:firstLine="420" w:firstLineChars="200"/>
      </w:pPr>
    </w:p>
    <w:p w14:paraId="463E1AD3">
      <w:pPr>
        <w:spacing w:line="360" w:lineRule="auto"/>
        <w:ind w:firstLine="420" w:firstLineChars="200"/>
        <w:rPr>
          <w:rFonts w:asciiTheme="minorEastAsia" w:hAnsiTheme="minorEastAsia"/>
          <w:szCs w:val="21"/>
        </w:rPr>
      </w:pPr>
    </w:p>
    <w:sectPr>
      <w:pgSz w:w="11906" w:h="16838"/>
      <w:pgMar w:top="1418" w:right="1474" w:bottom="141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auto"/>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1686772"/>
    </w:sdtPr>
    <w:sdtContent>
      <w:sdt>
        <w:sdtPr>
          <w:id w:val="1728636285"/>
        </w:sdtPr>
        <w:sdtContent>
          <w:p w14:paraId="77FF6FA4">
            <w:pPr>
              <w:pStyle w:val="1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p>
        </w:sdtContent>
      </w:sdt>
    </w:sdtContent>
  </w:sdt>
  <w:p w14:paraId="5C32308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A009">
    <w:pPr>
      <w:pStyle w:val="12"/>
    </w:pPr>
  </w:p>
  <w:p w14:paraId="00A6024C">
    <w:pPr>
      <w:pStyle w:val="12"/>
      <w:jc w:val="right"/>
      <w:rPr>
        <w:sz w:val="21"/>
        <w:szCs w:val="21"/>
      </w:rPr>
    </w:pPr>
    <w:bookmarkStart w:id="184" w:name="_Hlk69568634"/>
    <w:bookmarkStart w:id="185" w:name="_Hlk69568635"/>
    <w:r>
      <w:rPr>
        <w:rFonts w:hint="eastAsia"/>
        <w:sz w:val="21"/>
        <w:szCs w:val="21"/>
      </w:rPr>
      <w:t>深圳市宝安区疾病预防控制中心采购文件</w:t>
    </w:r>
    <w:bookmarkEnd w:id="184"/>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FA2C91"/>
    <w:multiLevelType w:val="singleLevel"/>
    <w:tmpl w:val="3DFA2C9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VjMTRiY2QxYmJlMjllYWNhNjZjMTAzYThmMWJiZjQifQ=="/>
  </w:docVars>
  <w:rsids>
    <w:rsidRoot w:val="00B27035"/>
    <w:rsid w:val="0000394F"/>
    <w:rsid w:val="00007A13"/>
    <w:rsid w:val="0001637F"/>
    <w:rsid w:val="00016C99"/>
    <w:rsid w:val="00016D41"/>
    <w:rsid w:val="00016DCD"/>
    <w:rsid w:val="00020F66"/>
    <w:rsid w:val="000236B7"/>
    <w:rsid w:val="00026541"/>
    <w:rsid w:val="000272A3"/>
    <w:rsid w:val="0003138A"/>
    <w:rsid w:val="0004025C"/>
    <w:rsid w:val="00042723"/>
    <w:rsid w:val="00046F21"/>
    <w:rsid w:val="00050084"/>
    <w:rsid w:val="000530FF"/>
    <w:rsid w:val="00053E10"/>
    <w:rsid w:val="000620DD"/>
    <w:rsid w:val="000627B7"/>
    <w:rsid w:val="00063FB1"/>
    <w:rsid w:val="00073E9D"/>
    <w:rsid w:val="00081A9E"/>
    <w:rsid w:val="00081D87"/>
    <w:rsid w:val="00084CCE"/>
    <w:rsid w:val="0008691A"/>
    <w:rsid w:val="00086C55"/>
    <w:rsid w:val="00086E51"/>
    <w:rsid w:val="00090FD5"/>
    <w:rsid w:val="00092A23"/>
    <w:rsid w:val="000968DD"/>
    <w:rsid w:val="000970E6"/>
    <w:rsid w:val="00097201"/>
    <w:rsid w:val="000974D9"/>
    <w:rsid w:val="000A013F"/>
    <w:rsid w:val="000A0BB6"/>
    <w:rsid w:val="000A4FF3"/>
    <w:rsid w:val="000A599B"/>
    <w:rsid w:val="000B13D0"/>
    <w:rsid w:val="000B2D75"/>
    <w:rsid w:val="000B3923"/>
    <w:rsid w:val="000B59F8"/>
    <w:rsid w:val="000B77F9"/>
    <w:rsid w:val="000B7EE0"/>
    <w:rsid w:val="000C561C"/>
    <w:rsid w:val="000C62B0"/>
    <w:rsid w:val="000C6CE9"/>
    <w:rsid w:val="000D08A9"/>
    <w:rsid w:val="000D2EB8"/>
    <w:rsid w:val="000D2FD9"/>
    <w:rsid w:val="000D476C"/>
    <w:rsid w:val="000D6859"/>
    <w:rsid w:val="000E5888"/>
    <w:rsid w:val="000F0F3D"/>
    <w:rsid w:val="000F101F"/>
    <w:rsid w:val="000F22EF"/>
    <w:rsid w:val="000F2D0A"/>
    <w:rsid w:val="000F6C66"/>
    <w:rsid w:val="0010066B"/>
    <w:rsid w:val="00100950"/>
    <w:rsid w:val="001043DC"/>
    <w:rsid w:val="00105F6E"/>
    <w:rsid w:val="00111B38"/>
    <w:rsid w:val="00112A97"/>
    <w:rsid w:val="00113156"/>
    <w:rsid w:val="00115CD5"/>
    <w:rsid w:val="0011797C"/>
    <w:rsid w:val="00125726"/>
    <w:rsid w:val="00125ACF"/>
    <w:rsid w:val="00125C6A"/>
    <w:rsid w:val="0012743D"/>
    <w:rsid w:val="00127C7B"/>
    <w:rsid w:val="00130814"/>
    <w:rsid w:val="001329BA"/>
    <w:rsid w:val="00132BE3"/>
    <w:rsid w:val="0013335C"/>
    <w:rsid w:val="00136300"/>
    <w:rsid w:val="00136387"/>
    <w:rsid w:val="00137876"/>
    <w:rsid w:val="001465AC"/>
    <w:rsid w:val="0014672D"/>
    <w:rsid w:val="00146F48"/>
    <w:rsid w:val="0015271F"/>
    <w:rsid w:val="001530A4"/>
    <w:rsid w:val="00154141"/>
    <w:rsid w:val="00161418"/>
    <w:rsid w:val="001624BB"/>
    <w:rsid w:val="00162B15"/>
    <w:rsid w:val="00163FBC"/>
    <w:rsid w:val="00165B6A"/>
    <w:rsid w:val="001678F7"/>
    <w:rsid w:val="00170E6B"/>
    <w:rsid w:val="00174DAC"/>
    <w:rsid w:val="001750E4"/>
    <w:rsid w:val="00180C24"/>
    <w:rsid w:val="001810ED"/>
    <w:rsid w:val="001813DD"/>
    <w:rsid w:val="00183CCF"/>
    <w:rsid w:val="00184BFC"/>
    <w:rsid w:val="00186E97"/>
    <w:rsid w:val="00187BC0"/>
    <w:rsid w:val="001905F7"/>
    <w:rsid w:val="00192254"/>
    <w:rsid w:val="001930C9"/>
    <w:rsid w:val="001938DE"/>
    <w:rsid w:val="0019395A"/>
    <w:rsid w:val="00195A48"/>
    <w:rsid w:val="00196D20"/>
    <w:rsid w:val="001A36D0"/>
    <w:rsid w:val="001A4CC2"/>
    <w:rsid w:val="001A5C2B"/>
    <w:rsid w:val="001A7960"/>
    <w:rsid w:val="001B12BF"/>
    <w:rsid w:val="001B287A"/>
    <w:rsid w:val="001B54B5"/>
    <w:rsid w:val="001C421C"/>
    <w:rsid w:val="001C42E8"/>
    <w:rsid w:val="001C7175"/>
    <w:rsid w:val="001C7613"/>
    <w:rsid w:val="001D1989"/>
    <w:rsid w:val="001D283D"/>
    <w:rsid w:val="001D5451"/>
    <w:rsid w:val="001D7F0D"/>
    <w:rsid w:val="001E5120"/>
    <w:rsid w:val="001F5585"/>
    <w:rsid w:val="00202216"/>
    <w:rsid w:val="002023D7"/>
    <w:rsid w:val="00204EC0"/>
    <w:rsid w:val="00205A0F"/>
    <w:rsid w:val="00207D31"/>
    <w:rsid w:val="00216C6D"/>
    <w:rsid w:val="00217F05"/>
    <w:rsid w:val="002219B9"/>
    <w:rsid w:val="002243E9"/>
    <w:rsid w:val="0022497B"/>
    <w:rsid w:val="00227BE1"/>
    <w:rsid w:val="00227CFD"/>
    <w:rsid w:val="0023071D"/>
    <w:rsid w:val="00232ED4"/>
    <w:rsid w:val="00234ACA"/>
    <w:rsid w:val="002350B3"/>
    <w:rsid w:val="00235B08"/>
    <w:rsid w:val="002429FB"/>
    <w:rsid w:val="00245BA9"/>
    <w:rsid w:val="002514E8"/>
    <w:rsid w:val="00253FCC"/>
    <w:rsid w:val="0025405F"/>
    <w:rsid w:val="002549AE"/>
    <w:rsid w:val="00255705"/>
    <w:rsid w:val="002570EC"/>
    <w:rsid w:val="002577FC"/>
    <w:rsid w:val="002607D8"/>
    <w:rsid w:val="00262959"/>
    <w:rsid w:val="00262E3B"/>
    <w:rsid w:val="00264146"/>
    <w:rsid w:val="00265ED8"/>
    <w:rsid w:val="00267B16"/>
    <w:rsid w:val="00270DED"/>
    <w:rsid w:val="00270EE6"/>
    <w:rsid w:val="002732D3"/>
    <w:rsid w:val="00273963"/>
    <w:rsid w:val="00273DD4"/>
    <w:rsid w:val="00274ADF"/>
    <w:rsid w:val="00275639"/>
    <w:rsid w:val="002830A3"/>
    <w:rsid w:val="00283FB4"/>
    <w:rsid w:val="002844D3"/>
    <w:rsid w:val="002849C2"/>
    <w:rsid w:val="00285211"/>
    <w:rsid w:val="00287092"/>
    <w:rsid w:val="0028748D"/>
    <w:rsid w:val="002905B6"/>
    <w:rsid w:val="0029095D"/>
    <w:rsid w:val="00291C54"/>
    <w:rsid w:val="00297795"/>
    <w:rsid w:val="002A4499"/>
    <w:rsid w:val="002A5BFA"/>
    <w:rsid w:val="002B7314"/>
    <w:rsid w:val="002C089E"/>
    <w:rsid w:val="002C0C26"/>
    <w:rsid w:val="002C12DB"/>
    <w:rsid w:val="002C4251"/>
    <w:rsid w:val="002D3543"/>
    <w:rsid w:val="002D5E47"/>
    <w:rsid w:val="002D70BB"/>
    <w:rsid w:val="002E00B6"/>
    <w:rsid w:val="002E0D63"/>
    <w:rsid w:val="002E202E"/>
    <w:rsid w:val="002E3D64"/>
    <w:rsid w:val="002E5E70"/>
    <w:rsid w:val="002F46DB"/>
    <w:rsid w:val="002F4C12"/>
    <w:rsid w:val="002F5862"/>
    <w:rsid w:val="00300139"/>
    <w:rsid w:val="003020A7"/>
    <w:rsid w:val="0030630F"/>
    <w:rsid w:val="00306350"/>
    <w:rsid w:val="00307947"/>
    <w:rsid w:val="00310DF6"/>
    <w:rsid w:val="00312AEB"/>
    <w:rsid w:val="00314147"/>
    <w:rsid w:val="00314D97"/>
    <w:rsid w:val="00320C6D"/>
    <w:rsid w:val="003234C1"/>
    <w:rsid w:val="00323F20"/>
    <w:rsid w:val="003259E0"/>
    <w:rsid w:val="00327B91"/>
    <w:rsid w:val="00331BF3"/>
    <w:rsid w:val="00335D20"/>
    <w:rsid w:val="00337BFB"/>
    <w:rsid w:val="0034222B"/>
    <w:rsid w:val="00342375"/>
    <w:rsid w:val="00343516"/>
    <w:rsid w:val="0034487A"/>
    <w:rsid w:val="00344D4A"/>
    <w:rsid w:val="00347B67"/>
    <w:rsid w:val="003531DE"/>
    <w:rsid w:val="003568C3"/>
    <w:rsid w:val="0035752B"/>
    <w:rsid w:val="00357856"/>
    <w:rsid w:val="00357903"/>
    <w:rsid w:val="00360311"/>
    <w:rsid w:val="00362847"/>
    <w:rsid w:val="00365501"/>
    <w:rsid w:val="00370E38"/>
    <w:rsid w:val="003722DC"/>
    <w:rsid w:val="0037339D"/>
    <w:rsid w:val="003765D8"/>
    <w:rsid w:val="00376712"/>
    <w:rsid w:val="00386497"/>
    <w:rsid w:val="00387FB4"/>
    <w:rsid w:val="003904C8"/>
    <w:rsid w:val="003948C4"/>
    <w:rsid w:val="00395BD5"/>
    <w:rsid w:val="003A2EF2"/>
    <w:rsid w:val="003B2B54"/>
    <w:rsid w:val="003B4C25"/>
    <w:rsid w:val="003B533D"/>
    <w:rsid w:val="003B5F69"/>
    <w:rsid w:val="003B664A"/>
    <w:rsid w:val="003C2BD3"/>
    <w:rsid w:val="003D0F25"/>
    <w:rsid w:val="003D1BFD"/>
    <w:rsid w:val="003D1C8B"/>
    <w:rsid w:val="003D3A10"/>
    <w:rsid w:val="003D3BF6"/>
    <w:rsid w:val="003D3E40"/>
    <w:rsid w:val="003D56EF"/>
    <w:rsid w:val="003E2496"/>
    <w:rsid w:val="003E47FF"/>
    <w:rsid w:val="003F3926"/>
    <w:rsid w:val="003F3E99"/>
    <w:rsid w:val="003F49FA"/>
    <w:rsid w:val="003F4A52"/>
    <w:rsid w:val="003F4C21"/>
    <w:rsid w:val="003F6BD9"/>
    <w:rsid w:val="003F7F46"/>
    <w:rsid w:val="00400BDD"/>
    <w:rsid w:val="0040568B"/>
    <w:rsid w:val="00405B4F"/>
    <w:rsid w:val="00412ADA"/>
    <w:rsid w:val="00415ABB"/>
    <w:rsid w:val="00416CB7"/>
    <w:rsid w:val="00417556"/>
    <w:rsid w:val="004224DA"/>
    <w:rsid w:val="00422C93"/>
    <w:rsid w:val="004240F2"/>
    <w:rsid w:val="004247C2"/>
    <w:rsid w:val="0042484C"/>
    <w:rsid w:val="00425768"/>
    <w:rsid w:val="00430C33"/>
    <w:rsid w:val="00431B05"/>
    <w:rsid w:val="00432BF0"/>
    <w:rsid w:val="004434FC"/>
    <w:rsid w:val="00444B83"/>
    <w:rsid w:val="004478C6"/>
    <w:rsid w:val="00450E1D"/>
    <w:rsid w:val="004512C7"/>
    <w:rsid w:val="004537FB"/>
    <w:rsid w:val="0045391A"/>
    <w:rsid w:val="00457D84"/>
    <w:rsid w:val="00460BB8"/>
    <w:rsid w:val="00461FA3"/>
    <w:rsid w:val="00462785"/>
    <w:rsid w:val="00463221"/>
    <w:rsid w:val="00463FD1"/>
    <w:rsid w:val="00473B47"/>
    <w:rsid w:val="00474DE6"/>
    <w:rsid w:val="00476B74"/>
    <w:rsid w:val="00481776"/>
    <w:rsid w:val="0048183C"/>
    <w:rsid w:val="00483481"/>
    <w:rsid w:val="0048440E"/>
    <w:rsid w:val="00484718"/>
    <w:rsid w:val="004865A3"/>
    <w:rsid w:val="00486D13"/>
    <w:rsid w:val="00487BC8"/>
    <w:rsid w:val="00491DD6"/>
    <w:rsid w:val="00492556"/>
    <w:rsid w:val="00492D8F"/>
    <w:rsid w:val="00494048"/>
    <w:rsid w:val="004970F8"/>
    <w:rsid w:val="00497DBD"/>
    <w:rsid w:val="004A0DAF"/>
    <w:rsid w:val="004A34CF"/>
    <w:rsid w:val="004A46F4"/>
    <w:rsid w:val="004A4795"/>
    <w:rsid w:val="004A4B94"/>
    <w:rsid w:val="004B08D4"/>
    <w:rsid w:val="004B0DCA"/>
    <w:rsid w:val="004B2A93"/>
    <w:rsid w:val="004B4E87"/>
    <w:rsid w:val="004B539D"/>
    <w:rsid w:val="004B6E5B"/>
    <w:rsid w:val="004C08AC"/>
    <w:rsid w:val="004C0B66"/>
    <w:rsid w:val="004C3F49"/>
    <w:rsid w:val="004D1B14"/>
    <w:rsid w:val="004D4DA5"/>
    <w:rsid w:val="004E07C0"/>
    <w:rsid w:val="004E1528"/>
    <w:rsid w:val="004E308C"/>
    <w:rsid w:val="004E46CB"/>
    <w:rsid w:val="004E725F"/>
    <w:rsid w:val="004F0148"/>
    <w:rsid w:val="004F2B76"/>
    <w:rsid w:val="004F3645"/>
    <w:rsid w:val="00500D01"/>
    <w:rsid w:val="00504CFF"/>
    <w:rsid w:val="00506D14"/>
    <w:rsid w:val="0051196C"/>
    <w:rsid w:val="005137DA"/>
    <w:rsid w:val="00513BF2"/>
    <w:rsid w:val="005173A6"/>
    <w:rsid w:val="005214AC"/>
    <w:rsid w:val="00521779"/>
    <w:rsid w:val="00521E40"/>
    <w:rsid w:val="00526344"/>
    <w:rsid w:val="00527EDC"/>
    <w:rsid w:val="00531911"/>
    <w:rsid w:val="00532B33"/>
    <w:rsid w:val="00535144"/>
    <w:rsid w:val="005352E1"/>
    <w:rsid w:val="00535430"/>
    <w:rsid w:val="00536246"/>
    <w:rsid w:val="005472BC"/>
    <w:rsid w:val="0054740D"/>
    <w:rsid w:val="00552059"/>
    <w:rsid w:val="00552C93"/>
    <w:rsid w:val="005561D7"/>
    <w:rsid w:val="00561C21"/>
    <w:rsid w:val="00561D31"/>
    <w:rsid w:val="00563895"/>
    <w:rsid w:val="005645E6"/>
    <w:rsid w:val="0056787E"/>
    <w:rsid w:val="00567D46"/>
    <w:rsid w:val="0057769D"/>
    <w:rsid w:val="0058113E"/>
    <w:rsid w:val="0058285B"/>
    <w:rsid w:val="00583310"/>
    <w:rsid w:val="005846F2"/>
    <w:rsid w:val="005849A9"/>
    <w:rsid w:val="00584F0C"/>
    <w:rsid w:val="005854FB"/>
    <w:rsid w:val="00585A02"/>
    <w:rsid w:val="00586966"/>
    <w:rsid w:val="00591CA5"/>
    <w:rsid w:val="00591D1A"/>
    <w:rsid w:val="00592F00"/>
    <w:rsid w:val="0059488B"/>
    <w:rsid w:val="00594D83"/>
    <w:rsid w:val="005A14F3"/>
    <w:rsid w:val="005A1CC5"/>
    <w:rsid w:val="005A5612"/>
    <w:rsid w:val="005B22A4"/>
    <w:rsid w:val="005B2452"/>
    <w:rsid w:val="005B4C1F"/>
    <w:rsid w:val="005B7C95"/>
    <w:rsid w:val="005C0612"/>
    <w:rsid w:val="005C0DB9"/>
    <w:rsid w:val="005C0FF6"/>
    <w:rsid w:val="005C18B9"/>
    <w:rsid w:val="005C21EE"/>
    <w:rsid w:val="005C376C"/>
    <w:rsid w:val="005C39EA"/>
    <w:rsid w:val="005D2961"/>
    <w:rsid w:val="005D2B9C"/>
    <w:rsid w:val="005D2D8F"/>
    <w:rsid w:val="005D6EF3"/>
    <w:rsid w:val="005D7164"/>
    <w:rsid w:val="005D7190"/>
    <w:rsid w:val="005E0466"/>
    <w:rsid w:val="005E11F0"/>
    <w:rsid w:val="005E12D5"/>
    <w:rsid w:val="005F3217"/>
    <w:rsid w:val="005F34BB"/>
    <w:rsid w:val="005F72F4"/>
    <w:rsid w:val="005F73F0"/>
    <w:rsid w:val="006058BB"/>
    <w:rsid w:val="00606500"/>
    <w:rsid w:val="00606715"/>
    <w:rsid w:val="00611947"/>
    <w:rsid w:val="00617363"/>
    <w:rsid w:val="006224E7"/>
    <w:rsid w:val="00623981"/>
    <w:rsid w:val="00624FEC"/>
    <w:rsid w:val="0062754D"/>
    <w:rsid w:val="006345F3"/>
    <w:rsid w:val="00635A1A"/>
    <w:rsid w:val="006407B7"/>
    <w:rsid w:val="0064183A"/>
    <w:rsid w:val="0065138F"/>
    <w:rsid w:val="00651FD0"/>
    <w:rsid w:val="00653282"/>
    <w:rsid w:val="00655479"/>
    <w:rsid w:val="0065567F"/>
    <w:rsid w:val="006557EE"/>
    <w:rsid w:val="00655894"/>
    <w:rsid w:val="006568AF"/>
    <w:rsid w:val="00660AF8"/>
    <w:rsid w:val="00660BB2"/>
    <w:rsid w:val="006617BD"/>
    <w:rsid w:val="00663633"/>
    <w:rsid w:val="0066471D"/>
    <w:rsid w:val="00664B30"/>
    <w:rsid w:val="00665979"/>
    <w:rsid w:val="00665C9C"/>
    <w:rsid w:val="00666DAC"/>
    <w:rsid w:val="006728BE"/>
    <w:rsid w:val="00673CA0"/>
    <w:rsid w:val="00674B5A"/>
    <w:rsid w:val="00684DAC"/>
    <w:rsid w:val="00685691"/>
    <w:rsid w:val="00687623"/>
    <w:rsid w:val="00690937"/>
    <w:rsid w:val="0069104B"/>
    <w:rsid w:val="006A2C16"/>
    <w:rsid w:val="006B10AC"/>
    <w:rsid w:val="006B15B6"/>
    <w:rsid w:val="006B1DB6"/>
    <w:rsid w:val="006B2D41"/>
    <w:rsid w:val="006B2FC4"/>
    <w:rsid w:val="006B302C"/>
    <w:rsid w:val="006B39F9"/>
    <w:rsid w:val="006B5CA7"/>
    <w:rsid w:val="006C2747"/>
    <w:rsid w:val="006C5653"/>
    <w:rsid w:val="006C60D3"/>
    <w:rsid w:val="006D0495"/>
    <w:rsid w:val="006D0AA6"/>
    <w:rsid w:val="006D36F6"/>
    <w:rsid w:val="006D52B6"/>
    <w:rsid w:val="006D63F9"/>
    <w:rsid w:val="006D67E5"/>
    <w:rsid w:val="006D74CC"/>
    <w:rsid w:val="006E3571"/>
    <w:rsid w:val="006F34C6"/>
    <w:rsid w:val="006F41DA"/>
    <w:rsid w:val="00705BD8"/>
    <w:rsid w:val="007067D3"/>
    <w:rsid w:val="00712BD7"/>
    <w:rsid w:val="00715E57"/>
    <w:rsid w:val="00721170"/>
    <w:rsid w:val="007231EE"/>
    <w:rsid w:val="0072335A"/>
    <w:rsid w:val="00724B87"/>
    <w:rsid w:val="0073452B"/>
    <w:rsid w:val="007459E7"/>
    <w:rsid w:val="007506FD"/>
    <w:rsid w:val="00751A67"/>
    <w:rsid w:val="007549C8"/>
    <w:rsid w:val="007554E3"/>
    <w:rsid w:val="0075689D"/>
    <w:rsid w:val="00762137"/>
    <w:rsid w:val="00766224"/>
    <w:rsid w:val="00766F64"/>
    <w:rsid w:val="00767104"/>
    <w:rsid w:val="00767478"/>
    <w:rsid w:val="007674F3"/>
    <w:rsid w:val="0077138C"/>
    <w:rsid w:val="007754EA"/>
    <w:rsid w:val="007911A0"/>
    <w:rsid w:val="00792052"/>
    <w:rsid w:val="0079207E"/>
    <w:rsid w:val="00793A6A"/>
    <w:rsid w:val="00793E70"/>
    <w:rsid w:val="00795EEA"/>
    <w:rsid w:val="007A2875"/>
    <w:rsid w:val="007A31B9"/>
    <w:rsid w:val="007A5E09"/>
    <w:rsid w:val="007A6077"/>
    <w:rsid w:val="007A7D9F"/>
    <w:rsid w:val="007B0B0E"/>
    <w:rsid w:val="007B1962"/>
    <w:rsid w:val="007B2CF3"/>
    <w:rsid w:val="007B4661"/>
    <w:rsid w:val="007B4C65"/>
    <w:rsid w:val="007B71E6"/>
    <w:rsid w:val="007C65B3"/>
    <w:rsid w:val="007C6D54"/>
    <w:rsid w:val="007D2242"/>
    <w:rsid w:val="007D60DA"/>
    <w:rsid w:val="007E14DB"/>
    <w:rsid w:val="007E1EFD"/>
    <w:rsid w:val="007E21BE"/>
    <w:rsid w:val="007E2F5A"/>
    <w:rsid w:val="007E3C03"/>
    <w:rsid w:val="007E4868"/>
    <w:rsid w:val="007E5008"/>
    <w:rsid w:val="007E639A"/>
    <w:rsid w:val="007E6A9D"/>
    <w:rsid w:val="007F11C6"/>
    <w:rsid w:val="007F482C"/>
    <w:rsid w:val="007F4EB1"/>
    <w:rsid w:val="007F5918"/>
    <w:rsid w:val="00805C93"/>
    <w:rsid w:val="0080742D"/>
    <w:rsid w:val="00817206"/>
    <w:rsid w:val="00820766"/>
    <w:rsid w:val="0082380B"/>
    <w:rsid w:val="008251A1"/>
    <w:rsid w:val="008263E2"/>
    <w:rsid w:val="008263E4"/>
    <w:rsid w:val="0083051C"/>
    <w:rsid w:val="008309A8"/>
    <w:rsid w:val="00833FA9"/>
    <w:rsid w:val="008403CD"/>
    <w:rsid w:val="0084094C"/>
    <w:rsid w:val="008427DA"/>
    <w:rsid w:val="00842966"/>
    <w:rsid w:val="008455C7"/>
    <w:rsid w:val="00850054"/>
    <w:rsid w:val="0085171D"/>
    <w:rsid w:val="00854F19"/>
    <w:rsid w:val="008565A0"/>
    <w:rsid w:val="00857094"/>
    <w:rsid w:val="00861A84"/>
    <w:rsid w:val="00865720"/>
    <w:rsid w:val="00870650"/>
    <w:rsid w:val="00871AB4"/>
    <w:rsid w:val="008737E6"/>
    <w:rsid w:val="008747B2"/>
    <w:rsid w:val="00875B2C"/>
    <w:rsid w:val="0087626E"/>
    <w:rsid w:val="00877379"/>
    <w:rsid w:val="008807FE"/>
    <w:rsid w:val="00881C68"/>
    <w:rsid w:val="0088252F"/>
    <w:rsid w:val="00885641"/>
    <w:rsid w:val="008861D0"/>
    <w:rsid w:val="00886513"/>
    <w:rsid w:val="00887EC0"/>
    <w:rsid w:val="00893BD2"/>
    <w:rsid w:val="008A25D3"/>
    <w:rsid w:val="008A4861"/>
    <w:rsid w:val="008A4CB4"/>
    <w:rsid w:val="008A5E40"/>
    <w:rsid w:val="008A65A3"/>
    <w:rsid w:val="008A6A3B"/>
    <w:rsid w:val="008B1F31"/>
    <w:rsid w:val="008B2E71"/>
    <w:rsid w:val="008B64EF"/>
    <w:rsid w:val="008B7729"/>
    <w:rsid w:val="008C2C7E"/>
    <w:rsid w:val="008C3446"/>
    <w:rsid w:val="008C480B"/>
    <w:rsid w:val="008C7B89"/>
    <w:rsid w:val="008C7C25"/>
    <w:rsid w:val="008D19C5"/>
    <w:rsid w:val="008D1E8F"/>
    <w:rsid w:val="008D26F9"/>
    <w:rsid w:val="008D3CDF"/>
    <w:rsid w:val="008D5116"/>
    <w:rsid w:val="008E0FFC"/>
    <w:rsid w:val="008E2F0D"/>
    <w:rsid w:val="008E4F01"/>
    <w:rsid w:val="008E53DE"/>
    <w:rsid w:val="008E756B"/>
    <w:rsid w:val="008F4FC5"/>
    <w:rsid w:val="008F55F8"/>
    <w:rsid w:val="008F59A9"/>
    <w:rsid w:val="009016ED"/>
    <w:rsid w:val="009023CA"/>
    <w:rsid w:val="009063D1"/>
    <w:rsid w:val="00911F33"/>
    <w:rsid w:val="0091227D"/>
    <w:rsid w:val="00912EFF"/>
    <w:rsid w:val="00913747"/>
    <w:rsid w:val="00913757"/>
    <w:rsid w:val="00916D2F"/>
    <w:rsid w:val="0092132F"/>
    <w:rsid w:val="009240C5"/>
    <w:rsid w:val="00930AE6"/>
    <w:rsid w:val="009316D6"/>
    <w:rsid w:val="0093453E"/>
    <w:rsid w:val="009419C6"/>
    <w:rsid w:val="00945543"/>
    <w:rsid w:val="00945D1E"/>
    <w:rsid w:val="009462F5"/>
    <w:rsid w:val="009509C6"/>
    <w:rsid w:val="00953BDB"/>
    <w:rsid w:val="009550B7"/>
    <w:rsid w:val="009551C2"/>
    <w:rsid w:val="00955F27"/>
    <w:rsid w:val="009577F3"/>
    <w:rsid w:val="00957AAC"/>
    <w:rsid w:val="00963C1D"/>
    <w:rsid w:val="00966013"/>
    <w:rsid w:val="009763C1"/>
    <w:rsid w:val="009817D5"/>
    <w:rsid w:val="009828B2"/>
    <w:rsid w:val="00983F17"/>
    <w:rsid w:val="00986C27"/>
    <w:rsid w:val="009940DA"/>
    <w:rsid w:val="009A14F1"/>
    <w:rsid w:val="009A14FC"/>
    <w:rsid w:val="009A2C14"/>
    <w:rsid w:val="009A2D94"/>
    <w:rsid w:val="009A677E"/>
    <w:rsid w:val="009B027B"/>
    <w:rsid w:val="009B0B06"/>
    <w:rsid w:val="009B215B"/>
    <w:rsid w:val="009B49A7"/>
    <w:rsid w:val="009B511A"/>
    <w:rsid w:val="009B6DBF"/>
    <w:rsid w:val="009B78E0"/>
    <w:rsid w:val="009C136C"/>
    <w:rsid w:val="009C13FB"/>
    <w:rsid w:val="009C3577"/>
    <w:rsid w:val="009D0140"/>
    <w:rsid w:val="009D1ED7"/>
    <w:rsid w:val="009D2EED"/>
    <w:rsid w:val="009D33E5"/>
    <w:rsid w:val="009D69AC"/>
    <w:rsid w:val="009E2191"/>
    <w:rsid w:val="009E2DF6"/>
    <w:rsid w:val="009E33AD"/>
    <w:rsid w:val="009E489A"/>
    <w:rsid w:val="009E5198"/>
    <w:rsid w:val="009E7909"/>
    <w:rsid w:val="009E7AED"/>
    <w:rsid w:val="009F3DD5"/>
    <w:rsid w:val="009F44F1"/>
    <w:rsid w:val="009F51D2"/>
    <w:rsid w:val="009F55D5"/>
    <w:rsid w:val="009F6601"/>
    <w:rsid w:val="009F718C"/>
    <w:rsid w:val="00A027F7"/>
    <w:rsid w:val="00A02C9B"/>
    <w:rsid w:val="00A02E18"/>
    <w:rsid w:val="00A032CD"/>
    <w:rsid w:val="00A069B6"/>
    <w:rsid w:val="00A074EF"/>
    <w:rsid w:val="00A10E96"/>
    <w:rsid w:val="00A142B0"/>
    <w:rsid w:val="00A14D8B"/>
    <w:rsid w:val="00A162F6"/>
    <w:rsid w:val="00A1645C"/>
    <w:rsid w:val="00A1664A"/>
    <w:rsid w:val="00A201D9"/>
    <w:rsid w:val="00A239ED"/>
    <w:rsid w:val="00A24AE0"/>
    <w:rsid w:val="00A310B6"/>
    <w:rsid w:val="00A31944"/>
    <w:rsid w:val="00A374C0"/>
    <w:rsid w:val="00A45F09"/>
    <w:rsid w:val="00A46D3B"/>
    <w:rsid w:val="00A502C8"/>
    <w:rsid w:val="00A5098C"/>
    <w:rsid w:val="00A51C85"/>
    <w:rsid w:val="00A55D91"/>
    <w:rsid w:val="00A56485"/>
    <w:rsid w:val="00A57EBB"/>
    <w:rsid w:val="00A60952"/>
    <w:rsid w:val="00A60D7F"/>
    <w:rsid w:val="00A60D89"/>
    <w:rsid w:val="00A60EC4"/>
    <w:rsid w:val="00A6357A"/>
    <w:rsid w:val="00A63D62"/>
    <w:rsid w:val="00A6426E"/>
    <w:rsid w:val="00A643B5"/>
    <w:rsid w:val="00A649B8"/>
    <w:rsid w:val="00A64B9D"/>
    <w:rsid w:val="00A6519A"/>
    <w:rsid w:val="00A665BF"/>
    <w:rsid w:val="00A66941"/>
    <w:rsid w:val="00A67361"/>
    <w:rsid w:val="00A67450"/>
    <w:rsid w:val="00A757EA"/>
    <w:rsid w:val="00A77684"/>
    <w:rsid w:val="00A804E2"/>
    <w:rsid w:val="00A83284"/>
    <w:rsid w:val="00A83993"/>
    <w:rsid w:val="00A86F04"/>
    <w:rsid w:val="00AA0A7F"/>
    <w:rsid w:val="00AA37F1"/>
    <w:rsid w:val="00AA3988"/>
    <w:rsid w:val="00AA45BA"/>
    <w:rsid w:val="00AA5B34"/>
    <w:rsid w:val="00AA5D8D"/>
    <w:rsid w:val="00AB5CB3"/>
    <w:rsid w:val="00AB5D1D"/>
    <w:rsid w:val="00AC0D8B"/>
    <w:rsid w:val="00AC3837"/>
    <w:rsid w:val="00AC44F0"/>
    <w:rsid w:val="00AC5EF8"/>
    <w:rsid w:val="00AD2111"/>
    <w:rsid w:val="00AD21D5"/>
    <w:rsid w:val="00AD42B4"/>
    <w:rsid w:val="00AD50B7"/>
    <w:rsid w:val="00AD7E8D"/>
    <w:rsid w:val="00AE032D"/>
    <w:rsid w:val="00AE449B"/>
    <w:rsid w:val="00AE72AB"/>
    <w:rsid w:val="00AE78B1"/>
    <w:rsid w:val="00AF2E0D"/>
    <w:rsid w:val="00AF3EA3"/>
    <w:rsid w:val="00AF4405"/>
    <w:rsid w:val="00AF740C"/>
    <w:rsid w:val="00B00ACC"/>
    <w:rsid w:val="00B00C44"/>
    <w:rsid w:val="00B00ED0"/>
    <w:rsid w:val="00B02508"/>
    <w:rsid w:val="00B02C9B"/>
    <w:rsid w:val="00B13AB1"/>
    <w:rsid w:val="00B17A94"/>
    <w:rsid w:val="00B21FB4"/>
    <w:rsid w:val="00B27035"/>
    <w:rsid w:val="00B30B35"/>
    <w:rsid w:val="00B32F32"/>
    <w:rsid w:val="00B331DF"/>
    <w:rsid w:val="00B35B9D"/>
    <w:rsid w:val="00B4196D"/>
    <w:rsid w:val="00B42A58"/>
    <w:rsid w:val="00B4633F"/>
    <w:rsid w:val="00B50DB2"/>
    <w:rsid w:val="00B524CE"/>
    <w:rsid w:val="00B5284E"/>
    <w:rsid w:val="00B533AF"/>
    <w:rsid w:val="00B537DA"/>
    <w:rsid w:val="00B54A3F"/>
    <w:rsid w:val="00B56CB2"/>
    <w:rsid w:val="00B61C61"/>
    <w:rsid w:val="00B63752"/>
    <w:rsid w:val="00B640C8"/>
    <w:rsid w:val="00B64FE8"/>
    <w:rsid w:val="00B70132"/>
    <w:rsid w:val="00B7357C"/>
    <w:rsid w:val="00B736D6"/>
    <w:rsid w:val="00B73E65"/>
    <w:rsid w:val="00B741DD"/>
    <w:rsid w:val="00B75547"/>
    <w:rsid w:val="00B76306"/>
    <w:rsid w:val="00B763EB"/>
    <w:rsid w:val="00B764DF"/>
    <w:rsid w:val="00B77508"/>
    <w:rsid w:val="00B775C9"/>
    <w:rsid w:val="00B77E1B"/>
    <w:rsid w:val="00B80124"/>
    <w:rsid w:val="00B90217"/>
    <w:rsid w:val="00B90430"/>
    <w:rsid w:val="00B938C7"/>
    <w:rsid w:val="00B96CC4"/>
    <w:rsid w:val="00BA1DAD"/>
    <w:rsid w:val="00BA25AD"/>
    <w:rsid w:val="00BA28BD"/>
    <w:rsid w:val="00BA5D8C"/>
    <w:rsid w:val="00BC0516"/>
    <w:rsid w:val="00BC2FED"/>
    <w:rsid w:val="00BC3264"/>
    <w:rsid w:val="00BC3A3D"/>
    <w:rsid w:val="00BC4182"/>
    <w:rsid w:val="00BC4AA0"/>
    <w:rsid w:val="00BC71EC"/>
    <w:rsid w:val="00BD0B8A"/>
    <w:rsid w:val="00BD351E"/>
    <w:rsid w:val="00BD46C4"/>
    <w:rsid w:val="00BD5C35"/>
    <w:rsid w:val="00BD7DAB"/>
    <w:rsid w:val="00BE1D99"/>
    <w:rsid w:val="00BE23B9"/>
    <w:rsid w:val="00BE4657"/>
    <w:rsid w:val="00BF1223"/>
    <w:rsid w:val="00BF3ADD"/>
    <w:rsid w:val="00BF51A1"/>
    <w:rsid w:val="00BF6E77"/>
    <w:rsid w:val="00C00565"/>
    <w:rsid w:val="00C0683B"/>
    <w:rsid w:val="00C11BAF"/>
    <w:rsid w:val="00C17C22"/>
    <w:rsid w:val="00C21F05"/>
    <w:rsid w:val="00C24421"/>
    <w:rsid w:val="00C25B04"/>
    <w:rsid w:val="00C30332"/>
    <w:rsid w:val="00C33FC8"/>
    <w:rsid w:val="00C349AB"/>
    <w:rsid w:val="00C37BAB"/>
    <w:rsid w:val="00C4123C"/>
    <w:rsid w:val="00C4135E"/>
    <w:rsid w:val="00C42C4C"/>
    <w:rsid w:val="00C435EF"/>
    <w:rsid w:val="00C436B7"/>
    <w:rsid w:val="00C43A9E"/>
    <w:rsid w:val="00C445BC"/>
    <w:rsid w:val="00C452E0"/>
    <w:rsid w:val="00C45A07"/>
    <w:rsid w:val="00C461C0"/>
    <w:rsid w:val="00C51038"/>
    <w:rsid w:val="00C53685"/>
    <w:rsid w:val="00C53B8C"/>
    <w:rsid w:val="00C54590"/>
    <w:rsid w:val="00C54C0A"/>
    <w:rsid w:val="00C55B4E"/>
    <w:rsid w:val="00C60169"/>
    <w:rsid w:val="00C609F7"/>
    <w:rsid w:val="00C60C70"/>
    <w:rsid w:val="00C63322"/>
    <w:rsid w:val="00C63DBA"/>
    <w:rsid w:val="00C66F8B"/>
    <w:rsid w:val="00C77418"/>
    <w:rsid w:val="00C87668"/>
    <w:rsid w:val="00C9059A"/>
    <w:rsid w:val="00C912A5"/>
    <w:rsid w:val="00C92E18"/>
    <w:rsid w:val="00C96F99"/>
    <w:rsid w:val="00C97ECB"/>
    <w:rsid w:val="00CA03D2"/>
    <w:rsid w:val="00CA17E0"/>
    <w:rsid w:val="00CA3542"/>
    <w:rsid w:val="00CA64A0"/>
    <w:rsid w:val="00CA6E11"/>
    <w:rsid w:val="00CB53A1"/>
    <w:rsid w:val="00CB682E"/>
    <w:rsid w:val="00CB6C22"/>
    <w:rsid w:val="00CB6EF7"/>
    <w:rsid w:val="00CC0B91"/>
    <w:rsid w:val="00CC2104"/>
    <w:rsid w:val="00CC2DFF"/>
    <w:rsid w:val="00CC3BAE"/>
    <w:rsid w:val="00CC5694"/>
    <w:rsid w:val="00CC6334"/>
    <w:rsid w:val="00CC7092"/>
    <w:rsid w:val="00CC7F32"/>
    <w:rsid w:val="00CD44F8"/>
    <w:rsid w:val="00CD7ED6"/>
    <w:rsid w:val="00CE03C2"/>
    <w:rsid w:val="00CE1C0B"/>
    <w:rsid w:val="00CE4007"/>
    <w:rsid w:val="00CF0718"/>
    <w:rsid w:val="00CF4205"/>
    <w:rsid w:val="00CF442C"/>
    <w:rsid w:val="00D00895"/>
    <w:rsid w:val="00D00C1D"/>
    <w:rsid w:val="00D019D3"/>
    <w:rsid w:val="00D04EFB"/>
    <w:rsid w:val="00D05C96"/>
    <w:rsid w:val="00D07F61"/>
    <w:rsid w:val="00D121F2"/>
    <w:rsid w:val="00D128DB"/>
    <w:rsid w:val="00D16D64"/>
    <w:rsid w:val="00D21978"/>
    <w:rsid w:val="00D21E3F"/>
    <w:rsid w:val="00D246A8"/>
    <w:rsid w:val="00D24885"/>
    <w:rsid w:val="00D26440"/>
    <w:rsid w:val="00D27C91"/>
    <w:rsid w:val="00D319C3"/>
    <w:rsid w:val="00D407CB"/>
    <w:rsid w:val="00D428A8"/>
    <w:rsid w:val="00D4292D"/>
    <w:rsid w:val="00D42B1C"/>
    <w:rsid w:val="00D46AB3"/>
    <w:rsid w:val="00D516E0"/>
    <w:rsid w:val="00D52046"/>
    <w:rsid w:val="00D52471"/>
    <w:rsid w:val="00D53B1B"/>
    <w:rsid w:val="00D54E6C"/>
    <w:rsid w:val="00D54F48"/>
    <w:rsid w:val="00D55DA3"/>
    <w:rsid w:val="00D55FA7"/>
    <w:rsid w:val="00D56956"/>
    <w:rsid w:val="00D57811"/>
    <w:rsid w:val="00D654B1"/>
    <w:rsid w:val="00D65753"/>
    <w:rsid w:val="00D65B12"/>
    <w:rsid w:val="00D672AA"/>
    <w:rsid w:val="00D70E8F"/>
    <w:rsid w:val="00D71D82"/>
    <w:rsid w:val="00D76F49"/>
    <w:rsid w:val="00D77DF6"/>
    <w:rsid w:val="00D80D99"/>
    <w:rsid w:val="00D80DA6"/>
    <w:rsid w:val="00D841FD"/>
    <w:rsid w:val="00D846D8"/>
    <w:rsid w:val="00D914B0"/>
    <w:rsid w:val="00D93093"/>
    <w:rsid w:val="00D942FA"/>
    <w:rsid w:val="00D964CA"/>
    <w:rsid w:val="00D9655A"/>
    <w:rsid w:val="00DA0306"/>
    <w:rsid w:val="00DA0A15"/>
    <w:rsid w:val="00DA0C45"/>
    <w:rsid w:val="00DA3107"/>
    <w:rsid w:val="00DA38D7"/>
    <w:rsid w:val="00DB11B3"/>
    <w:rsid w:val="00DB4C26"/>
    <w:rsid w:val="00DB4DB4"/>
    <w:rsid w:val="00DB4F3C"/>
    <w:rsid w:val="00DB7859"/>
    <w:rsid w:val="00DC161B"/>
    <w:rsid w:val="00DC1AD7"/>
    <w:rsid w:val="00DC21E6"/>
    <w:rsid w:val="00DC664D"/>
    <w:rsid w:val="00DD0AA7"/>
    <w:rsid w:val="00DD2650"/>
    <w:rsid w:val="00DD2DB5"/>
    <w:rsid w:val="00DD3270"/>
    <w:rsid w:val="00DD4C84"/>
    <w:rsid w:val="00DD5591"/>
    <w:rsid w:val="00DD7C57"/>
    <w:rsid w:val="00DE39A2"/>
    <w:rsid w:val="00DE6373"/>
    <w:rsid w:val="00DE63AC"/>
    <w:rsid w:val="00DF0796"/>
    <w:rsid w:val="00DF127E"/>
    <w:rsid w:val="00DF2ECA"/>
    <w:rsid w:val="00DF446C"/>
    <w:rsid w:val="00DF768B"/>
    <w:rsid w:val="00DF77E7"/>
    <w:rsid w:val="00E045A1"/>
    <w:rsid w:val="00E05A31"/>
    <w:rsid w:val="00E07FA0"/>
    <w:rsid w:val="00E17025"/>
    <w:rsid w:val="00E17EA3"/>
    <w:rsid w:val="00E20A7B"/>
    <w:rsid w:val="00E24B4A"/>
    <w:rsid w:val="00E31592"/>
    <w:rsid w:val="00E32D31"/>
    <w:rsid w:val="00E4039F"/>
    <w:rsid w:val="00E419E0"/>
    <w:rsid w:val="00E452D2"/>
    <w:rsid w:val="00E45C42"/>
    <w:rsid w:val="00E477F2"/>
    <w:rsid w:val="00E47A8D"/>
    <w:rsid w:val="00E5125C"/>
    <w:rsid w:val="00E55EFA"/>
    <w:rsid w:val="00E60DCF"/>
    <w:rsid w:val="00E62194"/>
    <w:rsid w:val="00E66D09"/>
    <w:rsid w:val="00E71544"/>
    <w:rsid w:val="00E747E7"/>
    <w:rsid w:val="00E7494D"/>
    <w:rsid w:val="00E774D0"/>
    <w:rsid w:val="00E810BD"/>
    <w:rsid w:val="00E81975"/>
    <w:rsid w:val="00E81F69"/>
    <w:rsid w:val="00E83D09"/>
    <w:rsid w:val="00E85D49"/>
    <w:rsid w:val="00E8649E"/>
    <w:rsid w:val="00E91443"/>
    <w:rsid w:val="00E92A2D"/>
    <w:rsid w:val="00EA0149"/>
    <w:rsid w:val="00EA0AA3"/>
    <w:rsid w:val="00EA4E6D"/>
    <w:rsid w:val="00EB3315"/>
    <w:rsid w:val="00EB3BCA"/>
    <w:rsid w:val="00EB508D"/>
    <w:rsid w:val="00EC38B0"/>
    <w:rsid w:val="00EC43D8"/>
    <w:rsid w:val="00EE06C8"/>
    <w:rsid w:val="00EE0AD9"/>
    <w:rsid w:val="00EE12E6"/>
    <w:rsid w:val="00EE15A4"/>
    <w:rsid w:val="00EE2F50"/>
    <w:rsid w:val="00EF3E9B"/>
    <w:rsid w:val="00EF41F0"/>
    <w:rsid w:val="00EF6855"/>
    <w:rsid w:val="00EF77FA"/>
    <w:rsid w:val="00F02352"/>
    <w:rsid w:val="00F03DAF"/>
    <w:rsid w:val="00F04551"/>
    <w:rsid w:val="00F05A6D"/>
    <w:rsid w:val="00F10924"/>
    <w:rsid w:val="00F109D0"/>
    <w:rsid w:val="00F153E2"/>
    <w:rsid w:val="00F16D96"/>
    <w:rsid w:val="00F172AE"/>
    <w:rsid w:val="00F216C4"/>
    <w:rsid w:val="00F21C53"/>
    <w:rsid w:val="00F22DC0"/>
    <w:rsid w:val="00F277EB"/>
    <w:rsid w:val="00F27C48"/>
    <w:rsid w:val="00F3076C"/>
    <w:rsid w:val="00F32963"/>
    <w:rsid w:val="00F403B2"/>
    <w:rsid w:val="00F414BC"/>
    <w:rsid w:val="00F447B7"/>
    <w:rsid w:val="00F4480E"/>
    <w:rsid w:val="00F51931"/>
    <w:rsid w:val="00F53078"/>
    <w:rsid w:val="00F55E6A"/>
    <w:rsid w:val="00F56248"/>
    <w:rsid w:val="00F56A6E"/>
    <w:rsid w:val="00F57194"/>
    <w:rsid w:val="00F63359"/>
    <w:rsid w:val="00F633E3"/>
    <w:rsid w:val="00F66168"/>
    <w:rsid w:val="00F67E07"/>
    <w:rsid w:val="00F67F01"/>
    <w:rsid w:val="00F703EE"/>
    <w:rsid w:val="00F71631"/>
    <w:rsid w:val="00F71E09"/>
    <w:rsid w:val="00F728FD"/>
    <w:rsid w:val="00F7399A"/>
    <w:rsid w:val="00F74A11"/>
    <w:rsid w:val="00F77BE9"/>
    <w:rsid w:val="00F80E67"/>
    <w:rsid w:val="00F8219C"/>
    <w:rsid w:val="00F835A4"/>
    <w:rsid w:val="00F842A9"/>
    <w:rsid w:val="00F84912"/>
    <w:rsid w:val="00F914A2"/>
    <w:rsid w:val="00F91577"/>
    <w:rsid w:val="00F944AB"/>
    <w:rsid w:val="00F96976"/>
    <w:rsid w:val="00F96D60"/>
    <w:rsid w:val="00FA22E9"/>
    <w:rsid w:val="00FA4902"/>
    <w:rsid w:val="00FB1917"/>
    <w:rsid w:val="00FB6E20"/>
    <w:rsid w:val="00FC097B"/>
    <w:rsid w:val="00FC5177"/>
    <w:rsid w:val="00FD2559"/>
    <w:rsid w:val="00FD2E15"/>
    <w:rsid w:val="00FD3F8A"/>
    <w:rsid w:val="00FD484A"/>
    <w:rsid w:val="00FE305B"/>
    <w:rsid w:val="00FE3355"/>
    <w:rsid w:val="00FE3D27"/>
    <w:rsid w:val="00FE4F9C"/>
    <w:rsid w:val="00FF21D8"/>
    <w:rsid w:val="00FF48FD"/>
    <w:rsid w:val="00FF5757"/>
    <w:rsid w:val="00FF7D0D"/>
    <w:rsid w:val="01CF7782"/>
    <w:rsid w:val="023B6BC5"/>
    <w:rsid w:val="02432E45"/>
    <w:rsid w:val="03936CB9"/>
    <w:rsid w:val="039B791C"/>
    <w:rsid w:val="04B95D27"/>
    <w:rsid w:val="05A86160"/>
    <w:rsid w:val="082500FC"/>
    <w:rsid w:val="0A5B7E05"/>
    <w:rsid w:val="0B760B22"/>
    <w:rsid w:val="0D2F096C"/>
    <w:rsid w:val="0EB14497"/>
    <w:rsid w:val="105C6685"/>
    <w:rsid w:val="118539B9"/>
    <w:rsid w:val="120A5960"/>
    <w:rsid w:val="12382C51"/>
    <w:rsid w:val="132E255A"/>
    <w:rsid w:val="19457086"/>
    <w:rsid w:val="19C31523"/>
    <w:rsid w:val="1E155F45"/>
    <w:rsid w:val="1E9516DF"/>
    <w:rsid w:val="1F244811"/>
    <w:rsid w:val="213056EF"/>
    <w:rsid w:val="218E68BA"/>
    <w:rsid w:val="24930B4D"/>
    <w:rsid w:val="25090731"/>
    <w:rsid w:val="271B299E"/>
    <w:rsid w:val="27E17743"/>
    <w:rsid w:val="2A2B114A"/>
    <w:rsid w:val="2B98280F"/>
    <w:rsid w:val="2C844B41"/>
    <w:rsid w:val="2CF04DB6"/>
    <w:rsid w:val="2DBE22D5"/>
    <w:rsid w:val="2E04418C"/>
    <w:rsid w:val="2F292845"/>
    <w:rsid w:val="31CD6F8B"/>
    <w:rsid w:val="31FB248A"/>
    <w:rsid w:val="33AF6948"/>
    <w:rsid w:val="349124F1"/>
    <w:rsid w:val="37621F23"/>
    <w:rsid w:val="394C2E8B"/>
    <w:rsid w:val="39643CC4"/>
    <w:rsid w:val="3A557167"/>
    <w:rsid w:val="3B675D5A"/>
    <w:rsid w:val="3B9D5C20"/>
    <w:rsid w:val="3C1063F2"/>
    <w:rsid w:val="3C1E040C"/>
    <w:rsid w:val="3ECF5007"/>
    <w:rsid w:val="403623E8"/>
    <w:rsid w:val="408D55B4"/>
    <w:rsid w:val="416F3F03"/>
    <w:rsid w:val="434F35D7"/>
    <w:rsid w:val="43EE7018"/>
    <w:rsid w:val="46A01EDB"/>
    <w:rsid w:val="46D83FB0"/>
    <w:rsid w:val="46EB5A91"/>
    <w:rsid w:val="4A912D42"/>
    <w:rsid w:val="4B6D116B"/>
    <w:rsid w:val="4B6F7F85"/>
    <w:rsid w:val="4B7D49B2"/>
    <w:rsid w:val="4C0B44E0"/>
    <w:rsid w:val="4EA03605"/>
    <w:rsid w:val="51114346"/>
    <w:rsid w:val="529B5E7E"/>
    <w:rsid w:val="53D02297"/>
    <w:rsid w:val="54D04518"/>
    <w:rsid w:val="57160908"/>
    <w:rsid w:val="5A971D60"/>
    <w:rsid w:val="5B547D34"/>
    <w:rsid w:val="5CD41DD8"/>
    <w:rsid w:val="5D900CE9"/>
    <w:rsid w:val="5DA86D0D"/>
    <w:rsid w:val="603E4A2C"/>
    <w:rsid w:val="608E7761"/>
    <w:rsid w:val="63235455"/>
    <w:rsid w:val="648F351A"/>
    <w:rsid w:val="64B92463"/>
    <w:rsid w:val="6BBF5D79"/>
    <w:rsid w:val="6D4B1B47"/>
    <w:rsid w:val="71E41203"/>
    <w:rsid w:val="72C94904"/>
    <w:rsid w:val="741144D9"/>
    <w:rsid w:val="752244C4"/>
    <w:rsid w:val="75F7788F"/>
    <w:rsid w:val="76397D18"/>
    <w:rsid w:val="764C17F9"/>
    <w:rsid w:val="76923A0F"/>
    <w:rsid w:val="76A758D2"/>
    <w:rsid w:val="76E23F0B"/>
    <w:rsid w:val="78003EB0"/>
    <w:rsid w:val="7D3C4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100" w:after="90"/>
      <w:jc w:val="center"/>
      <w:outlineLvl w:val="0"/>
    </w:pPr>
    <w:rPr>
      <w:b/>
      <w:bCs/>
      <w:kern w:val="44"/>
      <w:sz w:val="36"/>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6"/>
    <w:qFormat/>
    <w:uiPriority w:val="0"/>
    <w:pPr>
      <w:keepNext/>
      <w:keepLines/>
      <w:spacing w:before="160" w:after="170"/>
      <w:ind w:firstLine="200" w:firstLineChars="200"/>
      <w:outlineLvl w:val="3"/>
    </w:pPr>
    <w:rPr>
      <w:rFonts w:ascii="Cambria" w:hAnsi="Cambria" w:eastAsia="宋体" w:cs="Times New Roman"/>
      <w:b/>
      <w:bCs/>
      <w:sz w:val="24"/>
      <w:szCs w:val="28"/>
    </w:rPr>
  </w:style>
  <w:style w:type="paragraph" w:styleId="5">
    <w:name w:val="heading 5"/>
    <w:basedOn w:val="1"/>
    <w:next w:val="1"/>
    <w:link w:val="28"/>
    <w:unhideWhenUsed/>
    <w:qFormat/>
    <w:uiPriority w:val="9"/>
    <w:pPr>
      <w:keepNext/>
      <w:keepLines/>
      <w:spacing w:before="160" w:after="170"/>
      <w:ind w:firstLine="200" w:firstLineChars="200"/>
      <w:outlineLvl w:val="4"/>
    </w:pPr>
    <w:rPr>
      <w:b/>
      <w:bCs/>
      <w:sz w:val="24"/>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24"/>
    <w:qFormat/>
    <w:uiPriority w:val="0"/>
    <w:pPr>
      <w:ind w:firstLine="420" w:firstLineChars="200"/>
    </w:pPr>
    <w:rPr>
      <w:rFonts w:ascii="Times New Roman" w:hAnsi="Times New Roman" w:eastAsia="宋体" w:cs="Times New Roman"/>
      <w:szCs w:val="24"/>
    </w:rPr>
  </w:style>
  <w:style w:type="paragraph" w:styleId="7">
    <w:name w:val="annotation text"/>
    <w:basedOn w:val="1"/>
    <w:link w:val="37"/>
    <w:semiHidden/>
    <w:unhideWhenUsed/>
    <w:qFormat/>
    <w:uiPriority w:val="99"/>
    <w:pPr>
      <w:jc w:val="left"/>
    </w:pPr>
  </w:style>
  <w:style w:type="paragraph" w:styleId="8">
    <w:name w:val="Plain Text"/>
    <w:basedOn w:val="1"/>
    <w:link w:val="34"/>
    <w:qFormat/>
    <w:uiPriority w:val="99"/>
    <w:rPr>
      <w:rFonts w:ascii="宋体" w:hAnsi="Courier New" w:eastAsia="宋体" w:cs="Times New Roman"/>
      <w:kern w:val="10"/>
      <w:szCs w:val="21"/>
    </w:rPr>
  </w:style>
  <w:style w:type="paragraph" w:styleId="9">
    <w:name w:val="Date"/>
    <w:basedOn w:val="1"/>
    <w:next w:val="1"/>
    <w:link w:val="39"/>
    <w:semiHidden/>
    <w:unhideWhenUsed/>
    <w:qFormat/>
    <w:uiPriority w:val="99"/>
    <w:pPr>
      <w:ind w:left="100" w:leftChars="2500"/>
    </w:pPr>
  </w:style>
  <w:style w:type="paragraph" w:styleId="10">
    <w:name w:val="Balloon Text"/>
    <w:basedOn w:val="1"/>
    <w:link w:val="30"/>
    <w:semiHidden/>
    <w:unhideWhenUsed/>
    <w:qFormat/>
    <w:uiPriority w:val="99"/>
    <w:rPr>
      <w:sz w:val="18"/>
      <w:szCs w:val="18"/>
    </w:rPr>
  </w:style>
  <w:style w:type="paragraph" w:styleId="11">
    <w:name w:val="footer"/>
    <w:basedOn w:val="1"/>
    <w:link w:val="23"/>
    <w:unhideWhenUsed/>
    <w:qFormat/>
    <w:uiPriority w:val="99"/>
    <w:pPr>
      <w:tabs>
        <w:tab w:val="center" w:pos="4153"/>
        <w:tab w:val="right" w:pos="8306"/>
      </w:tabs>
      <w:snapToGrid w:val="0"/>
      <w:jc w:val="left"/>
    </w:pPr>
    <w:rPr>
      <w:sz w:val="18"/>
      <w:szCs w:val="18"/>
    </w:rPr>
  </w:style>
  <w:style w:type="paragraph" w:styleId="12">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paragraph" w:styleId="15">
    <w:name w:val="Normal (Web)"/>
    <w:basedOn w:val="1"/>
    <w:unhideWhenUsed/>
    <w:qFormat/>
    <w:uiPriority w:val="0"/>
    <w:pPr>
      <w:spacing w:beforeAutospacing="1" w:afterAutospacing="1"/>
      <w:jc w:val="left"/>
    </w:pPr>
    <w:rPr>
      <w:rFonts w:cs="Times New Roman"/>
      <w:kern w:val="0"/>
      <w:sz w:val="24"/>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Emphasis"/>
    <w:basedOn w:val="18"/>
    <w:qFormat/>
    <w:uiPriority w:val="20"/>
    <w:rPr>
      <w:i/>
    </w:rPr>
  </w:style>
  <w:style w:type="character" w:styleId="20">
    <w:name w:val="Hyperlink"/>
    <w:basedOn w:val="18"/>
    <w:qFormat/>
    <w:uiPriority w:val="99"/>
    <w:rPr>
      <w:color w:val="0000FF"/>
      <w:u w:val="single"/>
    </w:rPr>
  </w:style>
  <w:style w:type="character" w:styleId="21">
    <w:name w:val="annotation reference"/>
    <w:basedOn w:val="18"/>
    <w:semiHidden/>
    <w:unhideWhenUsed/>
    <w:qFormat/>
    <w:uiPriority w:val="99"/>
    <w:rPr>
      <w:sz w:val="21"/>
      <w:szCs w:val="21"/>
    </w:rPr>
  </w:style>
  <w:style w:type="character" w:customStyle="1" w:styleId="22">
    <w:name w:val="页眉 字符"/>
    <w:basedOn w:val="18"/>
    <w:link w:val="12"/>
    <w:qFormat/>
    <w:uiPriority w:val="99"/>
    <w:rPr>
      <w:sz w:val="18"/>
      <w:szCs w:val="18"/>
    </w:rPr>
  </w:style>
  <w:style w:type="character" w:customStyle="1" w:styleId="23">
    <w:name w:val="页脚 字符"/>
    <w:basedOn w:val="18"/>
    <w:link w:val="11"/>
    <w:qFormat/>
    <w:uiPriority w:val="99"/>
    <w:rPr>
      <w:sz w:val="18"/>
      <w:szCs w:val="18"/>
    </w:rPr>
  </w:style>
  <w:style w:type="character" w:customStyle="1" w:styleId="24">
    <w:name w:val="正文缩进 字符"/>
    <w:link w:val="6"/>
    <w:qFormat/>
    <w:uiPriority w:val="0"/>
    <w:rPr>
      <w:rFonts w:ascii="Times New Roman" w:hAnsi="Times New Roman" w:eastAsia="宋体" w:cs="Times New Roman"/>
      <w:szCs w:val="24"/>
    </w:rPr>
  </w:style>
  <w:style w:type="table" w:customStyle="1" w:styleId="25">
    <w:name w:val="网格型1"/>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标题 4 字符"/>
    <w:basedOn w:val="18"/>
    <w:link w:val="4"/>
    <w:qFormat/>
    <w:uiPriority w:val="0"/>
    <w:rPr>
      <w:rFonts w:ascii="Cambria" w:hAnsi="Cambria" w:eastAsia="宋体" w:cs="Times New Roman"/>
      <w:b/>
      <w:bCs/>
      <w:sz w:val="24"/>
      <w:szCs w:val="28"/>
    </w:rPr>
  </w:style>
  <w:style w:type="character" w:customStyle="1" w:styleId="27">
    <w:name w:val="标题 1 字符"/>
    <w:basedOn w:val="18"/>
    <w:link w:val="2"/>
    <w:qFormat/>
    <w:uiPriority w:val="9"/>
    <w:rPr>
      <w:b/>
      <w:bCs/>
      <w:kern w:val="44"/>
      <w:sz w:val="36"/>
      <w:szCs w:val="44"/>
    </w:rPr>
  </w:style>
  <w:style w:type="character" w:customStyle="1" w:styleId="28">
    <w:name w:val="标题 5 字符"/>
    <w:basedOn w:val="18"/>
    <w:link w:val="5"/>
    <w:qFormat/>
    <w:uiPriority w:val="9"/>
    <w:rPr>
      <w:b/>
      <w:bCs/>
      <w:sz w:val="24"/>
      <w:szCs w:val="28"/>
    </w:rPr>
  </w:style>
  <w:style w:type="paragraph" w:customStyle="1" w:styleId="2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30">
    <w:name w:val="批注框文本 字符"/>
    <w:basedOn w:val="18"/>
    <w:link w:val="10"/>
    <w:semiHidden/>
    <w:qFormat/>
    <w:uiPriority w:val="99"/>
    <w:rPr>
      <w:rFonts w:asciiTheme="minorHAnsi" w:hAnsiTheme="minorHAnsi" w:eastAsiaTheme="minorEastAsia" w:cstheme="minorBidi"/>
      <w:kern w:val="2"/>
      <w:sz w:val="18"/>
      <w:szCs w:val="18"/>
    </w:rPr>
  </w:style>
  <w:style w:type="paragraph" w:styleId="31">
    <w:name w:val="List Paragraph"/>
    <w:basedOn w:val="1"/>
    <w:unhideWhenUsed/>
    <w:qFormat/>
    <w:uiPriority w:val="99"/>
    <w:pPr>
      <w:ind w:firstLine="420" w:firstLineChars="200"/>
    </w:pPr>
  </w:style>
  <w:style w:type="table" w:customStyle="1" w:styleId="32">
    <w:name w:val="网格型2"/>
    <w:basedOn w:val="1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纯文本 字符"/>
    <w:basedOn w:val="18"/>
    <w:qFormat/>
    <w:uiPriority w:val="99"/>
    <w:rPr>
      <w:rFonts w:hAnsi="Courier New" w:cs="Courier New" w:asciiTheme="minorEastAsia" w:eastAsiaTheme="minorEastAsia"/>
      <w:kern w:val="2"/>
      <w:sz w:val="21"/>
      <w:szCs w:val="22"/>
    </w:rPr>
  </w:style>
  <w:style w:type="character" w:customStyle="1" w:styleId="34">
    <w:name w:val="纯文本 字符1"/>
    <w:link w:val="8"/>
    <w:qFormat/>
    <w:uiPriority w:val="0"/>
    <w:rPr>
      <w:rFonts w:ascii="宋体" w:hAnsi="Courier New"/>
      <w:kern w:val="10"/>
      <w:sz w:val="21"/>
      <w:szCs w:val="21"/>
    </w:rPr>
  </w:style>
  <w:style w:type="character" w:customStyle="1" w:styleId="35">
    <w:name w:val="标题 2 字符"/>
    <w:basedOn w:val="18"/>
    <w:link w:val="3"/>
    <w:qFormat/>
    <w:uiPriority w:val="9"/>
    <w:rPr>
      <w:rFonts w:asciiTheme="majorHAnsi" w:hAnsiTheme="majorHAnsi" w:eastAsiaTheme="majorEastAsia" w:cstheme="majorBidi"/>
      <w:b/>
      <w:bCs/>
      <w:kern w:val="2"/>
      <w:sz w:val="32"/>
      <w:szCs w:val="32"/>
    </w:rPr>
  </w:style>
  <w:style w:type="paragraph" w:customStyle="1" w:styleId="3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7">
    <w:name w:val="批注文字 字符"/>
    <w:basedOn w:val="18"/>
    <w:link w:val="7"/>
    <w:semiHidden/>
    <w:qFormat/>
    <w:uiPriority w:val="99"/>
    <w:rPr>
      <w:rFonts w:asciiTheme="minorHAnsi" w:hAnsiTheme="minorHAnsi" w:eastAsiaTheme="minorEastAsia" w:cstheme="minorBidi"/>
      <w:kern w:val="2"/>
      <w:sz w:val="21"/>
      <w:szCs w:val="22"/>
    </w:rPr>
  </w:style>
  <w:style w:type="paragraph" w:customStyle="1" w:styleId="38">
    <w:name w:val="_Style 35"/>
    <w:basedOn w:val="1"/>
    <w:next w:val="31"/>
    <w:qFormat/>
    <w:uiPriority w:val="34"/>
    <w:pPr>
      <w:ind w:firstLine="420" w:firstLineChars="200"/>
    </w:pPr>
    <w:rPr>
      <w:rFonts w:ascii="Calibri" w:hAnsi="Calibri" w:eastAsia="宋体" w:cs="Times New Roman"/>
      <w:szCs w:val="21"/>
    </w:rPr>
  </w:style>
  <w:style w:type="character" w:customStyle="1" w:styleId="39">
    <w:name w:val="日期 字符"/>
    <w:basedOn w:val="18"/>
    <w:link w:val="9"/>
    <w:semiHidden/>
    <w:qFormat/>
    <w:uiPriority w:val="99"/>
    <w:rPr>
      <w:kern w:val="2"/>
      <w:sz w:val="21"/>
      <w:szCs w:val="22"/>
    </w:rPr>
  </w:style>
  <w:style w:type="character" w:customStyle="1" w:styleId="40">
    <w:name w:val="font11"/>
    <w:basedOn w:val="18"/>
    <w:qFormat/>
    <w:uiPriority w:val="0"/>
    <w:rPr>
      <w:rFonts w:hint="eastAsia" w:ascii="宋体" w:hAnsi="宋体" w:eastAsia="宋体" w:cs="宋体"/>
      <w:color w:val="000000"/>
      <w:sz w:val="22"/>
      <w:szCs w:val="22"/>
      <w:u w:val="none"/>
    </w:rPr>
  </w:style>
  <w:style w:type="character" w:customStyle="1" w:styleId="41">
    <w:name w:val="font41"/>
    <w:basedOn w:val="18"/>
    <w:qFormat/>
    <w:uiPriority w:val="0"/>
    <w:rPr>
      <w:rFonts w:ascii="Calibri" w:hAnsi="Calibri" w:cs="Calibri"/>
      <w:color w:val="000000"/>
      <w:sz w:val="22"/>
      <w:szCs w:val="22"/>
      <w:u w:val="none"/>
    </w:rPr>
  </w:style>
  <w:style w:type="character" w:customStyle="1" w:styleId="42">
    <w:name w:val="font51"/>
    <w:basedOn w:val="18"/>
    <w:qFormat/>
    <w:uiPriority w:val="0"/>
    <w:rPr>
      <w:rFonts w:ascii="Segoe UI Symbol" w:hAnsi="Segoe UI Symbol" w:eastAsia="Segoe UI Symbol" w:cs="Segoe UI Symbol"/>
      <w:color w:val="000000"/>
      <w:sz w:val="22"/>
      <w:szCs w:val="22"/>
      <w:u w:val="none"/>
    </w:rPr>
  </w:style>
  <w:style w:type="character" w:customStyle="1" w:styleId="43">
    <w:name w:val="font61"/>
    <w:basedOn w:val="18"/>
    <w:qFormat/>
    <w:uiPriority w:val="0"/>
    <w:rPr>
      <w:rFonts w:hint="default" w:ascii="Calibri" w:hAnsi="Calibri" w:cs="Calibri"/>
      <w:color w:val="000000"/>
      <w:sz w:val="22"/>
      <w:szCs w:val="22"/>
      <w:u w:val="none"/>
    </w:rPr>
  </w:style>
  <w:style w:type="character" w:customStyle="1" w:styleId="44">
    <w:name w:val="font71"/>
    <w:basedOn w:val="18"/>
    <w:qFormat/>
    <w:uiPriority w:val="0"/>
    <w:rPr>
      <w:rFonts w:hint="eastAsia" w:ascii="宋体" w:hAnsi="宋体" w:eastAsia="宋体" w:cs="宋体"/>
      <w:color w:val="000000"/>
      <w:sz w:val="22"/>
      <w:szCs w:val="22"/>
      <w:u w:val="none"/>
    </w:rPr>
  </w:style>
  <w:style w:type="character" w:customStyle="1" w:styleId="45">
    <w:name w:val="font01"/>
    <w:basedOn w:val="18"/>
    <w:qFormat/>
    <w:uiPriority w:val="0"/>
    <w:rPr>
      <w:rFonts w:hint="eastAsia" w:ascii="宋体" w:hAnsi="宋体" w:eastAsia="宋体" w:cs="宋体"/>
      <w:color w:val="000000"/>
      <w:sz w:val="22"/>
      <w:szCs w:val="22"/>
      <w:u w:val="none"/>
    </w:rPr>
  </w:style>
  <w:style w:type="paragraph" w:customStyle="1" w:styleId="46">
    <w:name w:val="null3"/>
    <w:hidden/>
    <w:qFormat/>
    <w:uiPriority w:val="0"/>
    <w:rPr>
      <w:rFonts w:hint="eastAsia" w:asciiTheme="minorHAnsi" w:hAnsiTheme="minorHAnsi" w:eastAsiaTheme="minorEastAsia" w:cstheme="minorBidi"/>
      <w:lang w:val="en-US" w:eastAsia="zh-Hans" w:bidi="ar-SA"/>
    </w:rPr>
  </w:style>
  <w:style w:type="character" w:customStyle="1" w:styleId="47">
    <w:name w:val="font21"/>
    <w:basedOn w:val="18"/>
    <w:qFormat/>
    <w:uiPriority w:val="0"/>
    <w:rPr>
      <w:rFonts w:hint="eastAsia" w:ascii="宋体" w:hAnsi="宋体" w:eastAsia="宋体" w:cs="宋体"/>
      <w:color w:val="000000"/>
      <w:sz w:val="21"/>
      <w:szCs w:val="21"/>
      <w:u w:val="none"/>
    </w:rPr>
  </w:style>
  <w:style w:type="character" w:customStyle="1" w:styleId="48">
    <w:name w:val="font31"/>
    <w:basedOn w:val="18"/>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0B3D27-3B60-4239-9D2E-A5549BD77CA1}">
  <ds:schemaRefs/>
</ds:datastoreItem>
</file>

<file path=docProps/app.xml><?xml version="1.0" encoding="utf-8"?>
<Properties xmlns="http://schemas.openxmlformats.org/officeDocument/2006/extended-properties" xmlns:vt="http://schemas.openxmlformats.org/officeDocument/2006/docPropsVTypes">
  <Template>Normal</Template>
  <Pages>39</Pages>
  <Words>18938</Words>
  <Characters>19566</Characters>
  <Lines>149</Lines>
  <Paragraphs>42</Paragraphs>
  <TotalTime>2</TotalTime>
  <ScaleCrop>false</ScaleCrop>
  <LinksUpToDate>false</LinksUpToDate>
  <CharactersWithSpaces>19970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2021-06-06T03:46:00Z</dcterms:created>
  <dc:creator>安安的电脑</dc:creator>
  <cp:lastModifiedBy>姜宇</cp:lastModifiedBy>
  <cp:lastPrinted>2025-04-11T02:25:00Z</cp:lastPrinted>
  <dcterms:modified xsi:type="dcterms:W3CDTF">2026-09-03T02:30:32Z</dcterms:modified>
  <cp:revision>501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2052-12.1.0.28032</vt:lpwstr>
  </property>
  <property fmtid="{D5CDD505-2E9C-101B-9397-08002B2CF9AE}" pid="3" name="ICV">
    <vt:lpwstr>BE6FBD7D21174C4B90D85640F361AAA3_13</vt:lpwstr>
  </property>
  <property fmtid="{D5CDD505-2E9C-101B-9397-08002B2CF9AE}" pid="4" name="KSOTemplateDocerSaveRecord">
    <vt:lpwstr>eyJoZGlkIjoiZDYxNzQwMWY4MzNlNjA1OTlmNzkxYjE4MGVmNTM1NDAiLCJ1c2VySWQiOiIxMzc0NTExODkxNDUifQ==</vt:lpwstr>
  </property>
</Properties>
</file>