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A494D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360" w:lineRule="auto"/>
        <w:ind w:left="0" w:right="0" w:firstLine="0"/>
        <w:jc w:val="center"/>
        <w:textAlignment w:val="auto"/>
        <w:rPr>
          <w:rFonts w:hint="eastAsia" w:ascii="宋体" w:eastAsia="宋体"/>
          <w:b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eastAsia="宋体"/>
          <w:b/>
          <w:color w:val="auto"/>
          <w:sz w:val="36"/>
          <w:szCs w:val="36"/>
          <w:lang w:val="en-US" w:eastAsia="zh-CN"/>
        </w:rPr>
        <w:t>深圳市宝安区松岗人民医院《住院病案托管及病案数字化、复印外包》服务项目</w:t>
      </w:r>
    </w:p>
    <w:bookmarkEnd w:id="0"/>
    <w:p w14:paraId="0619D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/>
          <w:b/>
          <w:bCs/>
          <w:sz w:val="28"/>
          <w:szCs w:val="36"/>
        </w:rPr>
      </w:pPr>
    </w:p>
    <w:p w14:paraId="044B3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/>
        </w:rPr>
      </w:pPr>
      <w:r>
        <w:rPr>
          <w:rFonts w:hint="eastAsia"/>
          <w:b/>
          <w:bCs/>
          <w:sz w:val="28"/>
          <w:szCs w:val="36"/>
        </w:rPr>
        <w:t>一、病案数字化扫描制作工作</w:t>
      </w:r>
    </w:p>
    <w:p w14:paraId="4AC52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32"/>
        </w:rPr>
        <w:t>（一）数字化制作标准</w:t>
      </w:r>
    </w:p>
    <w:p w14:paraId="479B8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对全院所有住院病案开展数字化加工工作，采用扫描结合数字化拍摄的方式完成病案电子化录入。所有数字化图像分辨率不低于200dpi，采用彩色成像模式，最终统一导出保存为PDF标准格式，保障病案电子影像清晰度与规范性。</w:t>
      </w:r>
    </w:p>
    <w:p w14:paraId="6456D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32"/>
        </w:rPr>
        <w:t>（二）质量管控要求</w:t>
      </w:r>
    </w:p>
    <w:p w14:paraId="6015F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建立全流程病案影像质量质控机制，所有电子化病案图像需清晰无失真、内容完整无缺失，视觉无倾斜偏移，页面无折叠、缺损、阴影等问题，完全满足病案查阅、调取、存档及医疗利用需求。</w:t>
      </w:r>
    </w:p>
    <w:p w14:paraId="71E50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（三）病案完整性管理</w:t>
      </w:r>
    </w:p>
    <w:p w14:paraId="22455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病案数字化制作全过程严格保护纸质病案资料，严禁出现病案丢失、污损、破损、泄密等问题。严格逐项核对病案资料，杜绝资料遗漏，确保单份住院病案所有页面、所有资料全部完成数字化录入，做到一份住院病案对应一个PDF电子文件。</w:t>
      </w:r>
    </w:p>
    <w:p w14:paraId="32991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（四）归档台账管理</w:t>
      </w:r>
    </w:p>
    <w:p w14:paraId="3A924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病案数字化扫描完成后，统一打包归档，精准登记每份病案对应的纸质存储纸箱编号，建立台账备查，实现电子病案与纸质病案一一对应、可查可溯。</w:t>
      </w:r>
    </w:p>
    <w:p w14:paraId="36804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（五）场地协作管理</w:t>
      </w:r>
    </w:p>
    <w:p w14:paraId="3CACD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病案数字化加工工作在院内指定场地开展，配合外包服务人员、设备开展工作，与病案室在岗人员紧密协作，规范对接病案流转、加工、归档全流程，保障病案数字化工作有序推进。</w:t>
      </w:r>
    </w:p>
    <w:p w14:paraId="10984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/>
        </w:rPr>
      </w:pPr>
      <w:r>
        <w:rPr>
          <w:rFonts w:hint="eastAsia"/>
          <w:b/>
          <w:bCs/>
          <w:sz w:val="28"/>
          <w:szCs w:val="36"/>
        </w:rPr>
        <w:t>二、病案信息管理系统运维与使用工作</w:t>
      </w:r>
    </w:p>
    <w:p w14:paraId="6F900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32"/>
        </w:rPr>
        <w:t>医院配置专属病案信息管理系统，病案室负责系统日常使用、功能管理、权限管控及对接运维工作，具体工作内容如下：</w:t>
      </w:r>
    </w:p>
    <w:p w14:paraId="7FB27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（一）系统使用权限</w:t>
      </w:r>
    </w:p>
    <w:p w14:paraId="5D33E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院内永久拥有病案信息管理系统使用权，可根据科室工作需求、医院管理要求，对系统功能进行个性化、定制化调整。</w:t>
      </w:r>
    </w:p>
    <w:p w14:paraId="3651B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（二）病案索引管理</w:t>
      </w:r>
    </w:p>
    <w:p w14:paraId="69845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为每一份住院病案建立专属完整索引，覆盖病案全部内容，可根据院内工作需求定制索引字典库，保障病案检索精准度。</w:t>
      </w:r>
    </w:p>
    <w:p w14:paraId="1A34B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（三）系统对接与数据共享</w:t>
      </w:r>
    </w:p>
    <w:p w14:paraId="44DF4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负责对接院内现有信息系统，完成与广东省病案管理系统、电子病历系统、HIS系统的数据衔接工作，保障各系统数据精准互通、资源共享，满足病案数据上报、调取、统计等工作需求。</w:t>
      </w:r>
    </w:p>
    <w:p w14:paraId="4860B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（四）病案检索查询工作</w:t>
      </w:r>
    </w:p>
    <w:p w14:paraId="41E6F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简单快速检索：可通过患者姓名、病案号、出入院日期、疾病ICD编码等基础信息，快速检索对应病案资料。</w:t>
      </w:r>
    </w:p>
    <w:p w14:paraId="78F84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组合综合查询：依托病案首页全部信息，开展多条件组合综合查询，适配各类病案质控、统计、核查工作。</w:t>
      </w:r>
    </w:p>
    <w:p w14:paraId="323CB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成组批量查询：支持批量录入、导入多个住院号，实现多份病案一次性批量查询，提升工作效率。</w:t>
      </w:r>
    </w:p>
    <w:p w14:paraId="3A3BF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（五）数字化病案阅读权限管理</w:t>
      </w:r>
    </w:p>
    <w:p w14:paraId="1CF28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自动阅读权限：病案首页签字医师，可免申请直接查阅本人签字的全部病案资料；患者再次入院期间，接诊医师、经治医师可随时查看患者既往住院病案资料。</w:t>
      </w:r>
    </w:p>
    <w:p w14:paraId="54DEC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授权阅读管理：负责自定义院内人员病案阅读权限，工作人员可提交阅读申请，由病案室审核通过后，开放对应病案阅读权限。</w:t>
      </w:r>
    </w:p>
    <w:p w14:paraId="1F023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时限管控管理：严格设置病案查阅时限，超期后系统自动取消查阅权限，保障病案信息安全。</w:t>
      </w:r>
    </w:p>
    <w:p w14:paraId="42AE9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流程管控管理：负责系统申请提示、审核处理全流程管理；病案阅读过程全程加密管控，禁止屏幕拷贝、鼠标右键操作，阅读界面自动展示查阅人工号，全程留痕溯源。</w:t>
      </w:r>
    </w:p>
    <w:p w14:paraId="320C0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5. 全院共享管理：保障全院各科室可合规查阅、共享数字化病案资料。</w:t>
      </w:r>
    </w:p>
    <w:p w14:paraId="78974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（六）病案打印与复印台账管理</w:t>
      </w:r>
    </w:p>
    <w:p w14:paraId="12C32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统筹负责全院病案复印、打印工作，替代传统人工复印模式，建立完善复印台账，详细登记复印日期、复印目的、复印人、复印内容等信息；将患者身份证明等佐证材料数字化存档，支持远程病案复印管理，若病案存在重复复印情况，系统自动弹窗提醒。</w:t>
      </w:r>
    </w:p>
    <w:p w14:paraId="3E3A37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/>
        </w:rPr>
      </w:pPr>
    </w:p>
    <w:p w14:paraId="03723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（七）系统日志管理</w:t>
      </w:r>
    </w:p>
    <w:p w14:paraId="7DB00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全程留存病案查询、借阅、打印、调取等所有操作日志，精准记录查询时间、操作人员用户名、操作设备IP及设备名称、查询病案号等信息，实现所有操作可追溯。</w:t>
      </w:r>
    </w:p>
    <w:p w14:paraId="31A6F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（八）病案回收信息化管理</w:t>
      </w:r>
    </w:p>
    <w:p w14:paraId="57AD5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定期在系统下载病区待回收病案数据，配合工作人员使用条码扫描设备，完成病区病案回收登记，通过便携打印机出具病案回收回执，回收完成后及时上传离线数据至服务器。</w:t>
      </w:r>
    </w:p>
    <w:p w14:paraId="71E5F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对回收完成的病案，扫描首页条码，打印含病案号、患者姓名、出院日期的不干胶标签，粘贴于病案封面，实现病案回收状态全院实时可查。</w:t>
      </w:r>
    </w:p>
    <w:p w14:paraId="70A82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3. 熟练操作系统节假日设置、病案补单录入功能，适配节假日、病案资料补录等特殊工作场景。</w:t>
      </w:r>
    </w:p>
    <w:p w14:paraId="7D264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（九）病案线上预约复印管理</w:t>
      </w:r>
    </w:p>
    <w:p w14:paraId="6F0C1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线上预约服务管理：负责微信公众号病案复印预约运维，支持本人及代办人预约、微信支付、快递配送/现场自取模式，可实时查询预约状态、支付状态、物流信息。</w:t>
      </w:r>
    </w:p>
    <w:p w14:paraId="07537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预约服务保障：整理公示预约流程、常见问题解答，支持多院区预约服务，严格审核申请人身份证上传资料，规范预约办理流程。</w:t>
      </w:r>
    </w:p>
    <w:p w14:paraId="316D4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后台审核统计：负责后台预约订单审核、状态管理，通过短信推送费用、取件地址等通知信息；按月、按日统计预约复印数据，支持Excel报表导出，完成工作数据汇总上报。</w:t>
      </w:r>
    </w:p>
    <w:p w14:paraId="2C5F7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4. 系统安全管理：监督落实线上预约系统安全漏洞检测工作，确保系统无安全风险，保障患者病案信息安全。</w:t>
      </w:r>
    </w:p>
    <w:p w14:paraId="757F4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8"/>
          <w:szCs w:val="28"/>
        </w:rPr>
        <w:t>三、病案追踪与预约调阅管理工作</w:t>
      </w:r>
    </w:p>
    <w:p w14:paraId="767AE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（一）病案全流程追踪管理</w:t>
      </w:r>
    </w:p>
    <w:p w14:paraId="05A50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依托病案追踪系统，全程监管病案回收、整理、打包、入库、装箱全流程状态，支持自</w:t>
      </w:r>
      <w:r>
        <w:rPr>
          <w:rFonts w:hint="eastAsia"/>
          <w:sz w:val="24"/>
          <w:szCs w:val="24"/>
        </w:rPr>
        <w:t>定义病案状态信息，实现病案流转全环节可视化、可追踪、可溯源。</w:t>
      </w:r>
    </w:p>
    <w:p w14:paraId="1B045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（二）病案预约调阅登记管理</w:t>
      </w:r>
    </w:p>
    <w:p w14:paraId="7C5E4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依托微信公众号预约登记系统，受理院内医护人员纸质病案原件、电子病案调阅申请；对接外包服务方，跟进申请审核、办理进度，及时查看办结情况，系统自动短信推送办理结果，保障院内病案调阅高效、规范。</w:t>
      </w:r>
    </w:p>
    <w:p w14:paraId="14579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/>
          <w:sz w:val="22"/>
          <w:szCs w:val="28"/>
        </w:rPr>
      </w:pPr>
      <w:r>
        <w:rPr>
          <w:rFonts w:hint="eastAsia"/>
          <w:b/>
          <w:bCs/>
          <w:sz w:val="28"/>
          <w:szCs w:val="28"/>
        </w:rPr>
        <w:t>四、病案仓储托管与库房管理工作</w:t>
      </w:r>
    </w:p>
    <w:p w14:paraId="33210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（一）病案托管交接管理</w:t>
      </w:r>
    </w:p>
    <w:p w14:paraId="53E893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/>
        </w:rPr>
      </w:pPr>
    </w:p>
    <w:p w14:paraId="68A9B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配合外包方完成出院纸质病案下架、二次打包整理工作。</w:t>
      </w:r>
    </w:p>
    <w:p w14:paraId="722B5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双人核对清点病案箱号、箱体数量、每箱病案份数、病案编号，填写交接记录表，双方签字盖章、双向留存存档。</w:t>
      </w:r>
    </w:p>
    <w:p w14:paraId="75AB0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3. 全程跟进病案装箱、运输、卸货全流程，监督外包方落实病案保护责任，杜绝病案丢失、损坏，所有打包、运输相关费用由外包方承担。</w:t>
      </w:r>
    </w:p>
    <w:p w14:paraId="58AB7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（二）病案库房标准化监管</w:t>
      </w:r>
    </w:p>
    <w:p w14:paraId="1FD14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全程监督托管库房运维标准，确保库房符合病案长期存档规范：</w:t>
      </w:r>
    </w:p>
    <w:p w14:paraId="6766C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场地标准：托管库房为广东省内合规自有场地，建筑面积不低于3000平方米，手续齐全合规。</w:t>
      </w:r>
    </w:p>
    <w:p w14:paraId="2D30A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消防安全管理：库房严格遵循国家仓库防火安全规范，通过消防验收；定期开展消防培训、每半年一次消防演练，配备齐全消防设施，专人每日巡检记录，杜绝消防安全隐患。</w:t>
      </w:r>
    </w:p>
    <w:p w14:paraId="14FBE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恒温恒湿管理：库房常年恒温16℃-25℃，湿度控制在45%-60%，配备恒温空调、除湿设备，梅雨季节封闭门窗、及时除湿，保障病案存储环境稳定。</w:t>
      </w:r>
    </w:p>
    <w:p w14:paraId="59470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安防防盗管理：库房楼层设置路控设施，全域24小时无死角监控、专人巡逻值守；支持医院手机APP远程查看库房实况，病案调取、配送全程专人对接、登记留痕。</w:t>
      </w:r>
    </w:p>
    <w:p w14:paraId="475A7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防虫消杀管理：病案入库前完成清洁、消杀处理；库房密闭防虫，定期放置消杀药剂，每月开展虫害排查，对接A级资质消杀机构定期开展专业消杀，杜绝虫蛀隐患。</w:t>
      </w:r>
    </w:p>
    <w:p w14:paraId="76CC4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防水防潮防尘管理：库房选址规避低洼区域，每日清洁库房环境，定期吸尘清理病案表面灰尘，湿式清洁后及时风干，保持库房、病案架、病案资料干净整洁。</w:t>
      </w:r>
    </w:p>
    <w:p w14:paraId="5A40E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防鼠防光管理：库房严禁存放食物，定期巡查防范鼠害；安装深色遮光窗帘，避免阳光直射病案，防止纸质资料老化损坏。</w:t>
      </w:r>
    </w:p>
    <w:p w14:paraId="420FF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8. 防微生物管理：库房定期通风、放置防霉药剂，保持库区墙面、地面、货架干净无菌，杜绝病案霉变、污染。</w:t>
      </w:r>
    </w:p>
    <w:p w14:paraId="28F88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（三）托管病案管护责任</w:t>
      </w:r>
    </w:p>
    <w:p w14:paraId="7E45A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全程监督外包方病案托管工作，严禁病案涂改、标记、污损、撕毁、丢失；严禁病案信息泄露。若因托管管护不当造成病案损坏、丢失，引发医疗纠纷及损失，全部责任由外包方承担，并按规定追责理赔。</w:t>
      </w:r>
    </w:p>
    <w:p w14:paraId="5F5E8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/>
          <w:sz w:val="24"/>
          <w:szCs w:val="24"/>
        </w:rPr>
        <w:t>（四）后续服务对接</w:t>
      </w:r>
    </w:p>
    <w:p w14:paraId="5A85E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根据院内病案查阅、调取需求，督促外包方24小时内完成病案原件配送服务，全程对接病案取回、交接工作，监督外包方无条件整改库房不达标问题。</w:t>
      </w:r>
    </w:p>
    <w:p w14:paraId="6B593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/>
          <w:sz w:val="22"/>
          <w:szCs w:val="28"/>
        </w:rPr>
      </w:pPr>
      <w:r>
        <w:rPr>
          <w:rFonts w:hint="eastAsia"/>
          <w:b/>
          <w:bCs/>
          <w:sz w:val="28"/>
          <w:szCs w:val="28"/>
        </w:rPr>
        <w:t>五、病案数据备份管理工作</w:t>
      </w:r>
    </w:p>
    <w:p w14:paraId="1FC58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多维度备份：对验收合格的电子化病案数据，采用在线+离线结合的方式，通过硬盘、文件夹、磁带等多载体开展多重备份，保障数据不丢失。</w:t>
      </w:r>
    </w:p>
    <w:p w14:paraId="28CC4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数据校验核查：定期对备份数据进行检验，核查文件完整性、可打开性、数量准确性，确保备份数据有效可用。</w:t>
      </w:r>
    </w:p>
    <w:p w14:paraId="3D81A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备份台账管理：所有备份介质统一标注名称、日期、内容等标签，分类归档管理，便于快速调取、溯源。</w:t>
      </w:r>
    </w:p>
    <w:p w14:paraId="23B03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/>
          <w:sz w:val="22"/>
          <w:szCs w:val="28"/>
        </w:rPr>
      </w:pPr>
      <w:r>
        <w:rPr>
          <w:rFonts w:hint="eastAsia"/>
          <w:b/>
          <w:bCs/>
          <w:sz w:val="28"/>
          <w:szCs w:val="28"/>
        </w:rPr>
        <w:t>六、病案信息保密管理工作</w:t>
      </w:r>
    </w:p>
    <w:p w14:paraId="3CCF2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严格落实病案保密管理制度，监督外包方签订保密协议，明确泄密追责机制，一旦发生外包方泄密问题，依法依规追究全部责任。</w:t>
      </w:r>
    </w:p>
    <w:p w14:paraId="3826F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明确所有数字化病案、纸质病案所有权归医院所有，项目所有数据、资料到期后全部完整移交院内，严禁外包方私自留存、外传、使用。</w:t>
      </w:r>
    </w:p>
    <w:p w14:paraId="12186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严格审核项目工作人员资质，杜绝无资质、有违法犯罪记录、临时聘用人员参与病案加工、管理工作，从源头保障病案信息安全。</w:t>
      </w:r>
    </w:p>
    <w:p w14:paraId="32BD934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3B1D6112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16D7A3F0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04042F3A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14371CD5">
      <w:pPr>
        <w:jc w:val="both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27D25A04">
      <w:pPr>
        <w:jc w:val="both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3B374790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547AF499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3D996874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3CB033D7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5F087B49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6BE9FC3E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5B9A44C8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  <w:t>深圳市宝安区松岗人民医院《住院病案托管及病案数字化、复印外包》服务项目</w:t>
      </w:r>
    </w:p>
    <w:p w14:paraId="0BC3DD43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-18030"/>
          <w:b/>
          <w:bCs/>
          <w:color w:val="000000"/>
          <w:sz w:val="32"/>
          <w:szCs w:val="32"/>
        </w:rPr>
        <w:t>报价单</w:t>
      </w:r>
    </w:p>
    <w:p w14:paraId="1BF34700">
      <w:pPr>
        <w:jc w:val="both"/>
        <w:rPr>
          <w:rFonts w:hint="eastAsia" w:ascii="宋体" w:hAnsi="宋体"/>
          <w:sz w:val="28"/>
          <w:szCs w:val="28"/>
        </w:rPr>
      </w:pPr>
    </w:p>
    <w:p w14:paraId="0BE4374B">
      <w:pPr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投标单位：</w:t>
      </w:r>
    </w:p>
    <w:tbl>
      <w:tblPr>
        <w:tblW w:w="95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1217"/>
        <w:gridCol w:w="3633"/>
        <w:gridCol w:w="2367"/>
      </w:tblGrid>
      <w:tr w14:paraId="1E7D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4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项目类别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3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4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报价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2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2BC62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9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《住院病案托管及病案数字化、复印外包》服务项目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4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扫描</w:t>
            </w: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8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住院病案扫描单价(元/份)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1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年扫描量(份)</w:t>
            </w:r>
          </w:p>
        </w:tc>
      </w:tr>
      <w:tr w14:paraId="10372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17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CE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11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5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50000</w:t>
            </w:r>
          </w:p>
        </w:tc>
      </w:tr>
      <w:tr w14:paraId="45B49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F5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E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托管</w:t>
            </w: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纸质病案托管单价(元/份/年)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7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托管量(份)</w:t>
            </w:r>
          </w:p>
        </w:tc>
      </w:tr>
      <w:tr w14:paraId="4EA7D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5B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20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3D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2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600000</w:t>
            </w:r>
          </w:p>
        </w:tc>
      </w:tr>
    </w:tbl>
    <w:p w14:paraId="11BB85A3">
      <w:pPr>
        <w:widowControl/>
        <w:spacing w:line="360" w:lineRule="atLeast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10CF80EA">
      <w:pPr>
        <w:widowControl/>
        <w:spacing w:line="360" w:lineRule="atLeast"/>
        <w:jc w:val="left"/>
        <w:rPr>
          <w:rFonts w:hint="default" w:ascii="宋体" w:hAnsi="宋体" w:cs="Arial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全权代表签字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（盖章）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  <w:lang w:val="en-US" w:eastAsia="zh-CN"/>
        </w:rPr>
        <w:t xml:space="preserve">      </w:t>
      </w:r>
    </w:p>
    <w:p w14:paraId="3559C028">
      <w:pPr>
        <w:widowControl/>
        <w:spacing w:line="360" w:lineRule="atLeast"/>
        <w:jc w:val="left"/>
        <w:rPr>
          <w:rFonts w:hint="eastAsia" w:ascii="宋体" w:hAnsi="宋体" w:cs="Arial"/>
          <w:color w:val="000000"/>
          <w:kern w:val="0"/>
          <w:sz w:val="28"/>
          <w:szCs w:val="28"/>
          <w:u w:val="single"/>
          <w:lang w:val="en-US" w:eastAsia="zh-CN"/>
        </w:rPr>
      </w:pPr>
    </w:p>
    <w:p w14:paraId="2BFD365D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报价说明：</w:t>
      </w:r>
    </w:p>
    <w:p w14:paraId="625C6C7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本报价以人民币为单位；</w:t>
      </w:r>
    </w:p>
    <w:p w14:paraId="3E616FF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商在本项目中所有运营、设备、系统、人员等成本自行承担，不得向医院或患者另行收费；清单报价是完成该项目的一切费用总和，包括人工费、保险费、管理费、技术培训费、售后服务费、国家规定的各项税费等全部费用。</w:t>
      </w:r>
    </w:p>
    <w:p w14:paraId="1B3D36B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项目报价方式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单价计算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34D8567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default"/>
          <w:lang w:val="en-US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4、发件邮箱：m18825483656@163.com</w:t>
      </w:r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NjYyZDcwZGVmZWUzYzllMTEzNTBiNmNiNjMxYjAifQ=="/>
  </w:docVars>
  <w:rsids>
    <w:rsidRoot w:val="504C2076"/>
    <w:rsid w:val="02757F0C"/>
    <w:rsid w:val="02A23142"/>
    <w:rsid w:val="03B972B5"/>
    <w:rsid w:val="052701BF"/>
    <w:rsid w:val="09D67F53"/>
    <w:rsid w:val="09FA1382"/>
    <w:rsid w:val="0F906971"/>
    <w:rsid w:val="10670937"/>
    <w:rsid w:val="128C4C26"/>
    <w:rsid w:val="13D95F4D"/>
    <w:rsid w:val="167B41B7"/>
    <w:rsid w:val="17074D87"/>
    <w:rsid w:val="1DEE5509"/>
    <w:rsid w:val="30956F52"/>
    <w:rsid w:val="337103E5"/>
    <w:rsid w:val="3A861868"/>
    <w:rsid w:val="3B847A5C"/>
    <w:rsid w:val="3B912DD7"/>
    <w:rsid w:val="3EE93794"/>
    <w:rsid w:val="431E6061"/>
    <w:rsid w:val="44C0256B"/>
    <w:rsid w:val="47530AB7"/>
    <w:rsid w:val="47B9572F"/>
    <w:rsid w:val="4E625808"/>
    <w:rsid w:val="504C2076"/>
    <w:rsid w:val="50F21027"/>
    <w:rsid w:val="53EC6BB1"/>
    <w:rsid w:val="5A956C04"/>
    <w:rsid w:val="646E6772"/>
    <w:rsid w:val="67A12F16"/>
    <w:rsid w:val="741D3BD6"/>
    <w:rsid w:val="7948482F"/>
    <w:rsid w:val="7D3B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ind w:left="1400" w:leftChars="1400"/>
    </w:p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Plain Text"/>
    <w:basedOn w:val="1"/>
    <w:next w:val="2"/>
    <w:qFormat/>
    <w:uiPriority w:val="0"/>
    <w:rPr>
      <w:rFonts w:ascii="宋体" w:hAnsi="Courier New" w:cs="Courier New"/>
      <w:szCs w:val="21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文档正文"/>
    <w:basedOn w:val="1"/>
    <w:qFormat/>
    <w:uiPriority w:val="99"/>
    <w:pPr>
      <w:adjustRightInd w:val="0"/>
      <w:spacing w:line="480" w:lineRule="atLeast"/>
      <w:ind w:firstLine="567"/>
    </w:pPr>
    <w:rPr>
      <w:rFonts w:ascii="长城仿宋" w:hAnsi="宋体" w:eastAsia="黑体"/>
      <w:color w:val="000000"/>
      <w:kern w:val="0"/>
      <w:sz w:val="44"/>
      <w:szCs w:val="20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4361</Words>
  <Characters>5603</Characters>
  <Lines>0</Lines>
  <Paragraphs>0</Paragraphs>
  <TotalTime>15</TotalTime>
  <ScaleCrop>false</ScaleCrop>
  <LinksUpToDate>false</LinksUpToDate>
  <CharactersWithSpaces>5694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2025-03-25T01:35:00Z</dcterms:created>
  <dc:creator>烨烨</dc:creator>
  <cp:lastModifiedBy>W</cp:lastModifiedBy>
  <cp:lastPrinted>2025-03-25T07:49:00Z</cp:lastPrinted>
  <dcterms:modified xsi:type="dcterms:W3CDTF">2026-08-26T10:22:26Z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20121F087B6B4F109881A729C045168D_13</vt:lpwstr>
  </property>
  <property fmtid="{D5CDD505-2E9C-101B-9397-08002B2CF9AE}" pid="4" name="KSOTemplateDocerSaveRecord">
    <vt:lpwstr>eyJoZGlkIjoiOTI2MmY0Mjc4NGI3MjI5OWU5YjJkMmI1MzAyYzMzZmQiLCJ1c2VySWQiOiIyMDA2NzA0ODIifQ==</vt:lpwstr>
  </property>
</Properties>
</file>