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28321">
      <w:pPr>
        <w:spacing w:line="360" w:lineRule="auto"/>
        <w:ind w:firstLine="420" w:firstLineChars="200"/>
      </w:pPr>
    </w:p>
    <w:p w14:paraId="3A22FE32">
      <w:pPr>
        <w:spacing w:line="360" w:lineRule="auto"/>
        <w:ind w:firstLine="420" w:firstLineChars="200"/>
      </w:pPr>
    </w:p>
    <w:p w14:paraId="797C692E">
      <w:pPr>
        <w:spacing w:line="360" w:lineRule="auto"/>
        <w:ind w:firstLine="420" w:firstLineChars="200"/>
      </w:pPr>
    </w:p>
    <w:p w14:paraId="446F4C15">
      <w:pPr>
        <w:spacing w:line="360" w:lineRule="auto"/>
        <w:ind w:firstLine="420" w:firstLineChars="200"/>
      </w:pPr>
    </w:p>
    <w:p w14:paraId="163D9691">
      <w:pPr>
        <w:jc w:val="center"/>
        <w:rPr>
          <w:b/>
          <w:sz w:val="44"/>
          <w:szCs w:val="44"/>
        </w:rPr>
      </w:pPr>
      <w:r>
        <w:rPr>
          <w:rFonts w:hint="eastAsia"/>
          <w:b/>
          <w:sz w:val="44"/>
          <w:szCs w:val="44"/>
        </w:rPr>
        <w:t>网络安全等级保护年度测评服务采购项目</w:t>
      </w:r>
    </w:p>
    <w:p w14:paraId="3F1629A4">
      <w:pPr>
        <w:jc w:val="center"/>
        <w:rPr>
          <w:b/>
          <w:sz w:val="30"/>
          <w:szCs w:val="30"/>
          <w:highlight w:val="yellow"/>
        </w:rPr>
      </w:pPr>
    </w:p>
    <w:p w14:paraId="22BE8C11">
      <w:pPr>
        <w:jc w:val="center"/>
        <w:rPr>
          <w:b/>
          <w:sz w:val="30"/>
          <w:szCs w:val="30"/>
        </w:rPr>
      </w:pPr>
      <w:r>
        <w:rPr>
          <w:rFonts w:hint="eastAsia"/>
          <w:b/>
          <w:sz w:val="30"/>
          <w:szCs w:val="30"/>
          <w:highlight w:val="yellow"/>
        </w:rPr>
        <w:t>项目编号：BACDCCG202</w:t>
      </w:r>
      <w:r>
        <w:rPr>
          <w:rFonts w:hint="eastAsia"/>
          <w:b/>
          <w:sz w:val="30"/>
          <w:szCs w:val="30"/>
          <w:highlight w:val="yellow"/>
          <w:lang w:val="en-US" w:eastAsia="zh-CN"/>
        </w:rPr>
        <w:t>6</w:t>
      </w:r>
      <w:r>
        <w:rPr>
          <w:rFonts w:hint="eastAsia"/>
          <w:b/>
          <w:sz w:val="30"/>
          <w:szCs w:val="30"/>
          <w:highlight w:val="yellow"/>
        </w:rPr>
        <w:t>0</w:t>
      </w:r>
      <w:r>
        <w:rPr>
          <w:rFonts w:hint="eastAsia"/>
          <w:b/>
          <w:sz w:val="30"/>
          <w:szCs w:val="30"/>
          <w:highlight w:val="yellow"/>
          <w:lang w:val="en-US" w:eastAsia="zh-CN"/>
        </w:rPr>
        <w:t>01</w:t>
      </w:r>
    </w:p>
    <w:p w14:paraId="58926B1C">
      <w:pPr>
        <w:spacing w:line="360" w:lineRule="auto"/>
        <w:ind w:firstLine="420" w:firstLineChars="200"/>
      </w:pPr>
    </w:p>
    <w:p w14:paraId="4AD67571">
      <w:pPr>
        <w:spacing w:line="360" w:lineRule="auto"/>
        <w:ind w:firstLine="420" w:firstLineChars="200"/>
      </w:pPr>
    </w:p>
    <w:p w14:paraId="3DF9C7A5">
      <w:pPr>
        <w:spacing w:line="360" w:lineRule="auto"/>
        <w:ind w:firstLine="420" w:firstLineChars="200"/>
      </w:pPr>
    </w:p>
    <w:p w14:paraId="3AD2E807">
      <w:pPr>
        <w:spacing w:line="360" w:lineRule="auto"/>
        <w:ind w:firstLine="420" w:firstLineChars="200"/>
      </w:pPr>
    </w:p>
    <w:p w14:paraId="4094C412">
      <w:pPr>
        <w:spacing w:line="360" w:lineRule="auto"/>
        <w:ind w:firstLine="420" w:firstLineChars="200"/>
      </w:pPr>
    </w:p>
    <w:p w14:paraId="1047BA13">
      <w:pPr>
        <w:spacing w:line="360" w:lineRule="auto"/>
        <w:ind w:firstLine="420" w:firstLineChars="200"/>
      </w:pPr>
    </w:p>
    <w:p w14:paraId="1CCD5A90">
      <w:pPr>
        <w:spacing w:line="360" w:lineRule="auto"/>
        <w:jc w:val="center"/>
        <w:rPr>
          <w:b/>
          <w:sz w:val="72"/>
          <w:szCs w:val="72"/>
        </w:rPr>
      </w:pPr>
      <w:r>
        <w:rPr>
          <w:rFonts w:hint="eastAsia"/>
          <w:b/>
          <w:sz w:val="72"/>
          <w:szCs w:val="72"/>
        </w:rPr>
        <w:t>招标文件</w:t>
      </w:r>
    </w:p>
    <w:p w14:paraId="59CEA900">
      <w:pPr>
        <w:spacing w:line="360" w:lineRule="auto"/>
        <w:ind w:firstLine="420" w:firstLineChars="200"/>
      </w:pPr>
    </w:p>
    <w:p w14:paraId="3464179D">
      <w:pPr>
        <w:spacing w:line="360" w:lineRule="auto"/>
        <w:ind w:firstLine="420" w:firstLineChars="200"/>
      </w:pPr>
    </w:p>
    <w:p w14:paraId="16917AFF">
      <w:pPr>
        <w:spacing w:line="360" w:lineRule="auto"/>
        <w:ind w:firstLine="420" w:firstLineChars="200"/>
      </w:pPr>
    </w:p>
    <w:p w14:paraId="0CE9CEE6">
      <w:pPr>
        <w:spacing w:line="360" w:lineRule="auto"/>
        <w:ind w:firstLine="420" w:firstLineChars="200"/>
      </w:pPr>
    </w:p>
    <w:p w14:paraId="33F85AE6">
      <w:pPr>
        <w:spacing w:line="360" w:lineRule="auto"/>
        <w:ind w:firstLine="420" w:firstLineChars="200"/>
      </w:pPr>
    </w:p>
    <w:p w14:paraId="2BB49075">
      <w:pPr>
        <w:spacing w:line="360" w:lineRule="auto"/>
      </w:pPr>
    </w:p>
    <w:p w14:paraId="14537B14">
      <w:pPr>
        <w:spacing w:line="360" w:lineRule="auto"/>
      </w:pPr>
    </w:p>
    <w:p w14:paraId="34962407">
      <w:pPr>
        <w:spacing w:line="360" w:lineRule="auto"/>
        <w:jc w:val="center"/>
        <w:rPr>
          <w:rFonts w:hint="eastAsia"/>
          <w:b/>
          <w:sz w:val="30"/>
          <w:szCs w:val="30"/>
        </w:rPr>
      </w:pPr>
      <w:r>
        <w:rPr>
          <w:rFonts w:hint="eastAsia"/>
          <w:b/>
          <w:sz w:val="30"/>
          <w:szCs w:val="30"/>
        </w:rPr>
        <w:t>深圳市宝安区疾病预防控制中心</w:t>
      </w:r>
    </w:p>
    <w:p w14:paraId="63B0491E">
      <w:pPr>
        <w:spacing w:line="360" w:lineRule="auto"/>
        <w:jc w:val="center"/>
        <w:rPr>
          <w:rFonts w:hint="eastAsia"/>
          <w:b/>
          <w:sz w:val="30"/>
          <w:szCs w:val="30"/>
        </w:rPr>
      </w:pPr>
      <w:r>
        <w:rPr>
          <w:rFonts w:hint="eastAsia"/>
          <w:b/>
          <w:sz w:val="30"/>
          <w:szCs w:val="30"/>
        </w:rPr>
        <w:t>（深圳市宝安区卫生监督所）</w:t>
      </w:r>
    </w:p>
    <w:p w14:paraId="40F6A7BE">
      <w:pPr>
        <w:spacing w:line="360" w:lineRule="auto"/>
        <w:jc w:val="center"/>
        <w:rPr>
          <w:b/>
          <w:sz w:val="30"/>
          <w:szCs w:val="30"/>
        </w:rPr>
      </w:pPr>
      <w:r>
        <w:rPr>
          <w:rFonts w:hint="eastAsia"/>
          <w:b/>
          <w:sz w:val="30"/>
          <w:szCs w:val="30"/>
        </w:rPr>
        <w:t>二〇二</w:t>
      </w:r>
      <w:r>
        <w:rPr>
          <w:rFonts w:hint="eastAsia"/>
          <w:b/>
          <w:sz w:val="30"/>
          <w:szCs w:val="30"/>
          <w:lang w:val="en-US" w:eastAsia="zh-CN"/>
        </w:rPr>
        <w:t>六</w:t>
      </w:r>
      <w:r>
        <w:rPr>
          <w:rFonts w:hint="eastAsia"/>
          <w:b/>
          <w:sz w:val="30"/>
          <w:szCs w:val="30"/>
        </w:rPr>
        <w:t>年</w:t>
      </w:r>
      <w:r>
        <w:rPr>
          <w:rFonts w:hint="eastAsia"/>
          <w:b/>
          <w:sz w:val="30"/>
          <w:szCs w:val="30"/>
          <w:lang w:val="en-US" w:eastAsia="zh-CN"/>
        </w:rPr>
        <w:t>八</w:t>
      </w:r>
      <w:r>
        <w:rPr>
          <w:rFonts w:hint="eastAsia"/>
          <w:b/>
          <w:sz w:val="30"/>
          <w:szCs w:val="30"/>
        </w:rPr>
        <w:t>月</w:t>
      </w:r>
    </w:p>
    <w:p w14:paraId="22BE7D2A">
      <w:pPr>
        <w:spacing w:line="360" w:lineRule="auto"/>
        <w:ind w:firstLine="420" w:firstLineChars="200"/>
      </w:pPr>
    </w:p>
    <w:p w14:paraId="74ADB521">
      <w:pPr>
        <w:spacing w:line="360" w:lineRule="auto"/>
        <w:ind w:firstLine="420" w:firstLineChars="200"/>
        <w:sectPr>
          <w:headerReference r:id="rId3" w:type="default"/>
          <w:footerReference r:id="rId4" w:type="default"/>
          <w:pgSz w:w="11906" w:h="16838"/>
          <w:pgMar w:top="1418" w:right="1474" w:bottom="1418" w:left="1474" w:header="851" w:footer="992" w:gutter="0"/>
          <w:cols w:space="425" w:num="1"/>
          <w:docGrid w:type="lines" w:linePitch="312" w:charSpace="0"/>
        </w:sectPr>
      </w:pPr>
    </w:p>
    <w:sdt>
      <w:sdtPr>
        <w:rPr>
          <w:rFonts w:asciiTheme="minorHAnsi" w:hAnsiTheme="minorHAnsi" w:eastAsiaTheme="minorEastAsia" w:cstheme="minorBidi"/>
          <w:b w:val="0"/>
          <w:bCs w:val="0"/>
          <w:color w:val="auto"/>
          <w:kern w:val="2"/>
          <w:sz w:val="21"/>
          <w:szCs w:val="22"/>
          <w:lang w:val="zh-CN"/>
        </w:rPr>
        <w:id w:val="31701681"/>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14:paraId="024964DB">
          <w:pPr>
            <w:pStyle w:val="27"/>
            <w:jc w:val="center"/>
            <w:rPr>
              <w:sz w:val="44"/>
              <w:szCs w:val="44"/>
            </w:rPr>
          </w:pPr>
          <w:r>
            <w:rPr>
              <w:sz w:val="44"/>
              <w:szCs w:val="44"/>
              <w:lang w:val="zh-CN"/>
            </w:rPr>
            <w:t>目</w:t>
          </w:r>
          <w:r>
            <w:rPr>
              <w:rFonts w:hint="eastAsia"/>
              <w:sz w:val="44"/>
              <w:szCs w:val="44"/>
              <w:lang w:val="zh-CN"/>
            </w:rPr>
            <w:t xml:space="preserve">  </w:t>
          </w:r>
          <w:r>
            <w:rPr>
              <w:sz w:val="44"/>
              <w:szCs w:val="44"/>
              <w:lang w:val="zh-CN"/>
            </w:rPr>
            <w:t>录</w:t>
          </w:r>
        </w:p>
        <w:p w14:paraId="7803C3E4">
          <w:pPr>
            <w:pStyle w:val="12"/>
            <w:tabs>
              <w:tab w:val="right" w:leader="dot" w:pos="8948"/>
            </w:tabs>
          </w:pPr>
          <w:r>
            <w:fldChar w:fldCharType="begin"/>
          </w:r>
          <w:r>
            <w:instrText xml:space="preserve"> TOC \o "1-3" \h \z \u </w:instrText>
          </w:r>
          <w:r>
            <w:fldChar w:fldCharType="separate"/>
          </w:r>
          <w:r>
            <w:fldChar w:fldCharType="begin"/>
          </w:r>
          <w:r>
            <w:instrText xml:space="preserve"> HYPERLINK \l "_Toc69570648" </w:instrText>
          </w:r>
          <w:r>
            <w:fldChar w:fldCharType="separate"/>
          </w:r>
          <w:r>
            <w:rPr>
              <w:rStyle w:val="18"/>
            </w:rPr>
            <w:t>第一章  招标公告</w:t>
          </w:r>
          <w:r>
            <w:tab/>
          </w:r>
          <w:r>
            <w:fldChar w:fldCharType="begin"/>
          </w:r>
          <w:r>
            <w:instrText xml:space="preserve"> PAGEREF _Toc69570648 \h </w:instrText>
          </w:r>
          <w:r>
            <w:fldChar w:fldCharType="separate"/>
          </w:r>
          <w:r>
            <w:t>3</w:t>
          </w:r>
          <w:r>
            <w:fldChar w:fldCharType="end"/>
          </w:r>
          <w:r>
            <w:fldChar w:fldCharType="end"/>
          </w:r>
        </w:p>
        <w:p w14:paraId="7E0EC782">
          <w:pPr>
            <w:pStyle w:val="12"/>
            <w:tabs>
              <w:tab w:val="right" w:leader="dot" w:pos="8948"/>
            </w:tabs>
          </w:pPr>
          <w:r>
            <w:fldChar w:fldCharType="begin"/>
          </w:r>
          <w:r>
            <w:instrText xml:space="preserve"> HYPERLINK \l "_Toc69570649" </w:instrText>
          </w:r>
          <w:r>
            <w:fldChar w:fldCharType="separate"/>
          </w:r>
          <w:r>
            <w:rPr>
              <w:rStyle w:val="18"/>
            </w:rPr>
            <w:t>第二章  用户需求书</w:t>
          </w:r>
          <w:r>
            <w:tab/>
          </w:r>
          <w:r>
            <w:fldChar w:fldCharType="begin"/>
          </w:r>
          <w:r>
            <w:instrText xml:space="preserve"> PAGEREF _Toc69570649 \h </w:instrText>
          </w:r>
          <w:r>
            <w:fldChar w:fldCharType="separate"/>
          </w:r>
          <w:r>
            <w:t>5</w:t>
          </w:r>
          <w:r>
            <w:fldChar w:fldCharType="end"/>
          </w:r>
          <w:r>
            <w:fldChar w:fldCharType="end"/>
          </w:r>
        </w:p>
        <w:p w14:paraId="05EC615F">
          <w:pPr>
            <w:pStyle w:val="12"/>
            <w:tabs>
              <w:tab w:val="right" w:leader="dot" w:pos="8948"/>
            </w:tabs>
          </w:pPr>
          <w:r>
            <w:fldChar w:fldCharType="begin"/>
          </w:r>
          <w:r>
            <w:instrText xml:space="preserve"> HYPERLINK \l "_Toc69570650" </w:instrText>
          </w:r>
          <w:r>
            <w:fldChar w:fldCharType="separate"/>
          </w:r>
          <w:r>
            <w:rPr>
              <w:rStyle w:val="18"/>
            </w:rPr>
            <w:t>第三章  投标人须知</w:t>
          </w:r>
          <w:r>
            <w:tab/>
          </w:r>
          <w:r>
            <w:fldChar w:fldCharType="begin"/>
          </w:r>
          <w:r>
            <w:instrText xml:space="preserve"> PAGEREF _Toc69570650 \h </w:instrText>
          </w:r>
          <w:r>
            <w:fldChar w:fldCharType="separate"/>
          </w:r>
          <w:r>
            <w:t>13</w:t>
          </w:r>
          <w:r>
            <w:fldChar w:fldCharType="end"/>
          </w:r>
          <w:r>
            <w:fldChar w:fldCharType="end"/>
          </w:r>
        </w:p>
        <w:p w14:paraId="11C6AC3C">
          <w:pPr>
            <w:pStyle w:val="12"/>
            <w:tabs>
              <w:tab w:val="right" w:leader="dot" w:pos="8948"/>
            </w:tabs>
          </w:pPr>
          <w:r>
            <w:fldChar w:fldCharType="begin"/>
          </w:r>
          <w:r>
            <w:instrText xml:space="preserve"> HYPERLINK \l "_Toc69570651" </w:instrText>
          </w:r>
          <w:r>
            <w:fldChar w:fldCharType="separate"/>
          </w:r>
          <w:r>
            <w:rPr>
              <w:rStyle w:val="18"/>
            </w:rPr>
            <w:t>第四章  附件－投标文件格式</w:t>
          </w:r>
          <w:r>
            <w:tab/>
          </w:r>
          <w:r>
            <w:fldChar w:fldCharType="begin"/>
          </w:r>
          <w:r>
            <w:instrText xml:space="preserve"> PAGEREF _Toc69570651 \h </w:instrText>
          </w:r>
          <w:r>
            <w:fldChar w:fldCharType="separate"/>
          </w:r>
          <w:r>
            <w:t>26</w:t>
          </w:r>
          <w:r>
            <w:fldChar w:fldCharType="end"/>
          </w:r>
          <w:r>
            <w:fldChar w:fldCharType="end"/>
          </w:r>
        </w:p>
        <w:p w14:paraId="2CFF9385">
          <w:r>
            <w:fldChar w:fldCharType="end"/>
          </w:r>
        </w:p>
      </w:sdtContent>
    </w:sdt>
    <w:p w14:paraId="21CA9CB8">
      <w:pPr>
        <w:spacing w:line="360" w:lineRule="auto"/>
      </w:pPr>
    </w:p>
    <w:p w14:paraId="7908001E">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77521A9D">
      <w:pPr>
        <w:pStyle w:val="3"/>
      </w:pPr>
      <w:bookmarkStart w:id="0" w:name="_Toc61539108"/>
      <w:bookmarkStart w:id="1" w:name="_Toc69570648"/>
      <w:r>
        <w:rPr>
          <w:rFonts w:hint="eastAsia"/>
        </w:rPr>
        <w:t xml:space="preserve">第一章  </w:t>
      </w:r>
      <w:bookmarkEnd w:id="0"/>
      <w:r>
        <w:rPr>
          <w:rFonts w:hint="eastAsia"/>
        </w:rPr>
        <w:t>招标公告</w:t>
      </w:r>
      <w:bookmarkEnd w:id="1"/>
    </w:p>
    <w:p w14:paraId="1A536879">
      <w:pPr>
        <w:spacing w:line="360" w:lineRule="auto"/>
        <w:ind w:firstLine="420" w:firstLineChars="200"/>
      </w:pPr>
      <w:bookmarkStart w:id="2" w:name="_Hlk69568487"/>
      <w:r>
        <w:rPr>
          <w:rFonts w:hint="eastAsia"/>
        </w:rPr>
        <w:t>深圳市宝安区疾病预防控制中心</w:t>
      </w:r>
      <w:bookmarkEnd w:id="2"/>
      <w:r>
        <w:rPr>
          <w:rFonts w:hint="eastAsia" w:asciiTheme="minorEastAsia" w:hAnsiTheme="minorEastAsia"/>
          <w:szCs w:val="21"/>
          <w:lang w:eastAsia="zh-CN"/>
        </w:rPr>
        <w:t>（</w:t>
      </w:r>
      <w:r>
        <w:rPr>
          <w:rFonts w:hint="eastAsia" w:asciiTheme="minorEastAsia" w:hAnsiTheme="minorEastAsia"/>
          <w:szCs w:val="21"/>
          <w:lang w:val="en-US" w:eastAsia="zh-CN"/>
        </w:rPr>
        <w:t>深圳市宝安区卫生监督所</w:t>
      </w:r>
      <w:r>
        <w:rPr>
          <w:rFonts w:hint="eastAsia" w:asciiTheme="minorEastAsia" w:hAnsiTheme="minorEastAsia"/>
          <w:szCs w:val="21"/>
          <w:lang w:eastAsia="zh-CN"/>
        </w:rPr>
        <w:t>）</w:t>
      </w:r>
      <w:r>
        <w:rPr>
          <w:rFonts w:hint="eastAsia"/>
          <w:color w:val="000000" w:themeColor="text1"/>
          <w14:textFill>
            <w14:solidFill>
              <w14:schemeClr w14:val="tx1"/>
            </w14:solidFill>
          </w14:textFill>
        </w:rPr>
        <w:t>就网络安全等级保护年度测评服务采购项目</w:t>
      </w:r>
      <w:r>
        <w:rPr>
          <w:rFonts w:hint="eastAsia"/>
        </w:rPr>
        <w:t>接受广大潜在的投标人提交密封投标文件。有关事项如下：</w:t>
      </w:r>
    </w:p>
    <w:p w14:paraId="2C622901">
      <w:pPr>
        <w:pStyle w:val="5"/>
        <w:ind w:firstLine="482"/>
      </w:pPr>
      <w:bookmarkStart w:id="3" w:name="_Hlk69568538"/>
      <w:r>
        <w:rPr>
          <w:rFonts w:hint="eastAsia"/>
        </w:rPr>
        <w:t>一、项目基本信息</w:t>
      </w:r>
    </w:p>
    <w:p w14:paraId="1F3A7D2C">
      <w:pPr>
        <w:spacing w:line="360" w:lineRule="auto"/>
        <w:ind w:firstLine="420" w:firstLineChars="200"/>
        <w:rPr>
          <w:color w:val="000000" w:themeColor="text1"/>
          <w14:textFill>
            <w14:solidFill>
              <w14:schemeClr w14:val="tx1"/>
            </w14:solidFill>
          </w14:textFill>
        </w:rPr>
      </w:pPr>
      <w:r>
        <w:rPr>
          <w:rFonts w:hint="eastAsia"/>
        </w:rPr>
        <w:t>1、项</w:t>
      </w:r>
      <w:r>
        <w:rPr>
          <w:rFonts w:hint="eastAsia"/>
          <w:color w:val="000000" w:themeColor="text1"/>
          <w14:textFill>
            <w14:solidFill>
              <w14:schemeClr w14:val="tx1"/>
            </w14:solidFill>
          </w14:textFill>
        </w:rPr>
        <w:t>目名称：网络安全等级保护年度测评服务采购项目</w:t>
      </w:r>
    </w:p>
    <w:p w14:paraId="7A7DC20D">
      <w:pPr>
        <w:spacing w:line="360" w:lineRule="auto"/>
        <w:ind w:firstLine="420" w:firstLineChars="200"/>
      </w:pPr>
      <w:r>
        <w:rPr>
          <w:rFonts w:hint="eastAsia"/>
        </w:rPr>
        <w:t>2、</w:t>
      </w:r>
      <w:r>
        <w:t>项目编号：</w:t>
      </w:r>
      <w:r>
        <w:rPr>
          <w:rFonts w:hint="eastAsia"/>
        </w:rPr>
        <w:t>BACDCCG202</w:t>
      </w:r>
      <w:r>
        <w:rPr>
          <w:rFonts w:hint="eastAsia"/>
          <w:lang w:val="en-US" w:eastAsia="zh-CN"/>
        </w:rPr>
        <w:t>6</w:t>
      </w:r>
      <w:r>
        <w:rPr>
          <w:rFonts w:hint="eastAsia"/>
        </w:rPr>
        <w:t>0</w:t>
      </w:r>
      <w:r>
        <w:rPr>
          <w:rFonts w:hint="eastAsia"/>
          <w:lang w:val="en-US" w:eastAsia="zh-CN"/>
        </w:rPr>
        <w:t>01</w:t>
      </w:r>
    </w:p>
    <w:p w14:paraId="2774515C">
      <w:pPr>
        <w:spacing w:line="360" w:lineRule="auto"/>
        <w:ind w:firstLine="420" w:firstLineChars="200"/>
      </w:pPr>
      <w:r>
        <w:rPr>
          <w:rFonts w:hint="eastAsia"/>
        </w:rPr>
        <w:t>3、项目类别：服务类</w:t>
      </w:r>
    </w:p>
    <w:p w14:paraId="0E610FE2">
      <w:pPr>
        <w:spacing w:line="360" w:lineRule="auto"/>
        <w:ind w:firstLine="420" w:firstLineChars="200"/>
      </w:pPr>
      <w:r>
        <w:t>4</w:t>
      </w:r>
      <w:r>
        <w:rPr>
          <w:rFonts w:hint="eastAsia"/>
        </w:rPr>
        <w:t>、</w:t>
      </w:r>
      <w:r>
        <w:t>采购单位：</w:t>
      </w:r>
      <w:r>
        <w:rPr>
          <w:rFonts w:hint="eastAsia"/>
        </w:rPr>
        <w:t>深圳市宝安区疾病预防控制中心（深圳市宝安区卫生监督所）</w:t>
      </w:r>
    </w:p>
    <w:p w14:paraId="5C1D7D86">
      <w:pPr>
        <w:spacing w:line="360" w:lineRule="auto"/>
        <w:ind w:firstLine="420" w:firstLineChars="200"/>
      </w:pPr>
      <w:r>
        <w:t>5</w:t>
      </w:r>
      <w:r>
        <w:rPr>
          <w:rFonts w:hint="eastAsia"/>
        </w:rPr>
        <w:t>、采购方式：公开招标</w:t>
      </w:r>
    </w:p>
    <w:p w14:paraId="4D042DF0">
      <w:pPr>
        <w:spacing w:line="360" w:lineRule="auto"/>
        <w:ind w:firstLine="422" w:firstLineChars="200"/>
        <w:rPr>
          <w:b/>
        </w:rPr>
      </w:pPr>
      <w:r>
        <w:rPr>
          <w:b/>
        </w:rPr>
        <w:t>6</w:t>
      </w:r>
      <w:r>
        <w:rPr>
          <w:rFonts w:hint="eastAsia"/>
          <w:b/>
        </w:rPr>
        <w:t>、评标方法：综合评分法</w:t>
      </w:r>
    </w:p>
    <w:bookmarkEnd w:id="3"/>
    <w:p w14:paraId="55A334B1">
      <w:pPr>
        <w:pStyle w:val="5"/>
        <w:ind w:firstLine="482"/>
      </w:pPr>
      <w:r>
        <w:rPr>
          <w:rFonts w:hint="eastAsia"/>
        </w:rPr>
        <w:t>二、采购预算</w:t>
      </w:r>
    </w:p>
    <w:p w14:paraId="7BF6C754">
      <w:pPr>
        <w:spacing w:line="360" w:lineRule="auto"/>
        <w:ind w:firstLine="420" w:firstLineChars="200"/>
      </w:pPr>
      <w:r>
        <w:rPr>
          <w:rFonts w:hint="eastAsia"/>
        </w:rPr>
        <w:t>本项目为年度服务招标项目，年度支付上限不超过1</w:t>
      </w:r>
      <w:r>
        <w:rPr>
          <w:rFonts w:hint="eastAsia"/>
          <w:lang w:val="en-US" w:eastAsia="zh-CN"/>
        </w:rPr>
        <w:t>40</w:t>
      </w:r>
      <w:r>
        <w:rPr>
          <w:rFonts w:hint="eastAsia"/>
        </w:rPr>
        <w:t>，000.00元整。</w:t>
      </w:r>
    </w:p>
    <w:p w14:paraId="7262D2F9">
      <w:pPr>
        <w:pStyle w:val="5"/>
        <w:ind w:firstLine="482"/>
      </w:pPr>
      <w:bookmarkStart w:id="4" w:name="_Hlk69568757"/>
      <w:r>
        <w:rPr>
          <w:rFonts w:hint="eastAsia"/>
        </w:rPr>
        <w:t>三、需落实的采购政策</w:t>
      </w:r>
    </w:p>
    <w:p w14:paraId="3C0658FE">
      <w:pPr>
        <w:spacing w:line="360" w:lineRule="auto"/>
        <w:ind w:firstLine="420" w:firstLineChars="200"/>
      </w:pPr>
      <w:r>
        <w:rPr>
          <w:rFonts w:hint="eastAsia"/>
        </w:rPr>
        <w:t>按照相关规定执行，详见采购需求标准。</w:t>
      </w:r>
    </w:p>
    <w:p w14:paraId="07CA7F82">
      <w:pPr>
        <w:pStyle w:val="5"/>
        <w:ind w:firstLine="482"/>
      </w:pPr>
      <w:r>
        <w:rPr>
          <w:rFonts w:hint="eastAsia"/>
        </w:rPr>
        <w:t>四、供应商资格要求</w:t>
      </w:r>
    </w:p>
    <w:p w14:paraId="05B69A24">
      <w:pPr>
        <w:spacing w:line="360" w:lineRule="auto"/>
        <w:ind w:firstLine="420" w:firstLineChars="200"/>
      </w:pPr>
      <w:r>
        <w:rPr>
          <w:rFonts w:hint="eastAsia"/>
        </w:rPr>
        <w:t>1、投标人必须是在中华人民共和国境内注册的独立法人或其他组织；</w:t>
      </w:r>
    </w:p>
    <w:p w14:paraId="0AC23271">
      <w:pPr>
        <w:spacing w:line="360" w:lineRule="auto"/>
        <w:ind w:firstLine="420" w:firstLineChars="200"/>
      </w:pPr>
      <w:r>
        <w:rPr>
          <w:rFonts w:hint="eastAsia"/>
        </w:rPr>
        <w:t>2、投标人参加本次政府采购活动前3年内在经营活动中没有重大违法记录（提供声明函）；</w:t>
      </w:r>
    </w:p>
    <w:p w14:paraId="6F3497B0">
      <w:pPr>
        <w:spacing w:line="360" w:lineRule="auto"/>
        <w:ind w:firstLine="420" w:firstLineChars="200"/>
      </w:pPr>
      <w:r>
        <w:rPr>
          <w:rFonts w:hint="eastAsia"/>
        </w:rPr>
        <w:t>3、截至开标时间为止，未被深圳市各级政府采购主管部门行政处罚（指禁止参与政府采购活动且在有效期内）的投标人；</w:t>
      </w:r>
    </w:p>
    <w:p w14:paraId="79B485E5">
      <w:pPr>
        <w:spacing w:line="360" w:lineRule="auto"/>
        <w:ind w:firstLine="420" w:firstLineChars="200"/>
      </w:pPr>
      <w:r>
        <w:rPr>
          <w:rFonts w:hint="eastAsia"/>
        </w:rPr>
        <w:t>4、通过“信用中国”网站（www.creditchina.gov.cn）和中国政府采购网（www.ccgp.gov.cn）查询信用记录（相关信息以中标通知书发出前的查询结果为准），被列入失信被执行人、重大税收违法案件当事人名单或政府采购严重违法失信行为记录名单的供应商，拒绝参与本项目的采购活动(现场网上查询)；</w:t>
      </w:r>
    </w:p>
    <w:p w14:paraId="24326224">
      <w:pPr>
        <w:spacing w:line="360" w:lineRule="auto"/>
        <w:ind w:firstLine="420" w:firstLineChars="200"/>
      </w:pPr>
      <w:r>
        <w:rPr>
          <w:rFonts w:hint="eastAsia"/>
        </w:rPr>
        <w:t>5、投标人具有公安部颁发的《网络安全服务认证证书等级保护测评服务认证》证书，且证书在有效期内。</w:t>
      </w:r>
    </w:p>
    <w:p w14:paraId="5FD8BDCA">
      <w:pPr>
        <w:spacing w:line="360" w:lineRule="auto"/>
        <w:ind w:firstLine="420" w:firstLineChars="200"/>
      </w:pPr>
      <w:r>
        <w:rPr>
          <w:rFonts w:hint="eastAsia"/>
        </w:rPr>
        <w:t>6、本项目不接受联合体投标。</w:t>
      </w:r>
    </w:p>
    <w:p w14:paraId="35F2CF68">
      <w:pPr>
        <w:pStyle w:val="5"/>
        <w:ind w:firstLine="482"/>
      </w:pPr>
      <w:r>
        <w:rPr>
          <w:rFonts w:hint="eastAsia"/>
        </w:rPr>
        <w:t>五、获取招标文件的时间、地点、方式及招标文件售价</w:t>
      </w:r>
    </w:p>
    <w:p w14:paraId="434AD16E">
      <w:pPr>
        <w:spacing w:line="360" w:lineRule="auto"/>
        <w:ind w:firstLine="420" w:firstLineChars="200"/>
        <w:rPr>
          <w:rFonts w:hint="eastAsia"/>
          <w:highlight w:val="yellow"/>
        </w:rPr>
      </w:pPr>
      <w:r>
        <w:rPr>
          <w:rFonts w:hint="eastAsia"/>
        </w:rPr>
        <w:t>1、获取招标文件时间：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8</w:t>
      </w:r>
      <w:r>
        <w:rPr>
          <w:rFonts w:hint="eastAsia"/>
          <w:highlight w:val="yellow"/>
        </w:rPr>
        <w:t>月</w:t>
      </w:r>
      <w:r>
        <w:rPr>
          <w:rFonts w:hint="eastAsia"/>
          <w:highlight w:val="yellow"/>
          <w:lang w:val="en-US" w:eastAsia="zh-CN"/>
        </w:rPr>
        <w:t>14</w:t>
      </w:r>
      <w:r>
        <w:rPr>
          <w:rFonts w:hint="eastAsia"/>
          <w:highlight w:val="yellow"/>
        </w:rPr>
        <w:t>日起至202</w:t>
      </w:r>
      <w:r>
        <w:rPr>
          <w:rFonts w:hint="eastAsia"/>
          <w:highlight w:val="yellow"/>
          <w:lang w:val="en-US" w:eastAsia="zh-CN"/>
        </w:rPr>
        <w:t>6</w:t>
      </w:r>
      <w:r>
        <w:rPr>
          <w:rFonts w:hint="eastAsia"/>
          <w:highlight w:val="yellow"/>
        </w:rPr>
        <w:t>年</w:t>
      </w:r>
      <w:r>
        <w:rPr>
          <w:rFonts w:hint="eastAsia"/>
          <w:highlight w:val="yellow"/>
          <w:lang w:val="en-US" w:eastAsia="zh-CN"/>
        </w:rPr>
        <w:t>8</w:t>
      </w:r>
      <w:r>
        <w:rPr>
          <w:rFonts w:hint="eastAsia"/>
          <w:highlight w:val="yellow"/>
        </w:rPr>
        <w:t>月</w:t>
      </w:r>
      <w:r>
        <w:rPr>
          <w:rFonts w:hint="eastAsia"/>
          <w:highlight w:val="yellow"/>
          <w:lang w:val="en-US" w:eastAsia="zh-CN"/>
        </w:rPr>
        <w:t>25</w:t>
      </w:r>
      <w:r>
        <w:rPr>
          <w:rFonts w:hint="eastAsia"/>
          <w:highlight w:val="yellow"/>
        </w:rPr>
        <w:t>日</w:t>
      </w:r>
    </w:p>
    <w:p w14:paraId="133E1003">
      <w:pPr>
        <w:spacing w:line="360" w:lineRule="auto"/>
        <w:ind w:firstLine="420" w:firstLineChars="200"/>
        <w:rPr>
          <w:rFonts w:hint="default" w:eastAsiaTheme="minorEastAsia"/>
          <w:lang w:val="en-US" w:eastAsia="zh-CN"/>
        </w:rPr>
      </w:pPr>
      <w:r>
        <w:rPr>
          <w:rFonts w:hint="eastAsia"/>
        </w:rPr>
        <w:t>2、获取招标文件地点：</w:t>
      </w:r>
      <w:r>
        <w:rPr>
          <w:rFonts w:hint="eastAsia"/>
          <w:lang w:val="en-US" w:eastAsia="zh-CN"/>
        </w:rPr>
        <w:t>线上下载</w:t>
      </w:r>
    </w:p>
    <w:p w14:paraId="2BD0B0C9">
      <w:pPr>
        <w:spacing w:line="360" w:lineRule="auto"/>
        <w:ind w:firstLine="420" w:firstLineChars="200"/>
      </w:pPr>
      <w:r>
        <w:rPr>
          <w:rFonts w:hint="eastAsia"/>
          <w:lang w:val="en-US" w:eastAsia="zh-CN"/>
        </w:rPr>
        <w:t>3</w:t>
      </w:r>
      <w:r>
        <w:rPr>
          <w:rFonts w:hint="eastAsia"/>
        </w:rPr>
        <w:t>、联系人：</w:t>
      </w:r>
      <w:r>
        <w:rPr>
          <w:rFonts w:hint="eastAsia"/>
          <w:lang w:val="en-US" w:eastAsia="zh-CN"/>
        </w:rPr>
        <w:t>姜</w:t>
      </w:r>
      <w:r>
        <w:rPr>
          <w:rFonts w:hint="eastAsia"/>
        </w:rPr>
        <w:t>工</w:t>
      </w:r>
    </w:p>
    <w:p w14:paraId="001ACD70">
      <w:pPr>
        <w:spacing w:line="360" w:lineRule="auto"/>
        <w:ind w:firstLine="420" w:firstLineChars="200"/>
        <w:rPr>
          <w:rFonts w:hint="eastAsia" w:eastAsiaTheme="minorEastAsia"/>
          <w:lang w:eastAsia="zh-CN"/>
        </w:rPr>
      </w:pPr>
      <w:r>
        <w:rPr>
          <w:rFonts w:hint="eastAsia"/>
        </w:rPr>
        <w:t>5、联系电话：</w:t>
      </w:r>
      <w:r>
        <w:t xml:space="preserve">0755- </w:t>
      </w:r>
      <w:r>
        <w:rPr>
          <w:rFonts w:hint="eastAsia"/>
          <w:lang w:eastAsia="zh-CN"/>
        </w:rPr>
        <w:t>27751586</w:t>
      </w:r>
    </w:p>
    <w:p w14:paraId="1F4800EE">
      <w:pPr>
        <w:pStyle w:val="5"/>
        <w:ind w:firstLine="482"/>
      </w:pPr>
      <w:r>
        <w:rPr>
          <w:rFonts w:hint="eastAsia"/>
        </w:rPr>
        <w:t>六、投标截止时间</w:t>
      </w:r>
    </w:p>
    <w:p w14:paraId="285869A1">
      <w:pPr>
        <w:spacing w:line="360" w:lineRule="auto"/>
        <w:ind w:firstLine="420" w:firstLineChars="200"/>
      </w:pPr>
      <w:r>
        <w:rPr>
          <w:rFonts w:hint="eastAsia"/>
        </w:rPr>
        <w:t>1、递交投标文件时间：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8</w:t>
      </w:r>
      <w:r>
        <w:rPr>
          <w:rFonts w:hint="eastAsia"/>
          <w:highlight w:val="yellow"/>
        </w:rPr>
        <w:t>月</w:t>
      </w:r>
      <w:r>
        <w:rPr>
          <w:rFonts w:hint="eastAsia"/>
          <w:highlight w:val="yellow"/>
          <w:lang w:val="en-US" w:eastAsia="zh-CN"/>
        </w:rPr>
        <w:t>25</w:t>
      </w:r>
      <w:r>
        <w:rPr>
          <w:rFonts w:hint="eastAsia"/>
          <w:highlight w:val="yellow"/>
        </w:rPr>
        <w:t>日</w:t>
      </w:r>
      <w:r>
        <w:rPr>
          <w:rFonts w:hint="eastAsia"/>
        </w:rPr>
        <w:t>下午1</w:t>
      </w:r>
      <w:r>
        <w:rPr>
          <w:rFonts w:hint="eastAsia"/>
          <w:lang w:val="en-US" w:eastAsia="zh-CN"/>
        </w:rPr>
        <w:t>8</w:t>
      </w:r>
      <w:r>
        <w:rPr>
          <w:rFonts w:hint="eastAsia"/>
        </w:rPr>
        <w:t>：</w:t>
      </w:r>
      <w:r>
        <w:t>0</w:t>
      </w:r>
      <w:r>
        <w:rPr>
          <w:rFonts w:hint="eastAsia"/>
        </w:rPr>
        <w:t>0前（可快递，以签收时间为准）。</w:t>
      </w:r>
    </w:p>
    <w:p w14:paraId="62D90C12">
      <w:pPr>
        <w:spacing w:line="360" w:lineRule="auto"/>
        <w:ind w:firstLine="420" w:firstLineChars="200"/>
      </w:pPr>
      <w:r>
        <w:t>2</w:t>
      </w:r>
      <w:r>
        <w:rPr>
          <w:rFonts w:hint="eastAsia"/>
        </w:rPr>
        <w:t>、递交投标文件地点：深圳市宝安区海秀路3号（深圳市宝安区疾病预防控制中心）</w:t>
      </w:r>
      <w:r>
        <w:rPr>
          <w:rFonts w:hint="eastAsia"/>
          <w:lang w:val="en-US" w:eastAsia="zh-CN"/>
        </w:rPr>
        <w:t>525，</w:t>
      </w:r>
      <w:r>
        <w:rPr>
          <w:rFonts w:hint="eastAsia"/>
        </w:rPr>
        <w:t>如无法进入大楼可放置保安室。</w:t>
      </w:r>
    </w:p>
    <w:p w14:paraId="3BB0EC6D">
      <w:pPr>
        <w:pStyle w:val="5"/>
        <w:ind w:firstLine="482"/>
      </w:pPr>
      <w:r>
        <w:rPr>
          <w:rFonts w:hint="eastAsia"/>
        </w:rPr>
        <w:t>七、采购公告查询：</w:t>
      </w:r>
    </w:p>
    <w:p w14:paraId="0D6ADBEE">
      <w:pPr>
        <w:spacing w:line="360" w:lineRule="auto"/>
        <w:ind w:firstLine="420" w:firstLineChars="200"/>
      </w:pPr>
      <w:r>
        <w:rPr>
          <w:rFonts w:hint="eastAsia"/>
        </w:rPr>
        <w:t>https://www.bawjxt.net/baqjbyfkzzx/(深圳市宝安区疾病预防控制中心官网)</w:t>
      </w:r>
    </w:p>
    <w:p w14:paraId="5783F421">
      <w:pPr>
        <w:spacing w:line="360" w:lineRule="auto"/>
        <w:ind w:firstLine="420" w:firstLineChars="200"/>
      </w:pPr>
    </w:p>
    <w:p w14:paraId="7C397871">
      <w:pPr>
        <w:spacing w:line="360" w:lineRule="auto"/>
        <w:ind w:firstLine="420" w:firstLineChars="200"/>
      </w:pPr>
    </w:p>
    <w:p w14:paraId="2B145E25">
      <w:pPr>
        <w:spacing w:line="360" w:lineRule="auto"/>
        <w:ind w:firstLine="420" w:firstLineChars="200"/>
      </w:pPr>
    </w:p>
    <w:p w14:paraId="7C4B0C38">
      <w:pPr>
        <w:spacing w:line="360" w:lineRule="auto"/>
        <w:ind w:firstLine="420" w:firstLineChars="200"/>
      </w:pPr>
    </w:p>
    <w:p w14:paraId="42C01E04">
      <w:pPr>
        <w:spacing w:line="360" w:lineRule="auto"/>
        <w:ind w:firstLine="5460" w:firstLineChars="2600"/>
        <w:rPr>
          <w:rFonts w:hint="eastAsia"/>
        </w:rPr>
      </w:pPr>
      <w:r>
        <w:rPr>
          <w:rFonts w:hint="eastAsia"/>
        </w:rPr>
        <w:t>深圳市宝安区疾病预防控制中心</w:t>
      </w:r>
    </w:p>
    <w:p w14:paraId="76B2C145">
      <w:pPr>
        <w:spacing w:line="360" w:lineRule="auto"/>
        <w:ind w:firstLine="5670" w:firstLineChars="2700"/>
        <w:rPr>
          <w:rFonts w:hint="eastAsia" w:eastAsiaTheme="minorEastAsia"/>
          <w:lang w:eastAsia="zh-CN"/>
        </w:rPr>
      </w:pPr>
      <w:r>
        <w:rPr>
          <w:rFonts w:hint="eastAsia"/>
          <w:lang w:eastAsia="zh-CN"/>
        </w:rPr>
        <w:t>（</w:t>
      </w:r>
      <w:r>
        <w:rPr>
          <w:rFonts w:hint="eastAsia"/>
          <w:lang w:val="en-US" w:eastAsia="zh-CN"/>
        </w:rPr>
        <w:t>深圳市宝安区卫生监督所</w:t>
      </w:r>
      <w:r>
        <w:rPr>
          <w:rFonts w:hint="eastAsia"/>
          <w:lang w:eastAsia="zh-CN"/>
        </w:rPr>
        <w:t>）</w:t>
      </w:r>
    </w:p>
    <w:p w14:paraId="0047B6B9">
      <w:pPr>
        <w:spacing w:line="360" w:lineRule="auto"/>
        <w:ind w:firstLine="5880" w:firstLineChars="2800"/>
      </w:pPr>
      <w:r>
        <w:rPr>
          <w:rFonts w:hint="eastAsia"/>
        </w:rPr>
        <w:t>2</w:t>
      </w:r>
      <w:r>
        <w:t>02</w:t>
      </w:r>
      <w:r>
        <w:rPr>
          <w:rFonts w:hint="eastAsia"/>
          <w:lang w:val="en-US" w:eastAsia="zh-CN"/>
        </w:rPr>
        <w:t>6</w:t>
      </w:r>
      <w:r>
        <w:rPr>
          <w:rFonts w:hint="eastAsia"/>
        </w:rPr>
        <w:t>年</w:t>
      </w:r>
      <w:r>
        <w:t>0</w:t>
      </w:r>
      <w:r>
        <w:rPr>
          <w:rFonts w:hint="eastAsia"/>
          <w:lang w:val="en-US" w:eastAsia="zh-CN"/>
        </w:rPr>
        <w:t>8</w:t>
      </w:r>
      <w:r>
        <w:rPr>
          <w:rFonts w:hint="eastAsia"/>
        </w:rPr>
        <w:t>月</w:t>
      </w:r>
      <w:r>
        <w:rPr>
          <w:rFonts w:hint="eastAsia"/>
          <w:highlight w:val="yellow"/>
          <w:lang w:val="en-US" w:eastAsia="zh-CN"/>
        </w:rPr>
        <w:t>14</w:t>
      </w:r>
      <w:bookmarkStart w:id="189" w:name="_GoBack"/>
      <w:bookmarkEnd w:id="189"/>
      <w:r>
        <w:rPr>
          <w:rFonts w:hint="eastAsia"/>
        </w:rPr>
        <w:t>日</w:t>
      </w:r>
    </w:p>
    <w:bookmarkEnd w:id="4"/>
    <w:p w14:paraId="1FEC0EC2">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09FAAD43">
      <w:pPr>
        <w:pStyle w:val="3"/>
      </w:pPr>
      <w:bookmarkStart w:id="5" w:name="_Toc61539109"/>
      <w:bookmarkStart w:id="6" w:name="_Toc69570649"/>
      <w:r>
        <w:rPr>
          <w:rFonts w:hint="eastAsia"/>
        </w:rPr>
        <w:t>第二章  用户需求书</w:t>
      </w:r>
      <w:bookmarkEnd w:id="5"/>
      <w:bookmarkEnd w:id="6"/>
    </w:p>
    <w:p w14:paraId="59170A9E">
      <w:pPr>
        <w:pStyle w:val="5"/>
        <w:ind w:firstLine="482"/>
      </w:pPr>
      <w:r>
        <w:rPr>
          <w:rFonts w:hint="eastAsia"/>
        </w:rPr>
        <w:t>一、项目概括</w:t>
      </w:r>
    </w:p>
    <w:p w14:paraId="1AD9E261">
      <w:pPr>
        <w:tabs>
          <w:tab w:val="left" w:pos="907"/>
        </w:tabs>
        <w:spacing w:line="360" w:lineRule="auto"/>
        <w:ind w:firstLine="420" w:firstLineChars="200"/>
        <w:rPr>
          <w:rFonts w:asciiTheme="minorEastAsia" w:hAnsiTheme="minorEastAsia"/>
          <w:szCs w:val="21"/>
        </w:rPr>
      </w:pPr>
      <w:r>
        <w:rPr>
          <w:rFonts w:hint="eastAsia" w:asciiTheme="minorEastAsia" w:hAnsiTheme="minorEastAsia"/>
          <w:szCs w:val="21"/>
        </w:rPr>
        <w:t>深圳市宝安区疾病预防控制中心</w:t>
      </w:r>
      <w:r>
        <w:rPr>
          <w:rFonts w:hint="eastAsia" w:asciiTheme="minorEastAsia" w:hAnsiTheme="minorEastAsia"/>
          <w:szCs w:val="21"/>
          <w:lang w:eastAsia="zh-CN"/>
        </w:rPr>
        <w:t>（</w:t>
      </w:r>
      <w:r>
        <w:rPr>
          <w:rFonts w:hint="eastAsia" w:asciiTheme="minorEastAsia" w:hAnsiTheme="minorEastAsia"/>
          <w:szCs w:val="21"/>
          <w:lang w:val="en-US" w:eastAsia="zh-CN"/>
        </w:rPr>
        <w:t>深圳市宝安区卫生监督所</w:t>
      </w:r>
      <w:r>
        <w:rPr>
          <w:rFonts w:hint="eastAsia" w:asciiTheme="minorEastAsia" w:hAnsiTheme="minorEastAsia"/>
          <w:szCs w:val="21"/>
          <w:lang w:eastAsia="zh-CN"/>
        </w:rPr>
        <w:t>）</w:t>
      </w:r>
      <w:r>
        <w:rPr>
          <w:rFonts w:hint="eastAsia" w:asciiTheme="minorEastAsia" w:hAnsiTheme="minorEastAsia"/>
          <w:szCs w:val="21"/>
        </w:rPr>
        <w:t>为宝安区卫生和计划生育局下属副处级事业单位,主要职能是疾病预防与控制、突发公共卫生事件应急处置,疫情报告及相关因素信息管理,健康危害因素监测与干预,实验室检测分析与评价,健康教育与健康促进,疾病控制技术管理与应用研究指导。</w:t>
      </w:r>
    </w:p>
    <w:p w14:paraId="73FB80CE">
      <w:pPr>
        <w:tabs>
          <w:tab w:val="left" w:pos="907"/>
        </w:tabs>
        <w:spacing w:line="360" w:lineRule="auto"/>
        <w:ind w:firstLine="420" w:firstLineChars="200"/>
        <w:rPr>
          <w:rFonts w:asciiTheme="minorEastAsia" w:hAnsiTheme="minorEastAsia"/>
          <w:szCs w:val="21"/>
        </w:rPr>
      </w:pPr>
      <w:r>
        <w:rPr>
          <w:rFonts w:hint="eastAsia" w:asciiTheme="minorEastAsia" w:hAnsiTheme="minorEastAsia"/>
          <w:szCs w:val="21"/>
        </w:rPr>
        <w:t>为根据《网络安全法》要求，按照广东省和深圳市公安网监部门工作部署要求，对本中心正在使用的信息系统落实开展网络安全等级保护测评工作，按照等级保护国家标准规范要求进行评测，找出存在的差距和不足，提出整改修复意见和建议。对已确定级别的新建信息系统，在定级报告基础上，按照公安网监部门要求进行定级备案工作，并将相关材料按要求提交上级主管部门及公安网监部门，完成定级备案工作。协助采购单位办取由深圳市信息安全等级保护工作协调领导小组办公室出具的《信息系统安全等级保护备案证明》。</w:t>
      </w:r>
    </w:p>
    <w:p w14:paraId="668C6CD1">
      <w:pPr>
        <w:pStyle w:val="5"/>
        <w:ind w:firstLine="482"/>
        <w:rPr>
          <w:color w:val="000000" w:themeColor="text1"/>
          <w14:textFill>
            <w14:solidFill>
              <w14:schemeClr w14:val="tx1"/>
            </w14:solidFill>
          </w14:textFill>
        </w:rPr>
      </w:pPr>
      <w:r>
        <w:rPr>
          <w:rFonts w:hint="eastAsia"/>
          <w:color w:val="000000" w:themeColor="text1"/>
          <w14:textFill>
            <w14:solidFill>
              <w14:schemeClr w14:val="tx1"/>
            </w14:solidFill>
          </w14:textFill>
        </w:rPr>
        <w:t>二、服务</w:t>
      </w:r>
      <w:r>
        <w:rPr>
          <w:color w:val="000000" w:themeColor="text1"/>
          <w14:textFill>
            <w14:solidFill>
              <w14:schemeClr w14:val="tx1"/>
            </w14:solidFill>
          </w14:textFill>
        </w:rPr>
        <w:t>要求</w:t>
      </w:r>
    </w:p>
    <w:p w14:paraId="3AE21B85">
      <w:pPr>
        <w:tabs>
          <w:tab w:val="left" w:pos="907"/>
        </w:tabs>
        <w:spacing w:line="360" w:lineRule="auto"/>
        <w:ind w:firstLine="420" w:firstLineChars="200"/>
        <w:rPr>
          <w:rFonts w:asciiTheme="minorEastAsia" w:hAnsiTheme="minorEastAsia"/>
          <w:szCs w:val="21"/>
        </w:rPr>
      </w:pPr>
      <w:r>
        <w:rPr>
          <w:rFonts w:hint="eastAsia" w:asciiTheme="minorEastAsia" w:hAnsiTheme="minorEastAsia"/>
          <w:szCs w:val="21"/>
        </w:rPr>
        <w:t>1、服务范围：根据《网络安全法》</w:t>
      </w:r>
      <w:r>
        <w:rPr>
          <w:rFonts w:hint="eastAsia" w:asciiTheme="minorEastAsia" w:hAnsiTheme="minorEastAsia"/>
          <w:szCs w:val="21"/>
          <w:lang w:val="en-US" w:eastAsia="zh-CN"/>
        </w:rPr>
        <w:t>等相关</w:t>
      </w:r>
      <w:r>
        <w:rPr>
          <w:rFonts w:hint="eastAsia" w:asciiTheme="minorEastAsia" w:hAnsiTheme="minorEastAsia"/>
          <w:szCs w:val="21"/>
        </w:rPr>
        <w:t>要求，按照广东省和深圳市公安</w:t>
      </w:r>
      <w:r>
        <w:rPr>
          <w:rFonts w:hint="eastAsia" w:asciiTheme="minorEastAsia" w:hAnsiTheme="minorEastAsia"/>
          <w:szCs w:val="21"/>
          <w:lang w:val="en-US" w:eastAsia="zh-CN"/>
        </w:rPr>
        <w:t>等保办</w:t>
      </w:r>
      <w:r>
        <w:rPr>
          <w:rFonts w:hint="eastAsia" w:asciiTheme="minorEastAsia" w:hAnsiTheme="minorEastAsia"/>
          <w:szCs w:val="21"/>
        </w:rPr>
        <w:t>部门工作部署要求，对本中心正在使用的信息系统落实开展网络安全等级保护测评工作编写等级保护测评报告，按照等级保护国家标准规范要求进行评测，找出存在的差距和不足，提出整改修复意见和建议。对已确定级别的新建信息系统，在定级报告基础上，按照公安</w:t>
      </w:r>
      <w:r>
        <w:rPr>
          <w:rFonts w:hint="eastAsia" w:asciiTheme="minorEastAsia" w:hAnsiTheme="minorEastAsia"/>
          <w:szCs w:val="21"/>
          <w:lang w:val="en-US" w:eastAsia="zh-CN"/>
        </w:rPr>
        <w:t>等保办</w:t>
      </w:r>
      <w:r>
        <w:rPr>
          <w:rFonts w:hint="eastAsia" w:asciiTheme="minorEastAsia" w:hAnsiTheme="minorEastAsia"/>
          <w:szCs w:val="21"/>
        </w:rPr>
        <w:t>部门要求进行定级备案工作，并将相关材料按要求提交上级主管部门及公安</w:t>
      </w:r>
      <w:r>
        <w:rPr>
          <w:rFonts w:hint="eastAsia" w:asciiTheme="minorEastAsia" w:hAnsiTheme="minorEastAsia"/>
          <w:szCs w:val="21"/>
          <w:lang w:val="en-US" w:eastAsia="zh-CN"/>
        </w:rPr>
        <w:t>等保办</w:t>
      </w:r>
      <w:r>
        <w:rPr>
          <w:rFonts w:hint="eastAsia" w:asciiTheme="minorEastAsia" w:hAnsiTheme="minorEastAsia"/>
          <w:szCs w:val="21"/>
        </w:rPr>
        <w:t>部门，完成定级备案工作。协助采购单位办取由深圳市信息安全等级保护工作协调领导小组办公室出具的《</w:t>
      </w:r>
      <w:r>
        <w:rPr>
          <w:rFonts w:hint="eastAsia" w:asciiTheme="minorEastAsia" w:hAnsiTheme="minorEastAsia"/>
          <w:szCs w:val="21"/>
          <w:lang w:val="en-US" w:eastAsia="zh-CN"/>
        </w:rPr>
        <w:t>网络</w:t>
      </w:r>
      <w:r>
        <w:rPr>
          <w:rFonts w:hint="eastAsia" w:asciiTheme="minorEastAsia" w:hAnsiTheme="minorEastAsia"/>
          <w:szCs w:val="21"/>
        </w:rPr>
        <w:t>安全等级保护备案证明》。</w:t>
      </w:r>
    </w:p>
    <w:p w14:paraId="7A78AAAA">
      <w:pPr>
        <w:tabs>
          <w:tab w:val="left" w:pos="907"/>
        </w:tabs>
        <w:spacing w:line="360" w:lineRule="auto"/>
        <w:ind w:firstLine="420" w:firstLineChars="200"/>
        <w:rPr>
          <w:rFonts w:asciiTheme="minorEastAsia" w:hAnsiTheme="minorEastAsia"/>
          <w:szCs w:val="21"/>
        </w:rPr>
      </w:pPr>
      <w:r>
        <w:rPr>
          <w:rFonts w:hint="eastAsia" w:asciiTheme="minorEastAsia" w:hAnsiTheme="minorEastAsia"/>
          <w:szCs w:val="21"/>
        </w:rPr>
        <w:t>说明：以下清单明细为采购单位现有信息系统，在履约服务期间，如采购单位新增其他信息系统需测评，由中标人与采购单位进行商议，以市场标准价签订补充协议。</w:t>
      </w:r>
    </w:p>
    <w:tbl>
      <w:tblPr>
        <w:tblStyle w:val="30"/>
        <w:tblW w:w="8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755"/>
        <w:gridCol w:w="745"/>
        <w:gridCol w:w="1744"/>
      </w:tblGrid>
      <w:tr w14:paraId="4381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1C349D8">
            <w:pPr>
              <w:spacing w:line="360" w:lineRule="auto"/>
              <w:jc w:val="center"/>
              <w:rPr>
                <w:b/>
                <w:szCs w:val="21"/>
              </w:rPr>
            </w:pPr>
            <w:r>
              <w:rPr>
                <w:rFonts w:hint="eastAsia"/>
                <w:b/>
                <w:szCs w:val="21"/>
              </w:rPr>
              <w:t>序号</w:t>
            </w:r>
          </w:p>
        </w:tc>
        <w:tc>
          <w:tcPr>
            <w:tcW w:w="5755" w:type="dxa"/>
            <w:vAlign w:val="center"/>
          </w:tcPr>
          <w:p w14:paraId="21757A43">
            <w:pPr>
              <w:spacing w:line="360" w:lineRule="auto"/>
              <w:jc w:val="center"/>
              <w:rPr>
                <w:b/>
                <w:szCs w:val="21"/>
              </w:rPr>
            </w:pPr>
            <w:r>
              <w:rPr>
                <w:rFonts w:hint="eastAsia"/>
                <w:b/>
                <w:szCs w:val="21"/>
              </w:rPr>
              <w:t>系统名称</w:t>
            </w:r>
          </w:p>
        </w:tc>
        <w:tc>
          <w:tcPr>
            <w:tcW w:w="745" w:type="dxa"/>
            <w:shd w:val="clear" w:color="auto" w:fill="auto"/>
            <w:vAlign w:val="center"/>
          </w:tcPr>
          <w:p w14:paraId="2A773B99">
            <w:pPr>
              <w:spacing w:line="360" w:lineRule="auto"/>
              <w:jc w:val="center"/>
              <w:rPr>
                <w:rFonts w:hint="eastAsia" w:asciiTheme="minorHAnsi" w:hAnsiTheme="minorHAnsi" w:eastAsiaTheme="minorEastAsia" w:cstheme="minorBidi"/>
                <w:b/>
                <w:kern w:val="2"/>
                <w:sz w:val="21"/>
                <w:szCs w:val="21"/>
                <w:lang w:val="en-US" w:eastAsia="zh-CN" w:bidi="ar-SA"/>
              </w:rPr>
            </w:pPr>
            <w:r>
              <w:rPr>
                <w:rFonts w:hint="eastAsia"/>
                <w:b/>
                <w:szCs w:val="21"/>
              </w:rPr>
              <w:t>等级</w:t>
            </w:r>
          </w:p>
        </w:tc>
        <w:tc>
          <w:tcPr>
            <w:tcW w:w="1744" w:type="dxa"/>
            <w:vAlign w:val="center"/>
          </w:tcPr>
          <w:p w14:paraId="3EC9CABA">
            <w:pPr>
              <w:spacing w:line="360" w:lineRule="auto"/>
              <w:jc w:val="center"/>
              <w:rPr>
                <w:rFonts w:hint="default" w:eastAsiaTheme="minorEastAsia"/>
                <w:b/>
                <w:szCs w:val="21"/>
                <w:lang w:val="en-US" w:eastAsia="zh-CN"/>
              </w:rPr>
            </w:pPr>
            <w:r>
              <w:rPr>
                <w:rFonts w:hint="eastAsia"/>
                <w:b/>
                <w:szCs w:val="21"/>
                <w:lang w:val="en-US" w:eastAsia="zh-CN"/>
              </w:rPr>
              <w:t>是否已定级备案</w:t>
            </w:r>
          </w:p>
        </w:tc>
      </w:tr>
      <w:tr w14:paraId="2835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684817C8">
            <w:pPr>
              <w:spacing w:line="360" w:lineRule="auto"/>
              <w:jc w:val="center"/>
              <w:rPr>
                <w:szCs w:val="21"/>
              </w:rPr>
            </w:pPr>
            <w:r>
              <w:rPr>
                <w:rFonts w:hint="eastAsia"/>
                <w:szCs w:val="21"/>
              </w:rPr>
              <w:t>1</w:t>
            </w:r>
          </w:p>
        </w:tc>
        <w:tc>
          <w:tcPr>
            <w:tcW w:w="5755" w:type="dxa"/>
            <w:vAlign w:val="center"/>
          </w:tcPr>
          <w:p w14:paraId="209C1047">
            <w:pPr>
              <w:spacing w:line="360" w:lineRule="auto"/>
              <w:jc w:val="center"/>
              <w:rPr>
                <w:szCs w:val="21"/>
              </w:rPr>
            </w:pPr>
            <w:r>
              <w:rPr>
                <w:rFonts w:hint="eastAsia"/>
                <w:szCs w:val="21"/>
              </w:rPr>
              <w:t>在线培训管理系统</w:t>
            </w:r>
          </w:p>
        </w:tc>
        <w:tc>
          <w:tcPr>
            <w:tcW w:w="745" w:type="dxa"/>
            <w:shd w:val="clear" w:color="auto" w:fill="auto"/>
            <w:vAlign w:val="center"/>
          </w:tcPr>
          <w:p w14:paraId="3D332544">
            <w:pPr>
              <w:spacing w:line="360" w:lineRule="auto"/>
              <w:jc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Cs w:val="21"/>
              </w:rPr>
              <w:t>二级</w:t>
            </w:r>
          </w:p>
        </w:tc>
        <w:tc>
          <w:tcPr>
            <w:tcW w:w="1744" w:type="dxa"/>
            <w:vAlign w:val="center"/>
          </w:tcPr>
          <w:p w14:paraId="4F9EC819">
            <w:pPr>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否</w:t>
            </w:r>
          </w:p>
        </w:tc>
      </w:tr>
      <w:tr w14:paraId="755C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22265F7C">
            <w:pPr>
              <w:spacing w:line="360" w:lineRule="auto"/>
              <w:jc w:val="center"/>
              <w:rPr>
                <w:szCs w:val="21"/>
              </w:rPr>
            </w:pPr>
            <w:r>
              <w:rPr>
                <w:rFonts w:hint="eastAsia"/>
                <w:szCs w:val="21"/>
              </w:rPr>
              <w:t>2</w:t>
            </w:r>
          </w:p>
        </w:tc>
        <w:tc>
          <w:tcPr>
            <w:tcW w:w="5755" w:type="dxa"/>
            <w:vAlign w:val="center"/>
          </w:tcPr>
          <w:p w14:paraId="5489A29D">
            <w:pPr>
              <w:spacing w:line="360" w:lineRule="auto"/>
              <w:jc w:val="center"/>
              <w:rPr>
                <w:szCs w:val="21"/>
              </w:rPr>
            </w:pPr>
            <w:r>
              <w:rPr>
                <w:rFonts w:hint="eastAsia"/>
                <w:szCs w:val="21"/>
              </w:rPr>
              <w:t>疫苗信息安全管理平台</w:t>
            </w:r>
          </w:p>
        </w:tc>
        <w:tc>
          <w:tcPr>
            <w:tcW w:w="745" w:type="dxa"/>
            <w:shd w:val="clear" w:color="auto" w:fill="auto"/>
            <w:vAlign w:val="center"/>
          </w:tcPr>
          <w:p w14:paraId="0170E72C">
            <w:pPr>
              <w:spacing w:line="360" w:lineRule="auto"/>
              <w:jc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Cs w:val="21"/>
              </w:rPr>
              <w:t>二级</w:t>
            </w:r>
          </w:p>
        </w:tc>
        <w:tc>
          <w:tcPr>
            <w:tcW w:w="1744" w:type="dxa"/>
            <w:vAlign w:val="center"/>
          </w:tcPr>
          <w:p w14:paraId="10E4F910">
            <w:pPr>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是</w:t>
            </w:r>
          </w:p>
        </w:tc>
      </w:tr>
      <w:tr w14:paraId="53E5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E9CD7D5">
            <w:pPr>
              <w:spacing w:line="360" w:lineRule="auto"/>
              <w:jc w:val="center"/>
              <w:rPr>
                <w:rFonts w:hint="eastAsia" w:eastAsiaTheme="minorEastAsia"/>
                <w:szCs w:val="21"/>
                <w:lang w:eastAsia="zh-CN"/>
              </w:rPr>
            </w:pPr>
            <w:r>
              <w:rPr>
                <w:rFonts w:hint="eastAsia"/>
                <w:szCs w:val="21"/>
                <w:lang w:val="en-US" w:eastAsia="zh-CN"/>
              </w:rPr>
              <w:t>3</w:t>
            </w:r>
          </w:p>
        </w:tc>
        <w:tc>
          <w:tcPr>
            <w:tcW w:w="5755" w:type="dxa"/>
            <w:vAlign w:val="center"/>
          </w:tcPr>
          <w:p w14:paraId="74CE3B72">
            <w:pPr>
              <w:spacing w:line="360" w:lineRule="auto"/>
              <w:jc w:val="center"/>
              <w:rPr>
                <w:szCs w:val="21"/>
              </w:rPr>
            </w:pPr>
            <w:r>
              <w:rPr>
                <w:rFonts w:hint="eastAsia"/>
                <w:szCs w:val="21"/>
              </w:rPr>
              <w:t>职业病防治云服务平台</w:t>
            </w:r>
          </w:p>
        </w:tc>
        <w:tc>
          <w:tcPr>
            <w:tcW w:w="745" w:type="dxa"/>
            <w:shd w:val="clear" w:color="auto" w:fill="auto"/>
            <w:vAlign w:val="center"/>
          </w:tcPr>
          <w:p w14:paraId="35BA5C7E">
            <w:pPr>
              <w:spacing w:line="360" w:lineRule="auto"/>
              <w:jc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Cs w:val="21"/>
              </w:rPr>
              <w:t>二级</w:t>
            </w:r>
          </w:p>
        </w:tc>
        <w:tc>
          <w:tcPr>
            <w:tcW w:w="1744" w:type="dxa"/>
            <w:vAlign w:val="center"/>
          </w:tcPr>
          <w:p w14:paraId="518B8D25">
            <w:pPr>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是</w:t>
            </w:r>
          </w:p>
        </w:tc>
      </w:tr>
      <w:tr w14:paraId="6F01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9" w:type="dxa"/>
            <w:vAlign w:val="center"/>
          </w:tcPr>
          <w:p w14:paraId="3228BFFD">
            <w:pPr>
              <w:spacing w:line="360" w:lineRule="auto"/>
              <w:jc w:val="center"/>
              <w:rPr>
                <w:rFonts w:hint="eastAsia" w:eastAsiaTheme="minorEastAsia"/>
                <w:szCs w:val="21"/>
                <w:lang w:eastAsia="zh-CN"/>
              </w:rPr>
            </w:pPr>
            <w:r>
              <w:rPr>
                <w:rFonts w:hint="eastAsia"/>
                <w:szCs w:val="21"/>
                <w:lang w:val="en-US" w:eastAsia="zh-CN"/>
              </w:rPr>
              <w:t>4</w:t>
            </w:r>
          </w:p>
        </w:tc>
        <w:tc>
          <w:tcPr>
            <w:tcW w:w="5755" w:type="dxa"/>
            <w:vAlign w:val="center"/>
          </w:tcPr>
          <w:p w14:paraId="3A0773B9">
            <w:pPr>
              <w:spacing w:line="360" w:lineRule="auto"/>
              <w:jc w:val="center"/>
              <w:rPr>
                <w:szCs w:val="21"/>
              </w:rPr>
            </w:pPr>
            <w:r>
              <w:rPr>
                <w:rFonts w:hint="eastAsia"/>
                <w:szCs w:val="21"/>
              </w:rPr>
              <w:t>宝安区智慧健康一体化公卫系统</w:t>
            </w:r>
          </w:p>
        </w:tc>
        <w:tc>
          <w:tcPr>
            <w:tcW w:w="745" w:type="dxa"/>
            <w:shd w:val="clear" w:color="auto" w:fill="auto"/>
            <w:vAlign w:val="center"/>
          </w:tcPr>
          <w:p w14:paraId="58C2BF67">
            <w:pPr>
              <w:spacing w:line="360" w:lineRule="auto"/>
              <w:jc w:val="center"/>
              <w:rPr>
                <w:rFonts w:hint="eastAsia" w:asciiTheme="minorHAnsi" w:hAnsiTheme="minorHAnsi" w:eastAsiaTheme="minorEastAsia" w:cstheme="minorBidi"/>
                <w:kern w:val="2"/>
                <w:sz w:val="21"/>
                <w:szCs w:val="21"/>
                <w:lang w:val="en-US" w:eastAsia="zh-CN" w:bidi="ar-SA"/>
              </w:rPr>
            </w:pPr>
            <w:r>
              <w:rPr>
                <w:rFonts w:hint="eastAsia" w:ascii="宋体" w:hAnsi="宋体" w:eastAsia="宋体" w:cs="宋体"/>
                <w:szCs w:val="21"/>
                <w:lang w:val="en-US" w:eastAsia="zh-CN"/>
              </w:rPr>
              <w:t>三</w:t>
            </w:r>
            <w:r>
              <w:rPr>
                <w:rFonts w:hint="eastAsia" w:ascii="宋体" w:hAnsi="宋体" w:eastAsia="宋体" w:cs="宋体"/>
                <w:szCs w:val="21"/>
              </w:rPr>
              <w:t>级</w:t>
            </w:r>
          </w:p>
        </w:tc>
        <w:tc>
          <w:tcPr>
            <w:tcW w:w="1744" w:type="dxa"/>
            <w:vAlign w:val="center"/>
          </w:tcPr>
          <w:p w14:paraId="23CC7045">
            <w:pPr>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否</w:t>
            </w:r>
          </w:p>
        </w:tc>
      </w:tr>
    </w:tbl>
    <w:p w14:paraId="7FBEE44B">
      <w:pPr>
        <w:pStyle w:val="6"/>
        <w:spacing w:line="360" w:lineRule="auto"/>
      </w:pPr>
      <w:r>
        <w:rPr>
          <w:rFonts w:hint="eastAsia"/>
        </w:rPr>
        <w:t>★</w:t>
      </w:r>
      <w:r>
        <w:t>2</w:t>
      </w:r>
      <w:r>
        <w:rPr>
          <w:rFonts w:hint="eastAsia"/>
        </w:rPr>
        <w:t>、报价要求：按照《深圳市电子政务项目运行维护经费指导意见》根据单个信息系统分别进行报价，单价汇总的总价仅做评分标准参考，本次采购报价币种为人民币，单位为元。</w:t>
      </w:r>
    </w:p>
    <w:p w14:paraId="28FBBC34">
      <w:pPr>
        <w:pStyle w:val="6"/>
        <w:spacing w:line="360" w:lineRule="auto"/>
      </w:pPr>
      <w:r>
        <w:t>3</w:t>
      </w:r>
      <w:r>
        <w:rPr>
          <w:rFonts w:hint="eastAsia"/>
        </w:rPr>
        <w:t>、服务期限：本项目合同期一年，本次项目合同期满后，采购单位可依据对中标供应商的考核情况以及《深圳经济特区政府采购条例》第三十八条的规定续签合同,长期服务政府采购合同履行期限最长不得超过三十六个月,特殊情况需要延长的,经主管部门批准可以适当延长,但是延长期限最长不得超过六个月。投标人在接到采购单位委托后开始进行单项测评工作，测评需在1</w:t>
      </w:r>
      <w:r>
        <w:rPr>
          <w:rFonts w:hint="eastAsia"/>
          <w:lang w:val="en-US" w:eastAsia="zh-CN"/>
        </w:rPr>
        <w:t>20</w:t>
      </w:r>
      <w:r>
        <w:rPr>
          <w:rFonts w:hint="eastAsia"/>
        </w:rPr>
        <w:t>个日历日完成（具体时间以采购单位实际需求为准）。</w:t>
      </w:r>
    </w:p>
    <w:p w14:paraId="5804A226">
      <w:pPr>
        <w:pStyle w:val="6"/>
        <w:spacing w:line="360" w:lineRule="auto"/>
      </w:pPr>
      <w:r>
        <w:rPr>
          <w:rFonts w:hint="eastAsia"/>
        </w:rPr>
        <w:t>4、服务地点：行政区域为深圳市的采购单位指定地点。</w:t>
      </w:r>
    </w:p>
    <w:p w14:paraId="1E76957A">
      <w:pPr>
        <w:pStyle w:val="6"/>
        <w:spacing w:line="360" w:lineRule="auto"/>
      </w:pPr>
      <w:r>
        <w:t>5</w:t>
      </w:r>
      <w:r>
        <w:rPr>
          <w:rFonts w:hint="eastAsia"/>
        </w:rPr>
        <w:t>、服务内容、技术标准、工作质量要求：依据《信息安全等级保护管理办法》（公通字〔2007〕43号）、《信息技术 网络安全等级保护测评要求》、《信息系统安全等级保护测评过程指南》和《信息技术 网络安全等级保护基本要求》（GB/T22239-2019）标准，对单位的信息系统进行测评工作。</w:t>
      </w:r>
    </w:p>
    <w:p w14:paraId="6EDD03A6">
      <w:pPr>
        <w:pStyle w:val="6"/>
        <w:spacing w:line="360" w:lineRule="auto"/>
      </w:pPr>
      <w:r>
        <w:rPr>
          <w:rFonts w:hint="eastAsia"/>
        </w:rPr>
        <w:t>（1）等级测评内容包括安全技术和安全管理两大类，其中技术层面应包括安全物理环境、安全通信网络、安全区域边界、安全计算环境、安全管理中心等方面的测评，管理层面应包括安全管理制度、安全管理机构、安全管理人员、安全建设管理、安全运维管理等方面的测评。</w:t>
      </w:r>
    </w:p>
    <w:p w14:paraId="7A883551">
      <w:pPr>
        <w:pStyle w:val="6"/>
        <w:spacing w:line="360" w:lineRule="auto"/>
        <w:ind w:firstLine="422"/>
        <w:rPr>
          <w:b/>
          <w:bCs/>
        </w:rPr>
      </w:pPr>
      <w:r>
        <w:rPr>
          <w:rFonts w:hint="eastAsia"/>
          <w:b/>
          <w:bCs/>
        </w:rPr>
        <w:t>测评工作内容包括：</w:t>
      </w:r>
    </w:p>
    <w:p w14:paraId="6B906EDD">
      <w:pPr>
        <w:spacing w:after="60" w:line="540" w:lineRule="exact"/>
        <w:ind w:firstLine="420" w:firstLineChars="200"/>
        <w:rPr>
          <w:rFonts w:ascii="宋体" w:hAnsi="宋体"/>
          <w:szCs w:val="21"/>
        </w:rPr>
      </w:pPr>
      <w:r>
        <w:rPr>
          <w:rFonts w:hint="eastAsia" w:ascii="宋体" w:hAnsi="宋体"/>
          <w:szCs w:val="21"/>
        </w:rPr>
        <w:t>测评工作内容包括：</w:t>
      </w:r>
    </w:p>
    <w:p w14:paraId="40C6275C">
      <w:pPr>
        <w:numPr>
          <w:ilvl w:val="0"/>
          <w:numId w:val="1"/>
        </w:numPr>
        <w:spacing w:after="60" w:line="540" w:lineRule="exact"/>
        <w:rPr>
          <w:rFonts w:ascii="宋体" w:hAnsi="宋体"/>
          <w:szCs w:val="21"/>
        </w:rPr>
      </w:pPr>
      <w:r>
        <w:rPr>
          <w:rFonts w:hint="eastAsia" w:ascii="宋体" w:hAnsi="宋体"/>
          <w:szCs w:val="21"/>
        </w:rPr>
        <w:t>安全物理环境测评分析；</w:t>
      </w:r>
    </w:p>
    <w:p w14:paraId="0FB4CCE6">
      <w:pPr>
        <w:numPr>
          <w:ilvl w:val="0"/>
          <w:numId w:val="1"/>
        </w:numPr>
        <w:spacing w:after="60" w:line="540" w:lineRule="exact"/>
        <w:rPr>
          <w:rFonts w:ascii="宋体" w:hAnsi="宋体"/>
          <w:szCs w:val="21"/>
        </w:rPr>
      </w:pPr>
      <w:r>
        <w:rPr>
          <w:rFonts w:hint="eastAsia" w:ascii="宋体" w:hAnsi="宋体"/>
          <w:szCs w:val="21"/>
        </w:rPr>
        <w:t>安全通信网络测评分析；</w:t>
      </w:r>
    </w:p>
    <w:p w14:paraId="6C96D108">
      <w:pPr>
        <w:numPr>
          <w:ilvl w:val="0"/>
          <w:numId w:val="1"/>
        </w:numPr>
        <w:spacing w:after="60" w:line="540" w:lineRule="exact"/>
        <w:rPr>
          <w:rFonts w:ascii="宋体" w:hAnsi="宋体"/>
          <w:szCs w:val="21"/>
        </w:rPr>
      </w:pPr>
      <w:r>
        <w:rPr>
          <w:rFonts w:hint="eastAsia" w:ascii="宋体" w:hAnsi="宋体"/>
          <w:szCs w:val="21"/>
        </w:rPr>
        <w:t>安全区域边界测评分析；</w:t>
      </w:r>
    </w:p>
    <w:p w14:paraId="2B2C27F6">
      <w:pPr>
        <w:numPr>
          <w:ilvl w:val="0"/>
          <w:numId w:val="1"/>
        </w:numPr>
        <w:spacing w:after="60" w:line="540" w:lineRule="exact"/>
        <w:rPr>
          <w:rFonts w:ascii="宋体" w:hAnsi="宋体"/>
          <w:szCs w:val="21"/>
        </w:rPr>
      </w:pPr>
      <w:r>
        <w:rPr>
          <w:rFonts w:hint="eastAsia" w:ascii="宋体" w:hAnsi="宋体"/>
          <w:szCs w:val="21"/>
        </w:rPr>
        <w:t>安全计算环境测评分析；</w:t>
      </w:r>
    </w:p>
    <w:p w14:paraId="7E72933C">
      <w:pPr>
        <w:numPr>
          <w:ilvl w:val="0"/>
          <w:numId w:val="1"/>
        </w:numPr>
        <w:spacing w:after="60" w:line="540" w:lineRule="exact"/>
        <w:rPr>
          <w:rFonts w:ascii="宋体" w:hAnsi="宋体"/>
          <w:szCs w:val="21"/>
        </w:rPr>
      </w:pPr>
      <w:r>
        <w:rPr>
          <w:rFonts w:hint="eastAsia" w:ascii="宋体" w:hAnsi="宋体"/>
          <w:szCs w:val="21"/>
        </w:rPr>
        <w:t>安全管理中心测评分析；</w:t>
      </w:r>
    </w:p>
    <w:p w14:paraId="305026CA">
      <w:pPr>
        <w:numPr>
          <w:ilvl w:val="0"/>
          <w:numId w:val="1"/>
        </w:numPr>
        <w:spacing w:after="60" w:line="540" w:lineRule="exact"/>
        <w:rPr>
          <w:rFonts w:ascii="宋体" w:hAnsi="宋体"/>
          <w:szCs w:val="21"/>
        </w:rPr>
      </w:pPr>
      <w:r>
        <w:rPr>
          <w:rFonts w:hint="eastAsia" w:ascii="宋体" w:hAnsi="宋体"/>
          <w:szCs w:val="21"/>
        </w:rPr>
        <w:t>安全管理制度测评分析；</w:t>
      </w:r>
    </w:p>
    <w:p w14:paraId="6DE445AC">
      <w:pPr>
        <w:numPr>
          <w:ilvl w:val="0"/>
          <w:numId w:val="1"/>
        </w:numPr>
        <w:spacing w:after="60" w:line="540" w:lineRule="exact"/>
        <w:rPr>
          <w:rFonts w:ascii="宋体" w:hAnsi="宋体"/>
          <w:szCs w:val="21"/>
        </w:rPr>
      </w:pPr>
      <w:r>
        <w:rPr>
          <w:rFonts w:hint="eastAsia" w:ascii="宋体" w:hAnsi="宋体"/>
          <w:szCs w:val="21"/>
        </w:rPr>
        <w:t>安全管理机构测评分析；</w:t>
      </w:r>
    </w:p>
    <w:p w14:paraId="17F6BAB5">
      <w:pPr>
        <w:numPr>
          <w:ilvl w:val="0"/>
          <w:numId w:val="1"/>
        </w:numPr>
        <w:spacing w:after="60" w:line="540" w:lineRule="exact"/>
        <w:rPr>
          <w:rFonts w:ascii="宋体" w:hAnsi="宋体"/>
          <w:szCs w:val="21"/>
        </w:rPr>
      </w:pPr>
      <w:r>
        <w:rPr>
          <w:rFonts w:hint="eastAsia" w:ascii="宋体" w:hAnsi="宋体"/>
          <w:szCs w:val="21"/>
        </w:rPr>
        <w:t>安全管理人员测评分析；</w:t>
      </w:r>
    </w:p>
    <w:p w14:paraId="0381D204">
      <w:pPr>
        <w:numPr>
          <w:ilvl w:val="0"/>
          <w:numId w:val="1"/>
        </w:numPr>
        <w:spacing w:after="60" w:line="540" w:lineRule="exact"/>
        <w:rPr>
          <w:rFonts w:ascii="宋体" w:hAnsi="宋体"/>
          <w:szCs w:val="21"/>
        </w:rPr>
      </w:pPr>
      <w:r>
        <w:rPr>
          <w:rFonts w:hint="eastAsia" w:ascii="宋体" w:hAnsi="宋体"/>
          <w:szCs w:val="21"/>
        </w:rPr>
        <w:t>安全建设管理测评分析；</w:t>
      </w:r>
    </w:p>
    <w:p w14:paraId="36F487A3">
      <w:pPr>
        <w:numPr>
          <w:ilvl w:val="0"/>
          <w:numId w:val="1"/>
        </w:numPr>
        <w:spacing w:after="60" w:line="540" w:lineRule="exact"/>
        <w:rPr>
          <w:rFonts w:ascii="宋体" w:hAnsi="宋体"/>
          <w:szCs w:val="21"/>
        </w:rPr>
      </w:pPr>
      <w:r>
        <w:rPr>
          <w:rFonts w:hint="eastAsia" w:ascii="宋体" w:hAnsi="宋体"/>
          <w:szCs w:val="21"/>
        </w:rPr>
        <w:t>安全运维管理测评分析；</w:t>
      </w:r>
    </w:p>
    <w:p w14:paraId="0FD2135A">
      <w:pPr>
        <w:numPr>
          <w:ilvl w:val="0"/>
          <w:numId w:val="1"/>
        </w:numPr>
        <w:spacing w:after="60" w:line="540" w:lineRule="exact"/>
        <w:rPr>
          <w:rFonts w:ascii="宋体" w:hAnsi="宋体"/>
          <w:szCs w:val="21"/>
        </w:rPr>
      </w:pPr>
      <w:r>
        <w:rPr>
          <w:rFonts w:hint="eastAsia" w:ascii="宋体" w:hAnsi="宋体"/>
          <w:szCs w:val="21"/>
        </w:rPr>
        <w:t>信息系统等级保护要求差距分析；</w:t>
      </w:r>
    </w:p>
    <w:p w14:paraId="514120BE">
      <w:pPr>
        <w:numPr>
          <w:ilvl w:val="0"/>
          <w:numId w:val="1"/>
        </w:numPr>
        <w:spacing w:after="60" w:line="540" w:lineRule="exact"/>
        <w:rPr>
          <w:rFonts w:ascii="宋体" w:hAnsi="宋体"/>
          <w:szCs w:val="21"/>
        </w:rPr>
      </w:pPr>
      <w:r>
        <w:rPr>
          <w:rFonts w:hint="eastAsia" w:ascii="宋体" w:hAnsi="宋体"/>
          <w:szCs w:val="21"/>
        </w:rPr>
        <w:t>信息系统整改建议评估分析；</w:t>
      </w:r>
    </w:p>
    <w:p w14:paraId="7670B04B">
      <w:pPr>
        <w:numPr>
          <w:ilvl w:val="0"/>
          <w:numId w:val="1"/>
        </w:numPr>
        <w:spacing w:after="60" w:line="540" w:lineRule="exact"/>
        <w:rPr>
          <w:rFonts w:ascii="宋体" w:hAnsi="宋体"/>
          <w:szCs w:val="21"/>
        </w:rPr>
      </w:pPr>
      <w:r>
        <w:rPr>
          <w:rFonts w:hint="eastAsia" w:ascii="宋体" w:hAnsi="宋体"/>
          <w:szCs w:val="21"/>
        </w:rPr>
        <w:t>网络安全等级保护测评报告编制。</w:t>
      </w:r>
    </w:p>
    <w:p w14:paraId="21A92ECC">
      <w:pPr>
        <w:pStyle w:val="6"/>
        <w:spacing w:line="360" w:lineRule="auto"/>
        <w:ind w:firstLine="422"/>
      </w:pPr>
      <w:r>
        <w:rPr>
          <w:rFonts w:hint="eastAsia"/>
          <w:b/>
          <w:bCs/>
        </w:rPr>
        <w:t>服务交付物：</w:t>
      </w:r>
      <w:r>
        <w:rPr>
          <w:rFonts w:hint="eastAsia"/>
        </w:rPr>
        <w:t>由</w:t>
      </w:r>
      <w:r>
        <w:rPr>
          <w:rFonts w:hint="eastAsia"/>
          <w:lang w:val="en-US" w:eastAsia="zh-CN"/>
        </w:rPr>
        <w:t>公安部</w:t>
      </w:r>
      <w:r>
        <w:rPr>
          <w:rFonts w:hint="eastAsia"/>
        </w:rPr>
        <w:t>颁发相关资质证书的第三方等级保护测评机构出具的《网络安全等级保护测评报告》。</w:t>
      </w:r>
    </w:p>
    <w:p w14:paraId="2F18082A">
      <w:pPr>
        <w:pStyle w:val="6"/>
        <w:spacing w:line="360" w:lineRule="auto"/>
      </w:pPr>
      <w:r>
        <w:rPr>
          <w:rFonts w:hint="eastAsia"/>
        </w:rPr>
        <w:t>（2）信息系统等级保护整改方案设计</w:t>
      </w:r>
    </w:p>
    <w:p w14:paraId="32BDEE87">
      <w:pPr>
        <w:pStyle w:val="6"/>
        <w:spacing w:line="360" w:lineRule="auto"/>
      </w:pPr>
      <w:r>
        <w:rPr>
          <w:rFonts w:hint="eastAsia"/>
        </w:rPr>
        <w:t>如果测评报告结论为“</w:t>
      </w:r>
      <w:r>
        <w:rPr>
          <w:rFonts w:hint="eastAsia"/>
          <w:lang w:val="en-US" w:eastAsia="zh-CN"/>
        </w:rPr>
        <w:t>不符合</w:t>
      </w:r>
      <w:r>
        <w:rPr>
          <w:rFonts w:hint="eastAsia"/>
        </w:rPr>
        <w:t>”，则需要依据《信息安全技术 网络安全等级保护基本要求》GB/T22239-2019和《信息安全技术 网络安全等级保护技术设计要求》GB/T25070-2019，针对等级测评报告中的现状问题，按照“一个中心三重防护”技术体系架构，基于可信计算技术和主动防御体系，为单位网络环境进行网络安全保障体系整体方案设计。由于信息系统运行在整个网络环境中，因此等级保护整改方案应分别从计算环境、区域边界、通信网络和管理中心等方面进行安全技术和安全管理的体系设计与整改建议。</w:t>
      </w:r>
    </w:p>
    <w:p w14:paraId="3403549B">
      <w:pPr>
        <w:pStyle w:val="6"/>
        <w:spacing w:line="360" w:lineRule="auto"/>
      </w:pPr>
      <w:r>
        <w:rPr>
          <w:rFonts w:hint="eastAsia"/>
        </w:rPr>
        <w:t>方案设计工作内容包括：</w:t>
      </w:r>
    </w:p>
    <w:p w14:paraId="7138D995">
      <w:pPr>
        <w:numPr>
          <w:ilvl w:val="0"/>
          <w:numId w:val="1"/>
        </w:numPr>
        <w:spacing w:after="60" w:line="540" w:lineRule="exact"/>
        <w:rPr>
          <w:rFonts w:ascii="宋体" w:hAnsi="宋体"/>
          <w:szCs w:val="21"/>
        </w:rPr>
      </w:pPr>
      <w:r>
        <w:rPr>
          <w:rFonts w:hint="eastAsia" w:ascii="宋体" w:hAnsi="宋体"/>
          <w:szCs w:val="21"/>
        </w:rPr>
        <w:t>网络信息安全现状分析；</w:t>
      </w:r>
    </w:p>
    <w:p w14:paraId="719E3C36">
      <w:pPr>
        <w:numPr>
          <w:ilvl w:val="0"/>
          <w:numId w:val="1"/>
        </w:numPr>
        <w:spacing w:after="60" w:line="540" w:lineRule="exact"/>
        <w:rPr>
          <w:rFonts w:ascii="宋体" w:hAnsi="宋体"/>
          <w:szCs w:val="21"/>
        </w:rPr>
      </w:pPr>
      <w:r>
        <w:rPr>
          <w:rFonts w:hint="eastAsia" w:ascii="宋体" w:hAnsi="宋体"/>
          <w:szCs w:val="21"/>
        </w:rPr>
        <w:t>与信息安全国家标准对照性分析；</w:t>
      </w:r>
    </w:p>
    <w:p w14:paraId="0DB404B6">
      <w:pPr>
        <w:numPr>
          <w:ilvl w:val="0"/>
          <w:numId w:val="1"/>
        </w:numPr>
        <w:spacing w:after="60" w:line="540" w:lineRule="exact"/>
        <w:rPr>
          <w:rFonts w:ascii="宋体" w:hAnsi="宋体"/>
          <w:szCs w:val="21"/>
        </w:rPr>
      </w:pPr>
      <w:r>
        <w:rPr>
          <w:rFonts w:hint="eastAsia" w:ascii="宋体" w:hAnsi="宋体"/>
          <w:szCs w:val="21"/>
        </w:rPr>
        <w:t>信息安全技术体系设计；</w:t>
      </w:r>
    </w:p>
    <w:p w14:paraId="61CB78F8">
      <w:pPr>
        <w:numPr>
          <w:ilvl w:val="0"/>
          <w:numId w:val="1"/>
        </w:numPr>
        <w:spacing w:after="60" w:line="540" w:lineRule="exact"/>
        <w:rPr>
          <w:rFonts w:ascii="宋体" w:hAnsi="宋体"/>
          <w:szCs w:val="21"/>
        </w:rPr>
      </w:pPr>
      <w:r>
        <w:rPr>
          <w:rFonts w:hint="eastAsia" w:ascii="宋体" w:hAnsi="宋体"/>
          <w:szCs w:val="21"/>
        </w:rPr>
        <w:t>信息安全管理体系设计；</w:t>
      </w:r>
    </w:p>
    <w:p w14:paraId="57A4C2C9">
      <w:pPr>
        <w:spacing w:after="60" w:line="540" w:lineRule="exact"/>
        <w:ind w:firstLine="422" w:firstLineChars="200"/>
        <w:rPr>
          <w:rFonts w:ascii="宋体" w:hAnsi="宋体"/>
          <w:szCs w:val="21"/>
        </w:rPr>
      </w:pPr>
      <w:r>
        <w:rPr>
          <w:rFonts w:hint="eastAsia" w:ascii="宋体" w:hAnsi="宋体"/>
          <w:b/>
          <w:szCs w:val="21"/>
        </w:rPr>
        <w:t>服务交付物：</w:t>
      </w:r>
      <w:r>
        <w:rPr>
          <w:rFonts w:hint="eastAsia" w:ascii="宋体" w:hAnsi="宋体"/>
          <w:szCs w:val="21"/>
        </w:rPr>
        <w:t>《网络安全等级保护测评报告》（包含网络安全等级保护测评的整改建议）。</w:t>
      </w:r>
    </w:p>
    <w:p w14:paraId="1D496ADF">
      <w:pPr>
        <w:pStyle w:val="6"/>
        <w:spacing w:line="360" w:lineRule="auto"/>
      </w:pPr>
      <w:r>
        <w:t>6</w:t>
      </w:r>
      <w:r>
        <w:rPr>
          <w:rFonts w:hint="eastAsia"/>
        </w:rPr>
        <w:t>、人员要求：为保证项目的顺利进行，需组织一支由具有丰富经验的专业团队来开展此项目，项目组服务人员，分工明确，责任到人，守时守纪、保质保量。</w:t>
      </w:r>
    </w:p>
    <w:p w14:paraId="5F99EB84">
      <w:pPr>
        <w:pStyle w:val="6"/>
        <w:spacing w:line="360" w:lineRule="auto"/>
      </w:pPr>
      <w:r>
        <w:t>7</w:t>
      </w:r>
      <w:r>
        <w:rPr>
          <w:rFonts w:hint="eastAsia"/>
        </w:rPr>
        <w:t>、设备要求：可以达到工作质量要求的仪器。</w:t>
      </w:r>
    </w:p>
    <w:p w14:paraId="54344A44">
      <w:pPr>
        <w:pStyle w:val="6"/>
        <w:spacing w:line="360" w:lineRule="auto"/>
      </w:pPr>
      <w:r>
        <w:t>8</w:t>
      </w:r>
      <w:r>
        <w:rPr>
          <w:rFonts w:hint="eastAsia"/>
        </w:rPr>
        <w:t>、关于验收：中标人提供《网络安全等级保护测评报告》（包含网络安全等级保护测评的整改建议），采购单位组织专项验收并签署验收报告。</w:t>
      </w:r>
    </w:p>
    <w:p w14:paraId="5310823B">
      <w:pPr>
        <w:pStyle w:val="6"/>
        <w:spacing w:line="360" w:lineRule="auto"/>
      </w:pPr>
      <w:r>
        <w:t>9</w:t>
      </w:r>
      <w:r>
        <w:rPr>
          <w:rFonts w:hint="eastAsia"/>
        </w:rPr>
        <w:t>、付款方式：</w:t>
      </w:r>
      <w:r>
        <w:rPr>
          <w:rFonts w:hint="eastAsia"/>
          <w:lang w:val="en-US" w:eastAsia="zh-CN"/>
        </w:rPr>
        <w:t>合同签订后向中标人支付50%首款，</w:t>
      </w:r>
      <w:r>
        <w:rPr>
          <w:rFonts w:hint="eastAsia"/>
        </w:rPr>
        <w:t>中标人在接到委托并按要求</w:t>
      </w:r>
      <w:r>
        <w:rPr>
          <w:rFonts w:hint="eastAsia"/>
          <w:lang w:val="en-US" w:eastAsia="zh-CN"/>
        </w:rPr>
        <w:t>提供报告</w:t>
      </w:r>
      <w:r>
        <w:rPr>
          <w:rFonts w:hint="eastAsia"/>
        </w:rPr>
        <w:t>后，</w:t>
      </w:r>
      <w:r>
        <w:rPr>
          <w:rFonts w:hint="eastAsia"/>
          <w:lang w:val="en-US" w:eastAsia="zh-CN"/>
        </w:rPr>
        <w:t>经</w:t>
      </w:r>
      <w:r>
        <w:rPr>
          <w:rFonts w:hint="eastAsia"/>
        </w:rPr>
        <w:t>采购人</w:t>
      </w:r>
      <w:r>
        <w:rPr>
          <w:rFonts w:hint="eastAsia"/>
          <w:lang w:val="en-US" w:eastAsia="zh-CN"/>
        </w:rPr>
        <w:t>验收合格后</w:t>
      </w:r>
      <w:r>
        <w:rPr>
          <w:rFonts w:hint="eastAsia"/>
        </w:rPr>
        <w:t>，采购单位在收到中标人相应有效发票后15个工作日内支付</w:t>
      </w:r>
      <w:r>
        <w:rPr>
          <w:rFonts w:hint="eastAsia"/>
          <w:lang w:val="en-US" w:eastAsia="zh-CN"/>
        </w:rPr>
        <w:t>50%尾款</w:t>
      </w:r>
      <w:r>
        <w:rPr>
          <w:rFonts w:hint="eastAsia"/>
        </w:rPr>
        <w:t>。</w:t>
      </w:r>
    </w:p>
    <w:p w14:paraId="55976ABC">
      <w:pPr>
        <w:pStyle w:val="6"/>
        <w:spacing w:line="360" w:lineRule="auto"/>
      </w:pPr>
      <w:r>
        <w:t>10</w:t>
      </w:r>
      <w:r>
        <w:rPr>
          <w:rFonts w:hint="eastAsia"/>
        </w:rPr>
        <w:t>、违约要求：</w:t>
      </w:r>
    </w:p>
    <w:p w14:paraId="00FEF598">
      <w:pPr>
        <w:pStyle w:val="6"/>
        <w:spacing w:line="360" w:lineRule="auto"/>
      </w:pPr>
      <w:r>
        <w:rPr>
          <w:rFonts w:hint="eastAsia"/>
        </w:rPr>
        <w:t>（1）如投标人未按照投标文件中承诺的时间交货或提供服务，投标人应承担延期交货和延期服务的违约责任，并按本次测评系统的</w:t>
      </w:r>
      <w:r>
        <w:t>200</w:t>
      </w:r>
      <w:r>
        <w:rPr>
          <w:rFonts w:hint="eastAsia"/>
        </w:rPr>
        <w:t>元</w:t>
      </w:r>
      <w:r>
        <w:t>/</w:t>
      </w:r>
      <w:r>
        <w:rPr>
          <w:rFonts w:hint="eastAsia"/>
        </w:rPr>
        <w:t>天进行赔偿。</w:t>
      </w:r>
    </w:p>
    <w:p w14:paraId="1F13C79E">
      <w:pPr>
        <w:pStyle w:val="6"/>
        <w:spacing w:line="360" w:lineRule="auto"/>
      </w:pPr>
      <w:r>
        <w:rPr>
          <w:rFonts w:hint="eastAsia"/>
        </w:rPr>
        <w:t>（</w:t>
      </w:r>
      <w:r>
        <w:t>2</w:t>
      </w:r>
      <w:r>
        <w:rPr>
          <w:rFonts w:hint="eastAsia"/>
        </w:rPr>
        <w:t>）投标人不能交付服务的，投标人向采购人偿付项目采购金额百分之十的违约金；造成严重后果的，采购单位有权终止合同并根据《深圳经济特区政府采购条例》第五十七条第（二）款规定，由主管部门对中标人进行处罚。</w:t>
      </w:r>
    </w:p>
    <w:p w14:paraId="6D20FD81">
      <w:pPr>
        <w:pStyle w:val="5"/>
        <w:ind w:firstLine="482"/>
      </w:pPr>
      <w:bookmarkStart w:id="7" w:name="_Toc55548486"/>
      <w:bookmarkStart w:id="8" w:name="_Toc56436164"/>
      <w:r>
        <w:rPr>
          <w:rFonts w:hint="eastAsia"/>
        </w:rPr>
        <w:t>三</w:t>
      </w:r>
      <w:r>
        <w:t>、</w:t>
      </w:r>
      <w:r>
        <w:rPr>
          <w:rFonts w:hint="eastAsia"/>
        </w:rPr>
        <w:t>综合评分法评分因素和权重分值</w:t>
      </w:r>
      <w:bookmarkEnd w:id="7"/>
      <w:bookmarkEnd w:id="8"/>
    </w:p>
    <w:p w14:paraId="5274986C">
      <w:pPr>
        <w:pStyle w:val="6"/>
        <w:spacing w:line="360" w:lineRule="auto"/>
      </w:pPr>
      <w:r>
        <w:rPr>
          <w:rFonts w:hint="eastAsia"/>
        </w:rPr>
        <w:t>综合评分法，是指投标文件满足招标文件全部实质性要求，且按照评审因素的量化指标评审得分最高的投标人为中标候选人的评标方法。</w:t>
      </w:r>
    </w:p>
    <w:p w14:paraId="65FF57B0">
      <w:pPr>
        <w:pStyle w:val="6"/>
        <w:spacing w:line="360" w:lineRule="auto"/>
      </w:pPr>
      <w:r>
        <w:rPr>
          <w:rFonts w:hint="eastAsia"/>
        </w:rPr>
        <w:t>价格分计算方法：</w:t>
      </w:r>
    </w:p>
    <w:p w14:paraId="34073D02">
      <w:pPr>
        <w:pStyle w:val="6"/>
        <w:spacing w:line="360" w:lineRule="auto"/>
      </w:pPr>
      <w:r>
        <w:rPr>
          <w:rFonts w:hint="eastAsia"/>
        </w:rPr>
        <w:t>价格分应当采用低价优先法计算，即满足招标文件要求且投标价格最低的投标报价为评标基准价，其价格分为满分。其他投标人的价格分统一按照下列公式计算：</w:t>
      </w:r>
    </w:p>
    <w:p w14:paraId="53B3B27F">
      <w:pPr>
        <w:pStyle w:val="6"/>
        <w:spacing w:line="360" w:lineRule="auto"/>
      </w:pPr>
      <w:r>
        <w:rPr>
          <w:rFonts w:hint="eastAsia"/>
        </w:rPr>
        <w:t>投标报价得分=(评标基准价／投标报价)×100</w:t>
      </w:r>
    </w:p>
    <w:p w14:paraId="6B5AFC09">
      <w:pPr>
        <w:pStyle w:val="6"/>
        <w:spacing w:line="360" w:lineRule="auto"/>
      </w:pPr>
      <w:r>
        <w:rPr>
          <w:rFonts w:hint="eastAsia"/>
        </w:rPr>
        <w:t>评标总得分＝F1×A1＋F2×A2＋……＋Fn×An</w:t>
      </w:r>
    </w:p>
    <w:p w14:paraId="73E3DA3D">
      <w:pPr>
        <w:pStyle w:val="6"/>
        <w:spacing w:line="360" w:lineRule="auto"/>
      </w:pPr>
      <w:r>
        <w:rPr>
          <w:rFonts w:hint="eastAsia"/>
        </w:rPr>
        <w:t>F1、F2……Fn分别为各项评审因素的得分；</w:t>
      </w:r>
    </w:p>
    <w:p w14:paraId="7C291720">
      <w:pPr>
        <w:pStyle w:val="6"/>
        <w:spacing w:line="360" w:lineRule="auto"/>
      </w:pPr>
      <w:r>
        <w:rPr>
          <w:rFonts w:hint="eastAsia"/>
        </w:rPr>
        <w:t>A1、A2、……An分别为各项评审因素所占的权重(A1＋A2＋……＋An＝1)。</w:t>
      </w:r>
    </w:p>
    <w:p w14:paraId="441E073E">
      <w:pPr>
        <w:pStyle w:val="6"/>
        <w:spacing w:line="360" w:lineRule="auto"/>
      </w:pPr>
      <w:r>
        <w:rPr>
          <w:rFonts w:hint="eastAsia"/>
        </w:rPr>
        <w:t>评标过程中，不得去掉报价中的最高报价和最低报价。</w:t>
      </w:r>
    </w:p>
    <w:p w14:paraId="0DC4B920">
      <w:pPr>
        <w:pStyle w:val="6"/>
        <w:spacing w:line="360" w:lineRule="auto"/>
      </w:pPr>
      <w:r>
        <w:rPr>
          <w:rFonts w:hint="eastAsia"/>
        </w:rPr>
        <w:t>此方法适用于货物类、服务类、工程类项目。</w:t>
      </w:r>
    </w:p>
    <w:tbl>
      <w:tblPr>
        <w:tblStyle w:val="15"/>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1533"/>
        <w:gridCol w:w="5361"/>
        <w:gridCol w:w="741"/>
        <w:gridCol w:w="970"/>
      </w:tblGrid>
      <w:tr w14:paraId="75F26A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359" w:type="pct"/>
            <w:tcBorders>
              <w:tl2br w:val="nil"/>
              <w:tr2bl w:val="nil"/>
            </w:tcBorders>
            <w:vAlign w:val="center"/>
          </w:tcPr>
          <w:p w14:paraId="39F6FFB2">
            <w:pPr>
              <w:spacing w:line="276" w:lineRule="auto"/>
              <w:ind w:right="-73" w:rightChars="-35"/>
              <w:jc w:val="center"/>
              <w:rPr>
                <w:rFonts w:hint="eastAsia" w:ascii="宋体" w:hAnsi="宋体" w:eastAsia="宋体" w:cs="宋体"/>
                <w:b/>
                <w:szCs w:val="21"/>
              </w:rPr>
            </w:pPr>
            <w:r>
              <w:rPr>
                <w:rFonts w:hint="eastAsia" w:ascii="宋体" w:hAnsi="宋体" w:eastAsia="宋体" w:cs="宋体"/>
                <w:b/>
                <w:szCs w:val="21"/>
              </w:rPr>
              <w:t>评审部分</w:t>
            </w:r>
          </w:p>
        </w:tc>
        <w:tc>
          <w:tcPr>
            <w:tcW w:w="887" w:type="pct"/>
            <w:tcBorders>
              <w:tl2br w:val="nil"/>
              <w:tr2bl w:val="nil"/>
            </w:tcBorders>
            <w:vAlign w:val="center"/>
          </w:tcPr>
          <w:p w14:paraId="53BC2A2D">
            <w:pPr>
              <w:spacing w:line="276" w:lineRule="auto"/>
              <w:ind w:right="-73" w:rightChars="-35"/>
              <w:jc w:val="center"/>
              <w:rPr>
                <w:rFonts w:hint="eastAsia" w:ascii="宋体" w:hAnsi="宋体" w:eastAsia="宋体" w:cs="宋体"/>
                <w:b/>
                <w:szCs w:val="21"/>
              </w:rPr>
            </w:pPr>
            <w:r>
              <w:rPr>
                <w:rFonts w:hint="eastAsia" w:ascii="宋体" w:hAnsi="宋体" w:eastAsia="宋体" w:cs="宋体"/>
                <w:b/>
                <w:szCs w:val="21"/>
              </w:rPr>
              <w:t>评审因素</w:t>
            </w:r>
          </w:p>
        </w:tc>
        <w:tc>
          <w:tcPr>
            <w:tcW w:w="2718" w:type="pct"/>
            <w:tcBorders>
              <w:tl2br w:val="nil"/>
              <w:tr2bl w:val="nil"/>
            </w:tcBorders>
            <w:vAlign w:val="center"/>
          </w:tcPr>
          <w:p w14:paraId="74AAEA5E">
            <w:pPr>
              <w:spacing w:line="276" w:lineRule="auto"/>
              <w:ind w:left="-78" w:leftChars="-37" w:right="-73" w:rightChars="-35" w:firstLine="422"/>
              <w:jc w:val="center"/>
              <w:rPr>
                <w:rFonts w:hint="eastAsia" w:ascii="宋体" w:hAnsi="宋体" w:eastAsia="宋体" w:cs="宋体"/>
                <w:b/>
                <w:szCs w:val="21"/>
              </w:rPr>
            </w:pPr>
            <w:r>
              <w:rPr>
                <w:rFonts w:hint="eastAsia" w:ascii="宋体" w:hAnsi="宋体" w:eastAsia="宋体" w:cs="宋体"/>
                <w:b/>
                <w:szCs w:val="21"/>
              </w:rPr>
              <w:t>评分细则</w:t>
            </w:r>
          </w:p>
        </w:tc>
        <w:tc>
          <w:tcPr>
            <w:tcW w:w="455" w:type="pct"/>
            <w:tcBorders>
              <w:tl2br w:val="nil"/>
              <w:tr2bl w:val="nil"/>
            </w:tcBorders>
            <w:vAlign w:val="center"/>
          </w:tcPr>
          <w:p w14:paraId="5BEE192C">
            <w:pPr>
              <w:spacing w:line="276" w:lineRule="auto"/>
              <w:ind w:right="-73" w:rightChars="-35"/>
              <w:jc w:val="center"/>
              <w:rPr>
                <w:rFonts w:hint="eastAsia" w:ascii="宋体" w:hAnsi="宋体" w:eastAsia="宋体" w:cs="宋体"/>
                <w:b/>
                <w:szCs w:val="21"/>
              </w:rPr>
            </w:pPr>
            <w:r>
              <w:rPr>
                <w:rFonts w:hint="eastAsia" w:ascii="宋体" w:hAnsi="宋体" w:eastAsia="宋体" w:cs="宋体"/>
                <w:b/>
                <w:szCs w:val="21"/>
              </w:rPr>
              <w:t>权重</w:t>
            </w:r>
          </w:p>
        </w:tc>
        <w:tc>
          <w:tcPr>
            <w:tcW w:w="580" w:type="pct"/>
            <w:tcBorders>
              <w:tl2br w:val="nil"/>
              <w:tr2bl w:val="nil"/>
            </w:tcBorders>
            <w:vAlign w:val="center"/>
          </w:tcPr>
          <w:p w14:paraId="5848A518">
            <w:pPr>
              <w:spacing w:line="276" w:lineRule="auto"/>
              <w:ind w:right="-73" w:rightChars="-35" w:firstLine="211" w:firstLineChars="100"/>
              <w:jc w:val="center"/>
              <w:rPr>
                <w:rFonts w:hint="eastAsia" w:ascii="宋体" w:hAnsi="宋体" w:eastAsia="宋体" w:cs="宋体"/>
                <w:b/>
                <w:szCs w:val="21"/>
              </w:rPr>
            </w:pPr>
            <w:r>
              <w:rPr>
                <w:rFonts w:hint="eastAsia" w:ascii="宋体" w:hAnsi="宋体" w:eastAsia="宋体" w:cs="宋体"/>
                <w:b/>
                <w:szCs w:val="21"/>
              </w:rPr>
              <w:t>分值</w:t>
            </w:r>
          </w:p>
        </w:tc>
      </w:tr>
      <w:tr w14:paraId="63800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59" w:type="pct"/>
            <w:tcBorders>
              <w:tl2br w:val="nil"/>
              <w:tr2bl w:val="nil"/>
            </w:tcBorders>
            <w:vAlign w:val="center"/>
          </w:tcPr>
          <w:p w14:paraId="6FDC4B5E">
            <w:pPr>
              <w:spacing w:line="276" w:lineRule="auto"/>
              <w:ind w:right="-73" w:rightChars="-35"/>
              <w:rPr>
                <w:rFonts w:hint="eastAsia" w:ascii="宋体" w:hAnsi="宋体" w:eastAsia="宋体" w:cs="宋体"/>
                <w:b/>
                <w:szCs w:val="21"/>
              </w:rPr>
            </w:pPr>
            <w:r>
              <w:rPr>
                <w:rFonts w:hint="eastAsia" w:ascii="宋体" w:hAnsi="宋体" w:eastAsia="宋体" w:cs="宋体"/>
                <w:b/>
                <w:szCs w:val="21"/>
              </w:rPr>
              <w:t>一</w:t>
            </w:r>
          </w:p>
        </w:tc>
        <w:tc>
          <w:tcPr>
            <w:tcW w:w="4640" w:type="pct"/>
            <w:gridSpan w:val="4"/>
            <w:tcBorders>
              <w:tl2br w:val="nil"/>
              <w:tr2bl w:val="nil"/>
            </w:tcBorders>
            <w:vAlign w:val="center"/>
          </w:tcPr>
          <w:p w14:paraId="714447B6">
            <w:pPr>
              <w:spacing w:line="276" w:lineRule="auto"/>
              <w:ind w:right="-73" w:rightChars="-35" w:firstLine="211" w:firstLineChars="100"/>
              <w:jc w:val="center"/>
              <w:rPr>
                <w:rFonts w:hint="eastAsia" w:ascii="宋体" w:hAnsi="宋体" w:eastAsia="宋体" w:cs="宋体"/>
                <w:b/>
                <w:szCs w:val="21"/>
              </w:rPr>
            </w:pPr>
            <w:r>
              <w:rPr>
                <w:rFonts w:hint="eastAsia" w:ascii="宋体" w:hAnsi="宋体" w:eastAsia="宋体" w:cs="宋体"/>
                <w:b/>
                <w:szCs w:val="21"/>
              </w:rPr>
              <w:t>技术部分（65分）</w:t>
            </w:r>
          </w:p>
        </w:tc>
      </w:tr>
      <w:tr w14:paraId="7498BB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41989A62">
            <w:pPr>
              <w:pStyle w:val="32"/>
              <w:spacing w:line="276" w:lineRule="auto"/>
              <w:ind w:firstLine="0" w:firstLineChars="0"/>
              <w:rPr>
                <w:rFonts w:hint="eastAsia" w:ascii="宋体" w:hAnsi="宋体" w:cs="宋体"/>
              </w:rPr>
            </w:pPr>
            <w:r>
              <w:rPr>
                <w:rFonts w:hint="eastAsia" w:ascii="宋体" w:hAnsi="宋体" w:cs="宋体"/>
              </w:rPr>
              <w:t>1</w:t>
            </w:r>
          </w:p>
        </w:tc>
        <w:tc>
          <w:tcPr>
            <w:tcW w:w="887" w:type="pct"/>
            <w:tcBorders>
              <w:tl2br w:val="nil"/>
              <w:tr2bl w:val="nil"/>
            </w:tcBorders>
            <w:vAlign w:val="center"/>
          </w:tcPr>
          <w:p w14:paraId="16677B38">
            <w:pPr>
              <w:spacing w:line="276" w:lineRule="auto"/>
              <w:jc w:val="center"/>
              <w:rPr>
                <w:rFonts w:hint="eastAsia" w:ascii="宋体" w:hAnsi="宋体" w:eastAsia="宋体" w:cs="宋体"/>
                <w:szCs w:val="21"/>
              </w:rPr>
            </w:pPr>
            <w:r>
              <w:rPr>
                <w:rFonts w:hint="eastAsia" w:ascii="宋体" w:hAnsi="宋体" w:eastAsia="宋体" w:cs="宋体"/>
                <w:szCs w:val="21"/>
              </w:rPr>
              <w:t>实施方案</w:t>
            </w:r>
          </w:p>
        </w:tc>
        <w:tc>
          <w:tcPr>
            <w:tcW w:w="2718" w:type="pct"/>
            <w:tcBorders>
              <w:tl2br w:val="nil"/>
              <w:tr2bl w:val="nil"/>
            </w:tcBorders>
            <w:vAlign w:val="center"/>
          </w:tcPr>
          <w:p w14:paraId="1AEED01D">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（一）评审内容：</w:t>
            </w:r>
          </w:p>
          <w:p w14:paraId="56B2A7EC">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供应商须针对本项目需求提供服务方案，包括下述内容：</w:t>
            </w:r>
          </w:p>
          <w:p w14:paraId="1EE0FC34">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1.测评内容；</w:t>
            </w:r>
          </w:p>
          <w:p w14:paraId="383806D8">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2.测评流程；</w:t>
            </w:r>
          </w:p>
          <w:p w14:paraId="586B6FE6">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3.测评方法；</w:t>
            </w:r>
          </w:p>
          <w:p w14:paraId="2CB0A5D2">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4.测评工具；</w:t>
            </w:r>
          </w:p>
          <w:p w14:paraId="0FD625E9">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5.测评进度安排；</w:t>
            </w:r>
          </w:p>
          <w:p w14:paraId="25790D19">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6.项目成果交付物；</w:t>
            </w:r>
          </w:p>
          <w:p w14:paraId="2FF84D6D">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7.保密措施；</w:t>
            </w:r>
          </w:p>
          <w:p w14:paraId="63BF242A">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8.项目管理措施。</w:t>
            </w:r>
          </w:p>
          <w:p w14:paraId="36DB49BB">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（二）评分依据：</w:t>
            </w:r>
          </w:p>
          <w:p w14:paraId="15A8690C">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1、方案内容每包含上述任意1项得0.5分，最高得4分。</w:t>
            </w:r>
          </w:p>
          <w:p w14:paraId="78D2AA3A">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2、在此基础上，由评审专家根据方案的具体响应内容进一步评审，满足以下三项要求的评价为优，得6分；满足以下任意二项要求的评价为良，得3分； 满足以下任意一项要求的评价为中，得1分；其他情况的评价为差，不得分：</w:t>
            </w:r>
          </w:p>
          <w:p w14:paraId="44D96E1A">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①实施方案覆盖本次服务内容，方案全面具体的；</w:t>
            </w:r>
          </w:p>
          <w:p w14:paraId="6461BF2C">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②保密措施提及人员保密、设备保密和文档保密，保密措施合理，可操作性强的；</w:t>
            </w:r>
          </w:p>
          <w:p w14:paraId="14EFF220">
            <w:pPr>
              <w:widowControl/>
              <w:spacing w:line="276" w:lineRule="auto"/>
              <w:rPr>
                <w:rFonts w:hint="eastAsia" w:ascii="宋体" w:hAnsi="宋体" w:eastAsia="宋体" w:cs="宋体"/>
                <w:szCs w:val="21"/>
                <w:lang w:val="zh-CN"/>
              </w:rPr>
            </w:pPr>
            <w:r>
              <w:rPr>
                <w:rFonts w:hint="eastAsia" w:ascii="宋体" w:hAnsi="宋体" w:eastAsia="宋体" w:cs="宋体"/>
                <w:szCs w:val="21"/>
                <w:lang w:val="zh-CN"/>
              </w:rPr>
              <w:t>③项目管理措施提及范围管理、进度管理、沟通管理、质量管理、文档管理和保密管理，管理措施针对性强的。</w:t>
            </w:r>
          </w:p>
        </w:tc>
        <w:tc>
          <w:tcPr>
            <w:tcW w:w="455" w:type="pct"/>
            <w:tcBorders>
              <w:tl2br w:val="nil"/>
              <w:tr2bl w:val="nil"/>
            </w:tcBorders>
            <w:vAlign w:val="center"/>
          </w:tcPr>
          <w:p w14:paraId="542861C2">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10%</w:t>
            </w:r>
          </w:p>
        </w:tc>
        <w:tc>
          <w:tcPr>
            <w:tcW w:w="580" w:type="pct"/>
            <w:tcBorders>
              <w:tl2br w:val="nil"/>
              <w:tr2bl w:val="nil"/>
            </w:tcBorders>
            <w:vAlign w:val="center"/>
          </w:tcPr>
          <w:p w14:paraId="2C3B28CB">
            <w:pPr>
              <w:spacing w:line="276" w:lineRule="auto"/>
              <w:ind w:firstLine="105" w:firstLineChars="50"/>
              <w:jc w:val="center"/>
              <w:rPr>
                <w:rFonts w:hint="eastAsia" w:ascii="宋体" w:hAnsi="宋体" w:eastAsia="宋体" w:cs="宋体"/>
                <w:szCs w:val="21"/>
              </w:rPr>
            </w:pPr>
            <w:r>
              <w:rPr>
                <w:rFonts w:hint="eastAsia" w:ascii="宋体" w:hAnsi="宋体" w:eastAsia="宋体" w:cs="宋体"/>
                <w:color w:val="000000"/>
                <w:szCs w:val="21"/>
              </w:rPr>
              <w:t>10分</w:t>
            </w:r>
          </w:p>
        </w:tc>
      </w:tr>
      <w:tr w14:paraId="2CF256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224AE53D">
            <w:pPr>
              <w:pStyle w:val="32"/>
              <w:spacing w:line="276" w:lineRule="auto"/>
              <w:ind w:firstLine="0" w:firstLineChars="0"/>
              <w:rPr>
                <w:rFonts w:hint="eastAsia" w:ascii="宋体" w:hAnsi="宋体" w:cs="宋体"/>
              </w:rPr>
            </w:pPr>
            <w:r>
              <w:rPr>
                <w:rFonts w:hint="eastAsia" w:ascii="宋体" w:hAnsi="宋体" w:cs="宋体"/>
              </w:rPr>
              <w:t>2</w:t>
            </w:r>
          </w:p>
        </w:tc>
        <w:tc>
          <w:tcPr>
            <w:tcW w:w="887" w:type="pct"/>
            <w:tcBorders>
              <w:tl2br w:val="nil"/>
              <w:tr2bl w:val="nil"/>
            </w:tcBorders>
            <w:vAlign w:val="center"/>
          </w:tcPr>
          <w:p w14:paraId="2E4920EA">
            <w:pPr>
              <w:spacing w:line="276" w:lineRule="auto"/>
              <w:jc w:val="center"/>
              <w:rPr>
                <w:rFonts w:hint="eastAsia" w:ascii="宋体" w:hAnsi="宋体" w:eastAsia="宋体" w:cs="宋体"/>
                <w:szCs w:val="21"/>
              </w:rPr>
            </w:pPr>
            <w:r>
              <w:rPr>
                <w:rFonts w:hint="eastAsia" w:ascii="宋体" w:hAnsi="宋体" w:eastAsia="宋体" w:cs="宋体"/>
                <w:szCs w:val="21"/>
              </w:rPr>
              <w:t>项目重点难点分析、应对措施及相关的合理化建议</w:t>
            </w:r>
          </w:p>
        </w:tc>
        <w:tc>
          <w:tcPr>
            <w:tcW w:w="2718" w:type="pct"/>
            <w:tcBorders>
              <w:tl2br w:val="nil"/>
              <w:tr2bl w:val="nil"/>
            </w:tcBorders>
            <w:vAlign w:val="center"/>
          </w:tcPr>
          <w:p w14:paraId="46807CFC">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4A47B06E">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供应商针对本项目在推进过程中的重点难点进行总结分析，并提出有效的应对措施及相关合理化建议，包含以下内容：</w:t>
            </w:r>
          </w:p>
          <w:p w14:paraId="3B48407B">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1.项目重点分析；</w:t>
            </w:r>
          </w:p>
          <w:p w14:paraId="5DDE8453">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2.项目难点分析；</w:t>
            </w:r>
          </w:p>
          <w:p w14:paraId="3C87559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3.应对措施与解决方法；</w:t>
            </w:r>
          </w:p>
          <w:p w14:paraId="2EEB8236">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4.合理化建议。</w:t>
            </w:r>
          </w:p>
          <w:p w14:paraId="1BEF0AD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3C80916F">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供应商响应的内容包含上述内容每提供一项得1分，最高得4分。</w:t>
            </w:r>
          </w:p>
          <w:p w14:paraId="2B581E4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在此基础上评审专家根据各供应商的具体响应内容进一步评审，满足以下三项要求的评价为优，得6分；满足以下二项要求的评价为良，得3分； 满足以下一项要求的评价为中，得1分；其他情况的评价为差，不得分：</w:t>
            </w:r>
          </w:p>
          <w:p w14:paraId="6E8F34AE">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①响应内容覆盖本次服务内容的；</w:t>
            </w:r>
          </w:p>
          <w:p w14:paraId="06E4E6B5">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②重点难点分析全面具体、针对性强；</w:t>
            </w:r>
          </w:p>
          <w:p w14:paraId="16736C06">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③应对措施及相关的合理化建议科学合理、可操作性强。</w:t>
            </w:r>
          </w:p>
        </w:tc>
        <w:tc>
          <w:tcPr>
            <w:tcW w:w="455" w:type="pct"/>
            <w:tcBorders>
              <w:tl2br w:val="nil"/>
              <w:tr2bl w:val="nil"/>
            </w:tcBorders>
            <w:vAlign w:val="center"/>
          </w:tcPr>
          <w:p w14:paraId="6503D37B">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10%</w:t>
            </w:r>
          </w:p>
        </w:tc>
        <w:tc>
          <w:tcPr>
            <w:tcW w:w="580" w:type="pct"/>
            <w:tcBorders>
              <w:tl2br w:val="nil"/>
              <w:tr2bl w:val="nil"/>
            </w:tcBorders>
            <w:vAlign w:val="center"/>
          </w:tcPr>
          <w:p w14:paraId="5ED50374">
            <w:pPr>
              <w:spacing w:line="276" w:lineRule="auto"/>
              <w:jc w:val="center"/>
              <w:rPr>
                <w:rFonts w:hint="eastAsia" w:ascii="宋体" w:hAnsi="宋体" w:eastAsia="宋体" w:cs="宋体"/>
                <w:szCs w:val="21"/>
              </w:rPr>
            </w:pPr>
            <w:r>
              <w:rPr>
                <w:rFonts w:hint="eastAsia" w:ascii="宋体" w:hAnsi="宋体" w:eastAsia="宋体" w:cs="宋体"/>
                <w:color w:val="000000"/>
                <w:szCs w:val="21"/>
              </w:rPr>
              <w:t>10分</w:t>
            </w:r>
          </w:p>
        </w:tc>
      </w:tr>
      <w:tr w14:paraId="326684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67FE9200">
            <w:pPr>
              <w:pStyle w:val="32"/>
              <w:spacing w:line="276" w:lineRule="auto"/>
              <w:ind w:firstLine="0" w:firstLineChars="0"/>
              <w:rPr>
                <w:rFonts w:hint="eastAsia" w:ascii="宋体" w:hAnsi="宋体" w:cs="宋体"/>
              </w:rPr>
            </w:pPr>
            <w:r>
              <w:rPr>
                <w:rFonts w:hint="eastAsia" w:ascii="宋体" w:hAnsi="宋体" w:cs="宋体"/>
              </w:rPr>
              <w:t>3</w:t>
            </w:r>
          </w:p>
        </w:tc>
        <w:tc>
          <w:tcPr>
            <w:tcW w:w="887" w:type="pct"/>
            <w:tcBorders>
              <w:tl2br w:val="nil"/>
              <w:tr2bl w:val="nil"/>
            </w:tcBorders>
            <w:vAlign w:val="center"/>
          </w:tcPr>
          <w:p w14:paraId="2C33EF28">
            <w:pPr>
              <w:spacing w:line="276" w:lineRule="auto"/>
              <w:jc w:val="center"/>
              <w:rPr>
                <w:rFonts w:hint="eastAsia" w:ascii="宋体" w:hAnsi="宋体" w:eastAsia="宋体" w:cs="宋体"/>
                <w:szCs w:val="21"/>
              </w:rPr>
            </w:pPr>
            <w:r>
              <w:rPr>
                <w:rFonts w:hint="eastAsia" w:ascii="宋体" w:hAnsi="宋体" w:eastAsia="宋体" w:cs="宋体"/>
                <w:szCs w:val="21"/>
              </w:rPr>
              <w:t>质量（完成时间、安全、环保）保障措施及方案</w:t>
            </w:r>
          </w:p>
        </w:tc>
        <w:tc>
          <w:tcPr>
            <w:tcW w:w="2718" w:type="pct"/>
            <w:tcBorders>
              <w:tl2br w:val="nil"/>
              <w:tr2bl w:val="nil"/>
            </w:tcBorders>
            <w:vAlign w:val="center"/>
          </w:tcPr>
          <w:p w14:paraId="5F6A8D3F">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15B9A12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供应商为本项目制定的质量保障措施及方案，包括：</w:t>
            </w:r>
          </w:p>
          <w:p w14:paraId="0D68F56C">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1.项目质量保证方案，包括人员质量、进度质量、文档质量等内容；</w:t>
            </w:r>
          </w:p>
          <w:p w14:paraId="0E9BDAF2">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2.项目质量管理，包括质量控制标准、质量控制内容、审计、评估质量承诺、授权与监控等内容；</w:t>
            </w:r>
          </w:p>
          <w:p w14:paraId="0C2B3DEC">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3.质量管理体系，包括各部门职责、管理体系结构等。</w:t>
            </w:r>
          </w:p>
          <w:p w14:paraId="71F34F90">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1E40366F">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供应商响应的质量保障措施及方案有包含上述内容每提供一项得2分，最高得6分。</w:t>
            </w:r>
          </w:p>
          <w:p w14:paraId="20750230">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在此基础上评审专家根据各供应商的具体响应内容进一步评审，满足以下三项要求的评价为优，得4分；满足以下二项要求的评价为良，得2分； 满足以下一项要求的评价为中，得1分；其他情况的评价为差，不得分：</w:t>
            </w:r>
          </w:p>
          <w:p w14:paraId="43E1B850">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①质量保障措施及方案全面具体、针对性强；</w:t>
            </w:r>
          </w:p>
          <w:p w14:paraId="4568BCD7">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②质量保障措施及方案提及供应商内部质量管理体系文件的（例如质量手册、程序文件）；</w:t>
            </w:r>
          </w:p>
          <w:p w14:paraId="5E214D89">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③质量保障措施及方案提及供应商内部测评相关工作的管理程序的。</w:t>
            </w:r>
          </w:p>
        </w:tc>
        <w:tc>
          <w:tcPr>
            <w:tcW w:w="455" w:type="pct"/>
            <w:tcBorders>
              <w:tl2br w:val="nil"/>
              <w:tr2bl w:val="nil"/>
            </w:tcBorders>
            <w:vAlign w:val="center"/>
          </w:tcPr>
          <w:p w14:paraId="3EA85AE9">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10%</w:t>
            </w:r>
          </w:p>
        </w:tc>
        <w:tc>
          <w:tcPr>
            <w:tcW w:w="580" w:type="pct"/>
            <w:tcBorders>
              <w:tl2br w:val="nil"/>
              <w:tr2bl w:val="nil"/>
            </w:tcBorders>
            <w:vAlign w:val="center"/>
          </w:tcPr>
          <w:p w14:paraId="5BB463D3">
            <w:pPr>
              <w:spacing w:line="276" w:lineRule="auto"/>
              <w:jc w:val="center"/>
              <w:rPr>
                <w:rFonts w:hint="eastAsia" w:ascii="宋体" w:hAnsi="宋体" w:eastAsia="宋体" w:cs="宋体"/>
                <w:szCs w:val="21"/>
              </w:rPr>
            </w:pPr>
            <w:r>
              <w:rPr>
                <w:rFonts w:hint="eastAsia" w:ascii="宋体" w:hAnsi="宋体" w:eastAsia="宋体" w:cs="宋体"/>
                <w:color w:val="000000"/>
                <w:szCs w:val="21"/>
              </w:rPr>
              <w:t>10分</w:t>
            </w:r>
          </w:p>
        </w:tc>
      </w:tr>
      <w:tr w14:paraId="33D675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22062176">
            <w:pPr>
              <w:pStyle w:val="32"/>
              <w:spacing w:line="276" w:lineRule="auto"/>
              <w:ind w:firstLine="0" w:firstLineChars="0"/>
              <w:rPr>
                <w:rFonts w:hint="eastAsia" w:ascii="宋体" w:hAnsi="宋体" w:cs="宋体"/>
              </w:rPr>
            </w:pPr>
            <w:r>
              <w:rPr>
                <w:rFonts w:hint="eastAsia" w:ascii="宋体" w:hAnsi="宋体" w:cs="宋体"/>
              </w:rPr>
              <w:t>4</w:t>
            </w:r>
          </w:p>
        </w:tc>
        <w:tc>
          <w:tcPr>
            <w:tcW w:w="887" w:type="pct"/>
            <w:tcBorders>
              <w:tl2br w:val="nil"/>
              <w:tr2bl w:val="nil"/>
            </w:tcBorders>
            <w:vAlign w:val="center"/>
          </w:tcPr>
          <w:p w14:paraId="603E6988">
            <w:pPr>
              <w:spacing w:line="276" w:lineRule="auto"/>
              <w:jc w:val="center"/>
              <w:rPr>
                <w:rFonts w:hint="eastAsia" w:ascii="宋体" w:hAnsi="宋体" w:eastAsia="宋体" w:cs="宋体"/>
                <w:szCs w:val="21"/>
              </w:rPr>
            </w:pPr>
            <w:r>
              <w:rPr>
                <w:rFonts w:hint="eastAsia" w:ascii="宋体" w:hAnsi="宋体" w:eastAsia="宋体" w:cs="宋体"/>
                <w:szCs w:val="21"/>
              </w:rPr>
              <w:t>拟安排项目负责人情况（仅限1人）</w:t>
            </w:r>
          </w:p>
        </w:tc>
        <w:tc>
          <w:tcPr>
            <w:tcW w:w="2718" w:type="pct"/>
            <w:tcBorders>
              <w:tl2br w:val="nil"/>
              <w:tr2bl w:val="nil"/>
            </w:tcBorders>
            <w:vAlign w:val="center"/>
          </w:tcPr>
          <w:p w14:paraId="5563730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6341A219">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拟安排项目负责人情况（仅限一人）为供应商本单位员工（以社保为准），具备计算机或</w:t>
            </w:r>
            <w:r>
              <w:rPr>
                <w:rFonts w:hint="eastAsia" w:ascii="宋体" w:hAnsi="宋体" w:eastAsia="宋体" w:cs="宋体"/>
                <w:szCs w:val="21"/>
              </w:rPr>
              <w:t>信息</w:t>
            </w:r>
            <w:r>
              <w:rPr>
                <w:rFonts w:hint="eastAsia" w:ascii="宋体" w:hAnsi="宋体" w:eastAsia="宋体" w:cs="宋体"/>
                <w:szCs w:val="21"/>
                <w:lang w:val="zh-CN"/>
              </w:rPr>
              <w:t>安全相关专业本科（或以上）学历，否则本评分内容不得分：</w:t>
            </w:r>
          </w:p>
          <w:p w14:paraId="67F473E5">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1</w:t>
            </w:r>
            <w:r>
              <w:rPr>
                <w:rFonts w:hint="eastAsia" w:ascii="宋体" w:hAnsi="宋体" w:eastAsia="宋体" w:cs="宋体"/>
                <w:szCs w:val="21"/>
                <w:lang w:val="zh-CN"/>
              </w:rPr>
              <w:t>.具有高级测评师（</w:t>
            </w:r>
            <w:r>
              <w:rPr>
                <w:rFonts w:hint="eastAsia" w:ascii="宋体" w:hAnsi="宋体" w:eastAsia="宋体" w:cs="宋体"/>
                <w:szCs w:val="21"/>
              </w:rPr>
              <w:t>网络</w:t>
            </w:r>
            <w:r>
              <w:rPr>
                <w:rFonts w:hint="eastAsia" w:ascii="宋体" w:hAnsi="宋体" w:eastAsia="宋体" w:cs="宋体"/>
                <w:szCs w:val="21"/>
                <w:lang w:val="zh-CN"/>
              </w:rPr>
              <w:t>安全等级测评）资格证书的，得</w:t>
            </w:r>
            <w:r>
              <w:rPr>
                <w:rFonts w:hint="eastAsia" w:ascii="宋体" w:hAnsi="宋体" w:eastAsia="宋体" w:cs="宋体"/>
                <w:szCs w:val="21"/>
              </w:rPr>
              <w:t>3</w:t>
            </w:r>
            <w:r>
              <w:rPr>
                <w:rFonts w:hint="eastAsia" w:ascii="宋体" w:hAnsi="宋体" w:eastAsia="宋体" w:cs="宋体"/>
                <w:szCs w:val="21"/>
                <w:lang w:val="zh-CN"/>
              </w:rPr>
              <w:t>分；</w:t>
            </w:r>
          </w:p>
          <w:p w14:paraId="280EF7BA">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2</w:t>
            </w:r>
            <w:r>
              <w:rPr>
                <w:rFonts w:hint="eastAsia" w:ascii="宋体" w:hAnsi="宋体" w:eastAsia="宋体" w:cs="宋体"/>
                <w:szCs w:val="21"/>
                <w:lang w:val="zh-CN"/>
              </w:rPr>
              <w:t>.具有</w:t>
            </w:r>
            <w:r>
              <w:rPr>
                <w:rFonts w:hint="eastAsia" w:ascii="宋体" w:hAnsi="宋体" w:cs="宋体"/>
                <w:szCs w:val="21"/>
                <w:lang w:val="en-US" w:eastAsia="zh-CN"/>
              </w:rPr>
              <w:t>工业和信息化部教育与考试中心颁发的密码安全技术管理师</w:t>
            </w:r>
            <w:r>
              <w:rPr>
                <w:rFonts w:hint="eastAsia" w:ascii="宋体" w:hAnsi="宋体" w:eastAsia="宋体" w:cs="宋体"/>
                <w:szCs w:val="21"/>
                <w:lang w:val="zh-CN"/>
              </w:rPr>
              <w:t>，得</w:t>
            </w:r>
            <w:r>
              <w:rPr>
                <w:rFonts w:hint="eastAsia" w:ascii="宋体" w:hAnsi="宋体" w:eastAsia="宋体" w:cs="宋体"/>
                <w:szCs w:val="21"/>
              </w:rPr>
              <w:t>3</w:t>
            </w:r>
            <w:r>
              <w:rPr>
                <w:rFonts w:hint="eastAsia" w:ascii="宋体" w:hAnsi="宋体" w:eastAsia="宋体" w:cs="宋体"/>
                <w:szCs w:val="21"/>
                <w:lang w:val="zh-CN"/>
              </w:rPr>
              <w:t>分；</w:t>
            </w:r>
          </w:p>
          <w:p w14:paraId="614264BF">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3</w:t>
            </w:r>
            <w:r>
              <w:rPr>
                <w:rFonts w:hint="eastAsia" w:ascii="宋体" w:hAnsi="宋体" w:eastAsia="宋体" w:cs="宋体"/>
                <w:szCs w:val="21"/>
                <w:lang w:val="zh-CN"/>
              </w:rPr>
              <w:t>.具有中国网络空间安全协会颁发的个人信息保护合规审计人员能力评价证证书的，得</w:t>
            </w:r>
            <w:r>
              <w:rPr>
                <w:rFonts w:hint="eastAsia" w:ascii="宋体" w:hAnsi="宋体" w:eastAsia="宋体" w:cs="宋体"/>
                <w:szCs w:val="21"/>
              </w:rPr>
              <w:t>2</w:t>
            </w:r>
            <w:r>
              <w:rPr>
                <w:rFonts w:hint="eastAsia" w:ascii="宋体" w:hAnsi="宋体" w:eastAsia="宋体" w:cs="宋体"/>
                <w:szCs w:val="21"/>
                <w:lang w:val="zh-CN"/>
              </w:rPr>
              <w:t xml:space="preserve">分； </w:t>
            </w:r>
          </w:p>
          <w:p w14:paraId="4B1FECD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4</w:t>
            </w:r>
            <w:r>
              <w:rPr>
                <w:rFonts w:hint="eastAsia" w:ascii="宋体" w:hAnsi="宋体" w:eastAsia="宋体" w:cs="宋体"/>
                <w:szCs w:val="21"/>
                <w:lang w:val="zh-CN"/>
              </w:rPr>
              <w:t>.具有工业和信息化部教育与考试中心-数据安全评估师的，得</w:t>
            </w:r>
            <w:r>
              <w:rPr>
                <w:rFonts w:hint="eastAsia" w:ascii="宋体" w:hAnsi="宋体" w:eastAsia="宋体" w:cs="宋体"/>
                <w:szCs w:val="21"/>
              </w:rPr>
              <w:t>2</w:t>
            </w:r>
            <w:r>
              <w:rPr>
                <w:rFonts w:hint="eastAsia" w:ascii="宋体" w:hAnsi="宋体" w:eastAsia="宋体" w:cs="宋体"/>
                <w:szCs w:val="21"/>
                <w:lang w:val="zh-CN"/>
              </w:rPr>
              <w:t>分；</w:t>
            </w:r>
          </w:p>
          <w:p w14:paraId="22CE052B">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5</w:t>
            </w:r>
            <w:r>
              <w:rPr>
                <w:rFonts w:hint="eastAsia" w:ascii="宋体" w:hAnsi="宋体" w:eastAsia="宋体" w:cs="宋体"/>
                <w:szCs w:val="21"/>
                <w:lang w:val="zh-CN"/>
              </w:rPr>
              <w:t>.具有网络安全等级保护测评项目管理经验，每提供1个得1分，最高得</w:t>
            </w:r>
            <w:r>
              <w:rPr>
                <w:rFonts w:hint="eastAsia" w:ascii="宋体" w:hAnsi="宋体" w:eastAsia="宋体" w:cs="宋体"/>
                <w:szCs w:val="21"/>
              </w:rPr>
              <w:t>2</w:t>
            </w:r>
            <w:r>
              <w:rPr>
                <w:rFonts w:hint="eastAsia" w:ascii="宋体" w:hAnsi="宋体" w:eastAsia="宋体" w:cs="宋体"/>
                <w:szCs w:val="21"/>
                <w:lang w:val="zh-CN"/>
              </w:rPr>
              <w:t>分；</w:t>
            </w:r>
          </w:p>
          <w:p w14:paraId="54A90F46">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以上合计最高得1</w:t>
            </w:r>
            <w:r>
              <w:rPr>
                <w:rFonts w:hint="eastAsia" w:ascii="宋体" w:hAnsi="宋体" w:eastAsia="宋体" w:cs="宋体"/>
                <w:szCs w:val="21"/>
              </w:rPr>
              <w:t>2</w:t>
            </w:r>
            <w:r>
              <w:rPr>
                <w:rFonts w:hint="eastAsia" w:ascii="宋体" w:hAnsi="宋体" w:eastAsia="宋体" w:cs="宋体"/>
                <w:szCs w:val="21"/>
                <w:lang w:val="zh-CN"/>
              </w:rPr>
              <w:t>分。</w:t>
            </w:r>
          </w:p>
          <w:p w14:paraId="74BBC34C">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624036C4">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提供报价截止日当月（或前一个月）在本单位缴纳且载有社保部门（或税务部门）公章（或业务章）的社保缴交证明材料（如报价截止日当月或前一个月的社保材料因社保部门（或税务部门）原因暂时无法取得，则可以往前顺延一个月）；成立时间不满1个月的供应商需提供成立时间相关说明材料，并提供承诺函（格式自拟）承诺人员为供应商现有员工</w:t>
            </w:r>
          </w:p>
          <w:p w14:paraId="5481D64B">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2.提供相关人员证书扫描件：</w:t>
            </w:r>
          </w:p>
          <w:p w14:paraId="1406D3F7">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涉及学历的，同时提供学信网信息查询截图（https://www.chsi.com.cn/）：①如较早颁发的学历证书，学信网无法查询的，可提供毕业院校或教育或人社部门等颁发机构或监管机构等出具的证明。②如海外留学（含港澳台）学历无法通过学信网站查询的，应当提供教育部留学服务中心出具的国外学历认证证书以及教育部留学服务中心官网（https://portal.cscse.edu.cn/）查询截图。若证明文件为其它语言，必须附中文译文，以中文译文为准。</w:t>
            </w:r>
          </w:p>
          <w:p w14:paraId="64FE609A">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如证书颁发单位为相关行业协会（或学会）的，则需同时提供证书颁发单位在全国社会组织信用信息公示平台（https://xxgs.chinanpo.mca.gov.cn/gsxt/newList）的信息查询截图（截图需显示发证单位状态为“正常”）。</w:t>
            </w:r>
          </w:p>
          <w:p w14:paraId="0DCCE4CA">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3.第</w:t>
            </w:r>
            <w:r>
              <w:rPr>
                <w:rFonts w:hint="eastAsia" w:ascii="宋体" w:hAnsi="宋体" w:eastAsia="宋体" w:cs="宋体"/>
                <w:szCs w:val="21"/>
              </w:rPr>
              <w:t>5</w:t>
            </w:r>
            <w:r>
              <w:rPr>
                <w:rFonts w:hint="eastAsia" w:ascii="宋体" w:hAnsi="宋体" w:eastAsia="宋体" w:cs="宋体"/>
                <w:szCs w:val="21"/>
                <w:lang w:val="zh-CN"/>
              </w:rPr>
              <w:t>项：提供合同关键页（关键信息包括但不仅限于合同的项目名称、服务内容等，合同须体现该人员为上述项目的项目负责人或技术负责人），若合同关键页无法体现，同时提供合同甲方（或被服务单位）加盖公章（或业务章）的证明材料（证明材料须体现该人员为上述经验项目的项目负责人等评分内容）。</w:t>
            </w:r>
          </w:p>
          <w:p w14:paraId="0871E1FE">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4.未按要求提供相关证明材料（或相关证明材料无法判断是否符合评分要求）的不计得分，原件备查。</w:t>
            </w:r>
          </w:p>
        </w:tc>
        <w:tc>
          <w:tcPr>
            <w:tcW w:w="455" w:type="pct"/>
            <w:tcBorders>
              <w:tl2br w:val="nil"/>
              <w:tr2bl w:val="nil"/>
            </w:tcBorders>
            <w:vAlign w:val="center"/>
          </w:tcPr>
          <w:p w14:paraId="13F78120">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12%</w:t>
            </w:r>
          </w:p>
        </w:tc>
        <w:tc>
          <w:tcPr>
            <w:tcW w:w="580" w:type="pct"/>
            <w:tcBorders>
              <w:tl2br w:val="nil"/>
              <w:tr2bl w:val="nil"/>
            </w:tcBorders>
            <w:vAlign w:val="center"/>
          </w:tcPr>
          <w:p w14:paraId="192176C7">
            <w:pPr>
              <w:spacing w:line="276" w:lineRule="auto"/>
              <w:jc w:val="center"/>
              <w:rPr>
                <w:rFonts w:hint="eastAsia" w:ascii="宋体" w:hAnsi="宋体" w:eastAsia="宋体" w:cs="宋体"/>
                <w:color w:val="000000"/>
                <w:szCs w:val="21"/>
              </w:rPr>
            </w:pPr>
            <w:r>
              <w:rPr>
                <w:rFonts w:hint="eastAsia" w:ascii="宋体" w:hAnsi="宋体" w:eastAsia="宋体" w:cs="宋体"/>
                <w:color w:val="000000"/>
                <w:szCs w:val="21"/>
              </w:rPr>
              <w:t>1</w:t>
            </w:r>
            <w:r>
              <w:rPr>
                <w:rFonts w:ascii="宋体" w:hAnsi="宋体" w:eastAsia="宋体" w:cs="宋体"/>
                <w:color w:val="000000"/>
                <w:szCs w:val="21"/>
              </w:rPr>
              <w:t>2</w:t>
            </w:r>
          </w:p>
        </w:tc>
      </w:tr>
      <w:tr w14:paraId="6BAD1F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4556505D">
            <w:pPr>
              <w:pStyle w:val="32"/>
              <w:spacing w:line="276" w:lineRule="auto"/>
              <w:ind w:firstLine="0" w:firstLineChars="0"/>
              <w:rPr>
                <w:rFonts w:hint="eastAsia" w:ascii="宋体" w:hAnsi="宋体" w:cs="宋体"/>
              </w:rPr>
            </w:pPr>
            <w:r>
              <w:rPr>
                <w:rFonts w:hint="eastAsia" w:ascii="宋体" w:hAnsi="宋体" w:cs="宋体"/>
              </w:rPr>
              <w:t>5</w:t>
            </w:r>
          </w:p>
        </w:tc>
        <w:tc>
          <w:tcPr>
            <w:tcW w:w="887" w:type="pct"/>
            <w:tcBorders>
              <w:tl2br w:val="nil"/>
              <w:tr2bl w:val="nil"/>
            </w:tcBorders>
            <w:vAlign w:val="center"/>
          </w:tcPr>
          <w:p w14:paraId="1B55E04C">
            <w:pPr>
              <w:spacing w:line="276" w:lineRule="auto"/>
              <w:jc w:val="center"/>
              <w:rPr>
                <w:rFonts w:hint="eastAsia" w:ascii="宋体" w:hAnsi="宋体" w:eastAsia="宋体" w:cs="宋体"/>
                <w:szCs w:val="21"/>
              </w:rPr>
            </w:pPr>
            <w:r>
              <w:rPr>
                <w:rFonts w:hint="eastAsia" w:ascii="宋体" w:hAnsi="宋体" w:eastAsia="宋体" w:cs="宋体"/>
                <w:szCs w:val="21"/>
              </w:rPr>
              <w:t>拟安排的项目技术负责人情况（仅限一人，项目负责人除外</w:t>
            </w:r>
          </w:p>
        </w:tc>
        <w:tc>
          <w:tcPr>
            <w:tcW w:w="2718" w:type="pct"/>
            <w:tcBorders>
              <w:tl2br w:val="nil"/>
              <w:tr2bl w:val="nil"/>
            </w:tcBorders>
            <w:vAlign w:val="center"/>
          </w:tcPr>
          <w:p w14:paraId="488A7549">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02C25BC6">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拟安排项目技术负责人情况（仅限一人）为供应商本单位员工（以社保为准），具备计算机或</w:t>
            </w:r>
            <w:r>
              <w:rPr>
                <w:rFonts w:hint="eastAsia" w:ascii="宋体" w:hAnsi="宋体" w:eastAsia="宋体" w:cs="宋体"/>
                <w:szCs w:val="21"/>
              </w:rPr>
              <w:t>信息</w:t>
            </w:r>
            <w:r>
              <w:rPr>
                <w:rFonts w:hint="eastAsia" w:ascii="宋体" w:hAnsi="宋体" w:eastAsia="宋体" w:cs="宋体"/>
                <w:szCs w:val="21"/>
                <w:lang w:val="zh-CN"/>
              </w:rPr>
              <w:t>安全相关专业本科（或以上）学历，否则本评分内容不得分：</w:t>
            </w:r>
          </w:p>
          <w:p w14:paraId="75475DC5">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1</w:t>
            </w:r>
            <w:r>
              <w:rPr>
                <w:rFonts w:hint="eastAsia" w:ascii="宋体" w:hAnsi="宋体" w:eastAsia="宋体" w:cs="宋体"/>
                <w:szCs w:val="21"/>
                <w:lang w:val="zh-CN"/>
              </w:rPr>
              <w:t>.具有高级测评师（</w:t>
            </w:r>
            <w:r>
              <w:rPr>
                <w:rFonts w:hint="eastAsia" w:ascii="宋体" w:hAnsi="宋体" w:eastAsia="宋体" w:cs="宋体"/>
                <w:szCs w:val="21"/>
              </w:rPr>
              <w:t>网络</w:t>
            </w:r>
            <w:r>
              <w:rPr>
                <w:rFonts w:hint="eastAsia" w:ascii="宋体" w:hAnsi="宋体" w:eastAsia="宋体" w:cs="宋体"/>
                <w:szCs w:val="21"/>
                <w:lang w:val="zh-CN"/>
              </w:rPr>
              <w:t>安全等级测评）资格证书的，得</w:t>
            </w:r>
            <w:r>
              <w:rPr>
                <w:rFonts w:hint="eastAsia" w:ascii="宋体" w:hAnsi="宋体" w:eastAsia="宋体" w:cs="宋体"/>
                <w:szCs w:val="21"/>
              </w:rPr>
              <w:t>2</w:t>
            </w:r>
            <w:r>
              <w:rPr>
                <w:rFonts w:hint="eastAsia" w:ascii="宋体" w:hAnsi="宋体" w:eastAsia="宋体" w:cs="宋体"/>
                <w:szCs w:val="21"/>
                <w:lang w:val="zh-CN"/>
              </w:rPr>
              <w:t>分；</w:t>
            </w:r>
          </w:p>
          <w:p w14:paraId="4DE53A2A">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2</w:t>
            </w:r>
            <w:r>
              <w:rPr>
                <w:rFonts w:hint="eastAsia" w:ascii="宋体" w:hAnsi="宋体" w:eastAsia="宋体" w:cs="宋体"/>
                <w:szCs w:val="21"/>
                <w:lang w:val="zh-CN"/>
              </w:rPr>
              <w:t>.具备</w:t>
            </w:r>
            <w:r>
              <w:rPr>
                <w:rFonts w:hint="eastAsia" w:ascii="宋体" w:hAnsi="宋体" w:cs="宋体"/>
                <w:szCs w:val="21"/>
              </w:rPr>
              <w:t>注册网络安全测评讲师证书</w:t>
            </w:r>
            <w:r>
              <w:rPr>
                <w:rFonts w:hint="eastAsia" w:ascii="宋体" w:hAnsi="宋体" w:cs="宋体"/>
                <w:szCs w:val="21"/>
                <w:lang w:val="en-US" w:eastAsia="zh-CN"/>
              </w:rPr>
              <w:t>的</w:t>
            </w:r>
            <w:r>
              <w:rPr>
                <w:rFonts w:hint="eastAsia" w:ascii="宋体" w:hAnsi="宋体" w:eastAsia="宋体" w:cs="宋体"/>
                <w:szCs w:val="21"/>
                <w:lang w:val="zh-CN"/>
              </w:rPr>
              <w:t xml:space="preserve">，得2分； </w:t>
            </w:r>
          </w:p>
          <w:p w14:paraId="6DF547E1">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3</w:t>
            </w:r>
            <w:r>
              <w:rPr>
                <w:rFonts w:hint="eastAsia" w:ascii="宋体" w:hAnsi="宋体" w:eastAsia="宋体" w:cs="宋体"/>
                <w:szCs w:val="21"/>
                <w:lang w:val="zh-CN"/>
              </w:rPr>
              <w:t>.具有中国网络空间安全协会颁发的个人信息保护合规审计人员能力评价证证书</w:t>
            </w:r>
            <w:r>
              <w:rPr>
                <w:rFonts w:hint="eastAsia" w:ascii="宋体" w:hAnsi="宋体" w:eastAsia="宋体" w:cs="宋体"/>
                <w:szCs w:val="21"/>
                <w:lang w:val="en-US" w:eastAsia="zh-CN"/>
              </w:rPr>
              <w:t>的</w:t>
            </w:r>
            <w:r>
              <w:rPr>
                <w:rFonts w:hint="eastAsia" w:ascii="宋体" w:hAnsi="宋体" w:eastAsia="宋体" w:cs="宋体"/>
                <w:szCs w:val="21"/>
                <w:lang w:val="zh-CN"/>
              </w:rPr>
              <w:t>，得2分；</w:t>
            </w:r>
          </w:p>
          <w:p w14:paraId="75D36EC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rPr>
              <w:t>4</w:t>
            </w:r>
            <w:r>
              <w:rPr>
                <w:rFonts w:hint="eastAsia" w:ascii="宋体" w:hAnsi="宋体" w:eastAsia="宋体" w:cs="宋体"/>
                <w:szCs w:val="21"/>
                <w:lang w:val="zh-CN"/>
              </w:rPr>
              <w:t>.具有网络安全等级保护测评项目管理经验，得2分；</w:t>
            </w:r>
          </w:p>
          <w:p w14:paraId="4B4DEC29">
            <w:pPr>
              <w:autoSpaceDE w:val="0"/>
              <w:autoSpaceDN w:val="0"/>
              <w:spacing w:line="276" w:lineRule="auto"/>
              <w:jc w:val="left"/>
              <w:rPr>
                <w:lang w:val="zh-CN"/>
              </w:rPr>
            </w:pPr>
            <w:r>
              <w:rPr>
                <w:rFonts w:hint="eastAsia" w:ascii="宋体" w:hAnsi="宋体" w:eastAsia="宋体" w:cs="宋体"/>
                <w:szCs w:val="21"/>
                <w:lang w:val="zh-CN"/>
              </w:rPr>
              <w:t>以上合计最高得</w:t>
            </w:r>
            <w:r>
              <w:rPr>
                <w:rFonts w:hint="eastAsia" w:ascii="宋体" w:hAnsi="宋体" w:eastAsia="宋体" w:cs="宋体"/>
                <w:szCs w:val="21"/>
              </w:rPr>
              <w:t>8</w:t>
            </w:r>
            <w:r>
              <w:rPr>
                <w:rFonts w:hint="eastAsia" w:ascii="宋体" w:hAnsi="宋体" w:eastAsia="宋体" w:cs="宋体"/>
                <w:szCs w:val="21"/>
                <w:lang w:val="zh-CN"/>
              </w:rPr>
              <w:t>分。</w:t>
            </w:r>
          </w:p>
          <w:p w14:paraId="0769C454">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7F9D7F69">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提供报价截止日当月（或前一个月）在本单位缴纳且载有社保部门（或税务部门）公章（或业务章）的社保缴交证明材料（如报价截止日当月或前一个月的社保材料因社保部门（或税务部门）原因暂时无法取得，则可以往前顺延一个月）；成立时间不满1个月的供应商需提供成立时间相关说明材料，并提供承诺函（格式自拟）承诺人员为供应商现有员工。</w:t>
            </w:r>
          </w:p>
          <w:p w14:paraId="582DE87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2.提供相关人员证书扫描件：</w:t>
            </w:r>
          </w:p>
          <w:p w14:paraId="743CDB4C">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涉及学历的，同时提供学信网信息查询截图（https://www.chsi.com.cn/）：①如较早颁发的学历证书，学信网无法查询的，可提供毕业院校或教育或人社部门等颁发机构或监管机构等出具的证明。②如海外留学（含港澳台）学历无法通过学信网站查询的，应当提供教育部留学服务中心出具的国外学历认证证书以及教育部留学服务中心官网（https://portal.cscse.edu.cn/）查询截图。若证明文件为其它语言，必须附中文译文，以中文译文为准。</w:t>
            </w:r>
          </w:p>
          <w:p w14:paraId="5DB5F54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如证书颁发单位为相关行业协会（或学会）的，则需同时提供证书颁发单位在全国社会组织信用信息公示平台（https://xxgs.chinanpo.mca.gov.cn/gsxt/newList）的信息查询截图（截图需显示发证单位状态为“正常”）。</w:t>
            </w:r>
          </w:p>
          <w:p w14:paraId="288FC2F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3.第</w:t>
            </w:r>
            <w:r>
              <w:rPr>
                <w:rFonts w:hint="eastAsia" w:ascii="宋体" w:hAnsi="宋体" w:eastAsia="宋体" w:cs="宋体"/>
                <w:szCs w:val="21"/>
              </w:rPr>
              <w:t>4</w:t>
            </w:r>
            <w:r>
              <w:rPr>
                <w:rFonts w:hint="eastAsia" w:ascii="宋体" w:hAnsi="宋体" w:eastAsia="宋体" w:cs="宋体"/>
                <w:szCs w:val="21"/>
                <w:lang w:val="zh-CN"/>
              </w:rPr>
              <w:t>项：供应商提供合同关键页 （关键信息包括但不仅限于合同的项目名称、服务内容等，合同须体现该人员为上述项目的项目负责人或技术负责人），若合同关键页无法体现，同时提供合同甲方（或被服务单位）加盖公章（或业务章）的证明材料（证明材料须体现该人员为上述经验项目的项目负责人或技术负责人等评分内容）。</w:t>
            </w:r>
          </w:p>
          <w:p w14:paraId="2E376894">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4.未按要求提供相关证明材料（或相关证明材料无法判断是否符合评分要求）的不计得分，原件备查。</w:t>
            </w:r>
          </w:p>
        </w:tc>
        <w:tc>
          <w:tcPr>
            <w:tcW w:w="455" w:type="pct"/>
            <w:tcBorders>
              <w:tl2br w:val="nil"/>
              <w:tr2bl w:val="nil"/>
            </w:tcBorders>
            <w:vAlign w:val="center"/>
          </w:tcPr>
          <w:p w14:paraId="1EB3D05B">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8%</w:t>
            </w:r>
          </w:p>
        </w:tc>
        <w:tc>
          <w:tcPr>
            <w:tcW w:w="580" w:type="pct"/>
            <w:tcBorders>
              <w:tl2br w:val="nil"/>
              <w:tr2bl w:val="nil"/>
            </w:tcBorders>
            <w:vAlign w:val="center"/>
          </w:tcPr>
          <w:p w14:paraId="734CFDAF">
            <w:pPr>
              <w:spacing w:line="276" w:lineRule="auto"/>
              <w:jc w:val="center"/>
              <w:rPr>
                <w:rFonts w:hint="eastAsia" w:ascii="宋体" w:hAnsi="宋体" w:eastAsia="宋体" w:cs="宋体"/>
                <w:color w:val="000000"/>
                <w:szCs w:val="21"/>
              </w:rPr>
            </w:pPr>
            <w:r>
              <w:rPr>
                <w:rFonts w:hint="eastAsia" w:ascii="宋体" w:hAnsi="宋体" w:eastAsia="宋体" w:cs="宋体"/>
                <w:color w:val="000000"/>
                <w:szCs w:val="21"/>
              </w:rPr>
              <w:t>8</w:t>
            </w:r>
          </w:p>
        </w:tc>
      </w:tr>
      <w:tr w14:paraId="77AC2D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6B9D83BA">
            <w:pPr>
              <w:pStyle w:val="32"/>
              <w:spacing w:line="276" w:lineRule="auto"/>
              <w:ind w:firstLine="0" w:firstLineChars="0"/>
              <w:rPr>
                <w:rFonts w:hint="eastAsia" w:ascii="宋体" w:hAnsi="宋体" w:cs="宋体"/>
              </w:rPr>
            </w:pPr>
            <w:r>
              <w:rPr>
                <w:rFonts w:hint="eastAsia" w:ascii="宋体" w:hAnsi="宋体" w:cs="宋体"/>
              </w:rPr>
              <w:t>6</w:t>
            </w:r>
          </w:p>
        </w:tc>
        <w:tc>
          <w:tcPr>
            <w:tcW w:w="887" w:type="pct"/>
            <w:tcBorders>
              <w:tl2br w:val="nil"/>
              <w:tr2bl w:val="nil"/>
            </w:tcBorders>
            <w:vAlign w:val="center"/>
          </w:tcPr>
          <w:p w14:paraId="14D372E1">
            <w:pPr>
              <w:spacing w:line="276" w:lineRule="auto"/>
              <w:jc w:val="center"/>
              <w:rPr>
                <w:rFonts w:hint="eastAsia" w:ascii="宋体" w:hAnsi="宋体" w:eastAsia="宋体" w:cs="宋体"/>
                <w:szCs w:val="21"/>
              </w:rPr>
            </w:pPr>
            <w:r>
              <w:rPr>
                <w:rFonts w:hint="eastAsia" w:ascii="宋体" w:hAnsi="宋体" w:eastAsia="宋体" w:cs="宋体"/>
                <w:szCs w:val="21"/>
              </w:rPr>
              <w:t>拟安排的项目团队成员（项目负责人除外）情况</w:t>
            </w:r>
          </w:p>
        </w:tc>
        <w:tc>
          <w:tcPr>
            <w:tcW w:w="2718" w:type="pct"/>
            <w:tcBorders>
              <w:tl2br w:val="nil"/>
              <w:tr2bl w:val="nil"/>
            </w:tcBorders>
            <w:vAlign w:val="center"/>
          </w:tcPr>
          <w:p w14:paraId="0EEAE268">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63FC59E4">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拟安排项目团队：</w:t>
            </w:r>
          </w:p>
          <w:p w14:paraId="63115CD0">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1.每提供1名</w:t>
            </w:r>
            <w:r>
              <w:rPr>
                <w:rFonts w:hint="eastAsia" w:ascii="宋体" w:hAnsi="宋体" w:eastAsia="宋体" w:cs="宋体"/>
                <w:szCs w:val="21"/>
              </w:rPr>
              <w:t>网络安全</w:t>
            </w:r>
            <w:r>
              <w:rPr>
                <w:rFonts w:hint="eastAsia" w:ascii="宋体" w:hAnsi="宋体" w:eastAsia="宋体" w:cs="宋体"/>
                <w:szCs w:val="21"/>
                <w:lang w:val="zh-CN"/>
              </w:rPr>
              <w:t>初级测评师得</w:t>
            </w:r>
            <w:r>
              <w:rPr>
                <w:rFonts w:hint="eastAsia" w:ascii="宋体" w:hAnsi="宋体" w:eastAsia="宋体" w:cs="宋体"/>
                <w:szCs w:val="21"/>
              </w:rPr>
              <w:t>0.5</w:t>
            </w:r>
            <w:r>
              <w:rPr>
                <w:rFonts w:hint="eastAsia" w:ascii="宋体" w:hAnsi="宋体" w:eastAsia="宋体" w:cs="宋体"/>
                <w:szCs w:val="21"/>
                <w:lang w:val="zh-CN"/>
              </w:rPr>
              <w:t>分，1名</w:t>
            </w:r>
            <w:r>
              <w:rPr>
                <w:rFonts w:hint="eastAsia" w:ascii="宋体" w:hAnsi="宋体" w:eastAsia="宋体" w:cs="宋体"/>
                <w:szCs w:val="21"/>
              </w:rPr>
              <w:t>网络安全</w:t>
            </w:r>
            <w:r>
              <w:rPr>
                <w:rFonts w:hint="eastAsia" w:ascii="宋体" w:hAnsi="宋体" w:eastAsia="宋体" w:cs="宋体"/>
                <w:szCs w:val="21"/>
                <w:lang w:val="zh-CN"/>
              </w:rPr>
              <w:t>中级或以上测评师得</w:t>
            </w:r>
            <w:r>
              <w:rPr>
                <w:rFonts w:hint="eastAsia" w:ascii="宋体" w:hAnsi="宋体" w:eastAsia="宋体" w:cs="宋体"/>
                <w:szCs w:val="21"/>
              </w:rPr>
              <w:t>1</w:t>
            </w:r>
            <w:r>
              <w:rPr>
                <w:rFonts w:hint="eastAsia" w:ascii="宋体" w:hAnsi="宋体" w:eastAsia="宋体" w:cs="宋体"/>
                <w:szCs w:val="21"/>
                <w:lang w:val="zh-CN"/>
              </w:rPr>
              <w:t>分，本项最高得</w:t>
            </w:r>
            <w:r>
              <w:rPr>
                <w:rFonts w:hint="eastAsia" w:ascii="宋体" w:hAnsi="宋体" w:eastAsia="宋体" w:cs="宋体"/>
                <w:szCs w:val="21"/>
              </w:rPr>
              <w:t>5</w:t>
            </w:r>
            <w:r>
              <w:rPr>
                <w:rFonts w:hint="eastAsia" w:ascii="宋体" w:hAnsi="宋体" w:eastAsia="宋体" w:cs="宋体"/>
                <w:szCs w:val="21"/>
                <w:lang w:val="zh-CN"/>
              </w:rPr>
              <w:t>分。</w:t>
            </w:r>
          </w:p>
          <w:p w14:paraId="2C22815D">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2.具有</w:t>
            </w:r>
            <w:r>
              <w:rPr>
                <w:rFonts w:hint="eastAsia" w:ascii="宋体" w:hAnsi="宋体" w:cs="宋体"/>
                <w:szCs w:val="21"/>
                <w:lang w:val="en-US" w:eastAsia="zh-CN"/>
              </w:rPr>
              <w:t>工业和信息化部教育与考试中心颁发的密码安全技术管理师</w:t>
            </w:r>
            <w:r>
              <w:rPr>
                <w:rFonts w:hint="eastAsia" w:ascii="宋体" w:hAnsi="宋体" w:eastAsia="宋体" w:cs="宋体"/>
                <w:szCs w:val="21"/>
                <w:lang w:val="zh-CN"/>
              </w:rPr>
              <w:t>，每提供一名得</w:t>
            </w:r>
            <w:r>
              <w:rPr>
                <w:rFonts w:hint="eastAsia" w:ascii="宋体" w:hAnsi="宋体" w:eastAsia="宋体" w:cs="宋体"/>
                <w:szCs w:val="21"/>
              </w:rPr>
              <w:t>1.5</w:t>
            </w:r>
            <w:r>
              <w:rPr>
                <w:rFonts w:hint="eastAsia" w:ascii="宋体" w:hAnsi="宋体" w:eastAsia="宋体" w:cs="宋体"/>
                <w:szCs w:val="21"/>
                <w:lang w:val="zh-CN"/>
              </w:rPr>
              <w:t>分，本项最高得</w:t>
            </w:r>
            <w:r>
              <w:rPr>
                <w:rFonts w:hint="eastAsia" w:ascii="宋体" w:hAnsi="宋体" w:eastAsia="宋体" w:cs="宋体"/>
                <w:szCs w:val="21"/>
              </w:rPr>
              <w:t>3</w:t>
            </w:r>
            <w:r>
              <w:rPr>
                <w:rFonts w:hint="eastAsia" w:ascii="宋体" w:hAnsi="宋体" w:eastAsia="宋体" w:cs="宋体"/>
                <w:szCs w:val="21"/>
                <w:lang w:val="zh-CN"/>
              </w:rPr>
              <w:t>分。</w:t>
            </w:r>
          </w:p>
          <w:p w14:paraId="42C9928B">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3.具有</w:t>
            </w:r>
            <w:r>
              <w:rPr>
                <w:rFonts w:hint="eastAsia" w:ascii="宋体" w:hAnsi="宋体" w:cs="宋体"/>
                <w:szCs w:val="21"/>
                <w:lang w:val="en-US" w:eastAsia="zh-CN"/>
              </w:rPr>
              <w:t>DPO数据保护官</w:t>
            </w:r>
            <w:r>
              <w:rPr>
                <w:rFonts w:hint="eastAsia" w:ascii="宋体" w:hAnsi="宋体" w:eastAsia="宋体" w:cs="宋体"/>
                <w:szCs w:val="21"/>
                <w:lang w:val="zh-CN"/>
              </w:rPr>
              <w:t>，每提供一名得</w:t>
            </w:r>
            <w:r>
              <w:rPr>
                <w:rFonts w:hint="eastAsia" w:ascii="宋体" w:hAnsi="宋体" w:eastAsia="宋体" w:cs="宋体"/>
                <w:szCs w:val="21"/>
              </w:rPr>
              <w:t>3</w:t>
            </w:r>
            <w:r>
              <w:rPr>
                <w:rFonts w:hint="eastAsia" w:ascii="宋体" w:hAnsi="宋体" w:eastAsia="宋体" w:cs="宋体"/>
                <w:szCs w:val="21"/>
                <w:lang w:val="zh-CN"/>
              </w:rPr>
              <w:t>分，本项最高得</w:t>
            </w:r>
            <w:r>
              <w:rPr>
                <w:rFonts w:hint="eastAsia" w:ascii="宋体" w:hAnsi="宋体" w:eastAsia="宋体" w:cs="宋体"/>
                <w:szCs w:val="21"/>
              </w:rPr>
              <w:t>3</w:t>
            </w:r>
            <w:r>
              <w:rPr>
                <w:rFonts w:hint="eastAsia" w:ascii="宋体" w:hAnsi="宋体" w:eastAsia="宋体" w:cs="宋体"/>
                <w:szCs w:val="21"/>
                <w:lang w:val="zh-CN"/>
              </w:rPr>
              <w:t>分。</w:t>
            </w:r>
          </w:p>
          <w:p w14:paraId="4A07BC75">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4.具有</w:t>
            </w:r>
            <w:r>
              <w:rPr>
                <w:rFonts w:hint="eastAsia" w:ascii="宋体" w:hAnsi="宋体" w:cs="宋体"/>
                <w:szCs w:val="21"/>
              </w:rPr>
              <w:t>CISI注册信息安全讲师</w:t>
            </w:r>
            <w:r>
              <w:rPr>
                <w:rFonts w:hint="eastAsia" w:ascii="宋体" w:hAnsi="宋体" w:eastAsia="宋体" w:cs="宋体"/>
                <w:szCs w:val="21"/>
                <w:lang w:val="zh-CN"/>
              </w:rPr>
              <w:t>，每提供一名得</w:t>
            </w:r>
            <w:r>
              <w:rPr>
                <w:rFonts w:hint="eastAsia" w:ascii="宋体" w:hAnsi="宋体" w:eastAsia="宋体" w:cs="宋体"/>
                <w:szCs w:val="21"/>
              </w:rPr>
              <w:t>2</w:t>
            </w:r>
            <w:r>
              <w:rPr>
                <w:rFonts w:hint="eastAsia" w:ascii="宋体" w:hAnsi="宋体" w:eastAsia="宋体" w:cs="宋体"/>
                <w:szCs w:val="21"/>
                <w:lang w:val="zh-CN"/>
              </w:rPr>
              <w:t>分，本项最高得2分。</w:t>
            </w:r>
          </w:p>
          <w:p w14:paraId="25D5A5CE">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5.具备中国网络安全审查认证和市场监管大数据中心</w:t>
            </w:r>
            <w:r>
              <w:rPr>
                <w:rFonts w:hint="eastAsia" w:ascii="宋体" w:hAnsi="宋体" w:eastAsia="宋体" w:cs="宋体"/>
                <w:szCs w:val="21"/>
                <w:lang w:val="en-US" w:eastAsia="zh-CN"/>
              </w:rPr>
              <w:t>颁发的</w:t>
            </w:r>
            <w:r>
              <w:rPr>
                <w:rFonts w:hint="eastAsia" w:ascii="宋体" w:hAnsi="宋体" w:eastAsia="宋体" w:cs="宋体"/>
                <w:szCs w:val="21"/>
                <w:lang w:val="zh-CN"/>
              </w:rPr>
              <w:t>CCRC个人信息保护专业人员证书，每提供一名得</w:t>
            </w:r>
            <w:r>
              <w:rPr>
                <w:rFonts w:hint="eastAsia" w:ascii="宋体" w:hAnsi="宋体" w:eastAsia="宋体" w:cs="宋体"/>
                <w:szCs w:val="21"/>
              </w:rPr>
              <w:t>2</w:t>
            </w:r>
            <w:r>
              <w:rPr>
                <w:rFonts w:hint="eastAsia" w:ascii="宋体" w:hAnsi="宋体" w:eastAsia="宋体" w:cs="宋体"/>
                <w:szCs w:val="21"/>
                <w:lang w:val="zh-CN"/>
              </w:rPr>
              <w:t>分，本项最高得</w:t>
            </w:r>
            <w:r>
              <w:rPr>
                <w:rFonts w:hint="eastAsia" w:ascii="宋体" w:hAnsi="宋体" w:eastAsia="宋体" w:cs="宋体"/>
                <w:szCs w:val="21"/>
              </w:rPr>
              <w:t>2</w:t>
            </w:r>
            <w:r>
              <w:rPr>
                <w:rFonts w:hint="eastAsia" w:ascii="宋体" w:hAnsi="宋体" w:eastAsia="宋体" w:cs="宋体"/>
                <w:szCs w:val="21"/>
                <w:lang w:val="zh-CN"/>
              </w:rPr>
              <w:t>分。</w:t>
            </w:r>
          </w:p>
          <w:p w14:paraId="10468663">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以上合计最高1</w:t>
            </w:r>
            <w:r>
              <w:rPr>
                <w:rFonts w:hint="eastAsia" w:ascii="宋体" w:hAnsi="宋体" w:eastAsia="宋体" w:cs="宋体"/>
                <w:szCs w:val="21"/>
              </w:rPr>
              <w:t>5</w:t>
            </w:r>
            <w:r>
              <w:rPr>
                <w:rFonts w:hint="eastAsia" w:ascii="宋体" w:hAnsi="宋体" w:eastAsia="宋体" w:cs="宋体"/>
                <w:szCs w:val="21"/>
                <w:lang w:val="zh-CN"/>
              </w:rPr>
              <w:t>分，同一人拥有多个证书的，不可重复得分。</w:t>
            </w:r>
          </w:p>
          <w:p w14:paraId="7C9E406E">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5E1AAC34">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提供报价截止日当月（或前一个月）在本单位缴纳且载有社保部门（或税务部门）公章（或业务章）的社保缴交证明材料（如报价截止日当月或前一个月的社保材料因社保部门（或税务部门）原因暂时无法取得，则可以往前顺延一个月）；成立时间不满1个月的供应商需提供成立时间相关说明材料，并提供承诺函（格式自拟）承诺人员为供应商现有员工。</w:t>
            </w:r>
          </w:p>
          <w:p w14:paraId="404D24A0">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2.提供相关人员证书扫描件：</w:t>
            </w:r>
          </w:p>
          <w:p w14:paraId="6A82F0E1">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如证书颁发单位为相关行业协会（或学会）的，则需同时提供证书颁发单位在全国社会组织信用信息公示平台（https://xxgs.chinanpo.mca.gov.cn/gsxt/newList）的信息查询截图（截图需显示发证单位状态为“正常”）。</w:t>
            </w:r>
          </w:p>
          <w:p w14:paraId="3C5FD103">
            <w:pPr>
              <w:autoSpaceDE w:val="0"/>
              <w:autoSpaceDN w:val="0"/>
              <w:adjustRightInd w:val="0"/>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3.未按要求提供相关证明材料（或相关证明材料无法判断是否符合评分要求）的不计得分，原件备查</w:t>
            </w:r>
          </w:p>
        </w:tc>
        <w:tc>
          <w:tcPr>
            <w:tcW w:w="455" w:type="pct"/>
            <w:tcBorders>
              <w:tl2br w:val="nil"/>
              <w:tr2bl w:val="nil"/>
            </w:tcBorders>
            <w:vAlign w:val="center"/>
          </w:tcPr>
          <w:p w14:paraId="42E241CC">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15%</w:t>
            </w:r>
          </w:p>
        </w:tc>
        <w:tc>
          <w:tcPr>
            <w:tcW w:w="580" w:type="pct"/>
            <w:tcBorders>
              <w:tl2br w:val="nil"/>
              <w:tr2bl w:val="nil"/>
            </w:tcBorders>
            <w:vAlign w:val="center"/>
          </w:tcPr>
          <w:p w14:paraId="7D03038D">
            <w:pPr>
              <w:spacing w:line="276" w:lineRule="auto"/>
              <w:jc w:val="center"/>
              <w:rPr>
                <w:rFonts w:hint="eastAsia" w:ascii="宋体" w:hAnsi="宋体" w:eastAsia="宋体" w:cs="宋体"/>
                <w:color w:val="000000"/>
                <w:szCs w:val="21"/>
              </w:rPr>
            </w:pPr>
            <w:r>
              <w:rPr>
                <w:rFonts w:hint="eastAsia" w:ascii="宋体" w:hAnsi="宋体" w:eastAsia="宋体" w:cs="宋体"/>
                <w:color w:val="000000"/>
                <w:szCs w:val="21"/>
              </w:rPr>
              <w:t>15</w:t>
            </w:r>
          </w:p>
        </w:tc>
      </w:tr>
      <w:tr w14:paraId="479B83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59" w:type="pct"/>
            <w:tcBorders>
              <w:tl2br w:val="nil"/>
              <w:tr2bl w:val="nil"/>
            </w:tcBorders>
            <w:vAlign w:val="center"/>
          </w:tcPr>
          <w:p w14:paraId="235132B1">
            <w:pPr>
              <w:spacing w:line="276" w:lineRule="auto"/>
              <w:ind w:right="-73" w:rightChars="-35"/>
              <w:rPr>
                <w:rFonts w:hint="eastAsia" w:ascii="宋体" w:hAnsi="宋体" w:eastAsia="宋体" w:cs="宋体"/>
                <w:b/>
                <w:szCs w:val="21"/>
              </w:rPr>
            </w:pPr>
            <w:r>
              <w:rPr>
                <w:rFonts w:hint="eastAsia" w:ascii="宋体" w:hAnsi="宋体" w:eastAsia="宋体" w:cs="宋体"/>
                <w:b/>
                <w:szCs w:val="21"/>
              </w:rPr>
              <w:t>二</w:t>
            </w:r>
          </w:p>
        </w:tc>
        <w:tc>
          <w:tcPr>
            <w:tcW w:w="4640" w:type="pct"/>
            <w:gridSpan w:val="4"/>
            <w:tcBorders>
              <w:tl2br w:val="nil"/>
              <w:tr2bl w:val="nil"/>
            </w:tcBorders>
            <w:vAlign w:val="center"/>
          </w:tcPr>
          <w:p w14:paraId="7D12718F">
            <w:pPr>
              <w:spacing w:line="276" w:lineRule="auto"/>
              <w:ind w:left="-78" w:leftChars="-37" w:right="-73" w:rightChars="-35" w:firstLine="422"/>
              <w:jc w:val="center"/>
              <w:rPr>
                <w:rFonts w:hint="eastAsia" w:ascii="宋体" w:hAnsi="宋体" w:eastAsia="宋体" w:cs="宋体"/>
                <w:b/>
                <w:szCs w:val="21"/>
              </w:rPr>
            </w:pPr>
            <w:r>
              <w:rPr>
                <w:rFonts w:hint="eastAsia" w:ascii="宋体" w:hAnsi="宋体" w:eastAsia="宋体" w:cs="宋体"/>
                <w:b/>
                <w:szCs w:val="21"/>
              </w:rPr>
              <w:t>商务部分（25分）</w:t>
            </w:r>
          </w:p>
        </w:tc>
      </w:tr>
      <w:tr w14:paraId="1E24E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3403EB27">
            <w:pPr>
              <w:pStyle w:val="32"/>
              <w:spacing w:line="276" w:lineRule="auto"/>
              <w:ind w:firstLine="0" w:firstLineChars="0"/>
              <w:rPr>
                <w:rFonts w:hint="eastAsia" w:ascii="宋体" w:hAnsi="宋体" w:cs="宋体"/>
              </w:rPr>
            </w:pPr>
            <w:r>
              <w:rPr>
                <w:rFonts w:hint="eastAsia" w:ascii="宋体" w:hAnsi="宋体" w:cs="宋体"/>
              </w:rPr>
              <w:t>1</w:t>
            </w:r>
          </w:p>
        </w:tc>
        <w:tc>
          <w:tcPr>
            <w:tcW w:w="887" w:type="pct"/>
            <w:tcBorders>
              <w:tl2br w:val="nil"/>
              <w:tr2bl w:val="nil"/>
            </w:tcBorders>
            <w:vAlign w:val="center"/>
          </w:tcPr>
          <w:p w14:paraId="15610B8A">
            <w:pPr>
              <w:spacing w:line="276" w:lineRule="auto"/>
              <w:jc w:val="center"/>
              <w:rPr>
                <w:rFonts w:hint="eastAsia" w:ascii="宋体" w:hAnsi="宋体" w:eastAsia="宋体" w:cs="宋体"/>
                <w:szCs w:val="21"/>
              </w:rPr>
            </w:pPr>
            <w:r>
              <w:rPr>
                <w:rFonts w:hint="eastAsia" w:ascii="宋体" w:hAnsi="宋体" w:eastAsia="宋体" w:cs="宋体"/>
                <w:color w:val="000000"/>
                <w:szCs w:val="21"/>
              </w:rPr>
              <w:t>供应商通过相关认证情况</w:t>
            </w:r>
          </w:p>
        </w:tc>
        <w:tc>
          <w:tcPr>
            <w:tcW w:w="2718" w:type="pct"/>
            <w:tcBorders>
              <w:tl2br w:val="nil"/>
              <w:tr2bl w:val="nil"/>
            </w:tcBorders>
            <w:vAlign w:val="center"/>
          </w:tcPr>
          <w:p w14:paraId="470474D7">
            <w:pPr>
              <w:spacing w:line="276" w:lineRule="auto"/>
              <w:rPr>
                <w:rFonts w:hint="eastAsia" w:ascii="宋体" w:hAnsi="宋体" w:eastAsia="宋体" w:cs="宋体"/>
                <w:color w:val="000000"/>
                <w:szCs w:val="21"/>
              </w:rPr>
            </w:pPr>
            <w:r>
              <w:rPr>
                <w:rFonts w:hint="eastAsia" w:ascii="宋体" w:hAnsi="宋体" w:eastAsia="宋体" w:cs="宋体"/>
                <w:color w:val="000000"/>
                <w:szCs w:val="21"/>
              </w:rPr>
              <w:t>（一）评审内容：</w:t>
            </w:r>
          </w:p>
          <w:p w14:paraId="423F41D6">
            <w:pPr>
              <w:spacing w:line="276" w:lineRule="auto"/>
              <w:rPr>
                <w:rFonts w:hint="eastAsia" w:ascii="宋体" w:hAnsi="宋体" w:eastAsia="宋体" w:cs="宋体"/>
                <w:color w:val="000000"/>
                <w:szCs w:val="21"/>
              </w:rPr>
            </w:pPr>
            <w:r>
              <w:rPr>
                <w:rFonts w:hint="eastAsia" w:ascii="宋体" w:hAnsi="宋体" w:eastAsia="宋体" w:cs="宋体"/>
                <w:color w:val="000000"/>
                <w:szCs w:val="21"/>
              </w:rPr>
              <w:t>1.供应商具备</w:t>
            </w:r>
            <w:r>
              <w:rPr>
                <w:rFonts w:hint="eastAsia" w:ascii="宋体" w:hAnsi="宋体" w:cs="宋体"/>
                <w:szCs w:val="21"/>
              </w:rPr>
              <w:t>中国网络安全审查认证和市场监管大数据中心</w:t>
            </w:r>
            <w:r>
              <w:rPr>
                <w:rFonts w:hint="eastAsia" w:ascii="宋体" w:hAnsi="宋体" w:cs="宋体"/>
                <w:szCs w:val="21"/>
                <w:lang w:val="en-US" w:eastAsia="zh-CN"/>
              </w:rPr>
              <w:t>颁发的</w:t>
            </w:r>
            <w:r>
              <w:rPr>
                <w:rFonts w:hint="eastAsia" w:ascii="宋体" w:hAnsi="宋体" w:cs="宋体"/>
                <w:szCs w:val="21"/>
              </w:rPr>
              <w:t>“</w:t>
            </w:r>
            <w:r>
              <w:rPr>
                <w:rFonts w:hint="eastAsia" w:ascii="宋体" w:hAnsi="宋体" w:cs="宋体"/>
                <w:szCs w:val="21"/>
                <w:lang w:val="en-US" w:eastAsia="zh-CN"/>
              </w:rPr>
              <w:t>网络安全审计服务</w:t>
            </w:r>
            <w:r>
              <w:rPr>
                <w:rFonts w:hint="eastAsia" w:ascii="宋体" w:hAnsi="宋体" w:cs="宋体"/>
                <w:szCs w:val="21"/>
              </w:rPr>
              <w:t>资质”</w:t>
            </w:r>
            <w:r>
              <w:rPr>
                <w:rFonts w:hint="eastAsia" w:ascii="宋体" w:hAnsi="宋体" w:eastAsia="宋体" w:cs="宋体"/>
                <w:color w:val="000000"/>
                <w:szCs w:val="21"/>
                <w:lang w:eastAsia="zh-CN"/>
              </w:rPr>
              <w:t>，</w:t>
            </w:r>
            <w:r>
              <w:rPr>
                <w:rFonts w:hint="eastAsia" w:ascii="宋体" w:hAnsi="宋体" w:eastAsia="宋体" w:cs="宋体"/>
                <w:color w:val="000000"/>
                <w:szCs w:val="21"/>
              </w:rPr>
              <w:t>得2分；</w:t>
            </w:r>
          </w:p>
          <w:p w14:paraId="0FCD9566">
            <w:pPr>
              <w:spacing w:line="276"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2.</w:t>
            </w:r>
            <w:r>
              <w:rPr>
                <w:rFonts w:hint="eastAsia" w:ascii="宋体" w:hAnsi="宋体" w:eastAsia="宋体" w:cs="宋体"/>
                <w:color w:val="000000"/>
                <w:szCs w:val="21"/>
              </w:rPr>
              <w:t>具有</w:t>
            </w:r>
            <w:r>
              <w:rPr>
                <w:rFonts w:hint="eastAsia" w:ascii="宋体" w:hAnsi="宋体" w:cs="宋体"/>
                <w:szCs w:val="21"/>
              </w:rPr>
              <w:t>中国网络安全审查认证和市场监管大数据中心</w:t>
            </w:r>
            <w:r>
              <w:rPr>
                <w:rFonts w:hint="eastAsia" w:ascii="宋体" w:hAnsi="宋体" w:cs="宋体"/>
                <w:szCs w:val="21"/>
                <w:lang w:val="en-US" w:eastAsia="zh-CN"/>
              </w:rPr>
              <w:t>颁发的</w:t>
            </w:r>
            <w:r>
              <w:rPr>
                <w:rFonts w:hint="eastAsia" w:ascii="宋体" w:hAnsi="宋体"/>
                <w:szCs w:val="21"/>
                <w:lang w:val="en-US" w:eastAsia="zh-CN"/>
              </w:rPr>
              <w:t>“个人信息保护合规审计服务认证证书</w:t>
            </w:r>
            <w:r>
              <w:rPr>
                <w:rFonts w:hint="eastAsia" w:ascii="宋体" w:hAnsi="宋体"/>
                <w:szCs w:val="21"/>
              </w:rPr>
              <w:t>”</w:t>
            </w:r>
            <w:r>
              <w:rPr>
                <w:rFonts w:hint="eastAsia" w:ascii="宋体" w:hAnsi="宋体" w:eastAsia="宋体" w:cs="宋体"/>
                <w:color w:val="000000"/>
                <w:szCs w:val="21"/>
                <w:lang w:eastAsia="zh-CN"/>
              </w:rPr>
              <w:t>，</w:t>
            </w:r>
            <w:r>
              <w:rPr>
                <w:rFonts w:hint="eastAsia" w:ascii="宋体" w:hAnsi="宋体" w:eastAsia="宋体" w:cs="宋体"/>
                <w:color w:val="000000"/>
                <w:szCs w:val="21"/>
              </w:rPr>
              <w:t>得1分；</w:t>
            </w:r>
          </w:p>
          <w:p w14:paraId="5CE917AF">
            <w:pPr>
              <w:spacing w:line="276"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3</w:t>
            </w:r>
            <w:r>
              <w:rPr>
                <w:rFonts w:hint="eastAsia" w:ascii="宋体" w:hAnsi="宋体" w:eastAsia="宋体" w:cs="宋体"/>
                <w:color w:val="000000"/>
                <w:szCs w:val="21"/>
              </w:rPr>
              <w:t>.供应商具有</w:t>
            </w:r>
            <w:r>
              <w:rPr>
                <w:rFonts w:hint="eastAsia" w:ascii="宋体" w:hAnsi="宋体"/>
                <w:szCs w:val="21"/>
              </w:rPr>
              <w:t>具</w:t>
            </w:r>
            <w:r>
              <w:rPr>
                <w:rFonts w:hint="eastAsia" w:ascii="宋体" w:hAnsi="宋体"/>
                <w:szCs w:val="21"/>
                <w:lang w:val="en-US" w:eastAsia="zh-CN"/>
              </w:rPr>
              <w:t>有</w:t>
            </w:r>
            <w:r>
              <w:rPr>
                <w:rFonts w:hint="eastAsia" w:ascii="宋体" w:hAnsi="宋体"/>
                <w:szCs w:val="21"/>
              </w:rPr>
              <w:t>“</w:t>
            </w:r>
            <w:r>
              <w:rPr>
                <w:rFonts w:hint="eastAsia" w:ascii="宋体" w:hAnsi="宋体"/>
                <w:szCs w:val="21"/>
                <w:lang w:val="en-US" w:eastAsia="zh-CN"/>
              </w:rPr>
              <w:t>数据安全服务能力评定资格证书-数据安全评估</w:t>
            </w:r>
            <w:r>
              <w:rPr>
                <w:rFonts w:hint="eastAsia" w:ascii="宋体" w:hAnsi="宋体"/>
                <w:szCs w:val="21"/>
              </w:rPr>
              <w:t>”</w:t>
            </w:r>
            <w:r>
              <w:rPr>
                <w:rFonts w:hint="eastAsia" w:ascii="宋体" w:hAnsi="宋体" w:eastAsia="宋体" w:cs="宋体"/>
                <w:color w:val="000000"/>
                <w:szCs w:val="21"/>
                <w:lang w:eastAsia="zh-CN"/>
              </w:rPr>
              <w:t>，</w:t>
            </w:r>
            <w:r>
              <w:rPr>
                <w:rFonts w:hint="eastAsia" w:ascii="宋体" w:hAnsi="宋体" w:eastAsia="宋体" w:cs="宋体"/>
                <w:color w:val="000000"/>
                <w:szCs w:val="21"/>
              </w:rPr>
              <w:t>得1分；</w:t>
            </w:r>
          </w:p>
          <w:p w14:paraId="0B194299">
            <w:pPr>
              <w:spacing w:line="276"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w:t>
            </w:r>
            <w:r>
              <w:rPr>
                <w:rFonts w:hint="eastAsia" w:ascii="宋体" w:hAnsi="宋体" w:eastAsia="宋体" w:cs="宋体"/>
                <w:color w:val="000000"/>
                <w:szCs w:val="21"/>
              </w:rPr>
              <w:t>供应商具有知识产权管理体系认证证书得1分；</w:t>
            </w:r>
          </w:p>
          <w:p w14:paraId="7AADE12E">
            <w:pPr>
              <w:spacing w:line="276" w:lineRule="auto"/>
              <w:rPr>
                <w:rFonts w:hint="eastAsia" w:ascii="宋体" w:hAnsi="宋体" w:eastAsia="宋体" w:cs="宋体"/>
                <w:color w:val="000000"/>
                <w:szCs w:val="21"/>
              </w:rPr>
            </w:pPr>
            <w:r>
              <w:rPr>
                <w:rFonts w:hint="eastAsia" w:ascii="宋体" w:hAnsi="宋体" w:eastAsia="宋体" w:cs="宋体"/>
                <w:color w:val="000000"/>
                <w:szCs w:val="21"/>
              </w:rPr>
              <w:t>（二）评分依据：</w:t>
            </w:r>
          </w:p>
          <w:p w14:paraId="7BA49F83">
            <w:pPr>
              <w:spacing w:line="276" w:lineRule="auto"/>
              <w:rPr>
                <w:rFonts w:hint="eastAsia" w:ascii="宋体" w:hAnsi="宋体" w:eastAsia="宋体" w:cs="宋体"/>
                <w:color w:val="000000"/>
                <w:szCs w:val="21"/>
              </w:rPr>
            </w:pPr>
            <w:r>
              <w:rPr>
                <w:rFonts w:hint="eastAsia" w:ascii="宋体" w:hAnsi="宋体" w:eastAsia="宋体" w:cs="宋体"/>
                <w:color w:val="000000"/>
                <w:szCs w:val="21"/>
              </w:rPr>
              <w:t>1、提供相关认证机构颁发的有效期内的认证证书扫描件及认证信息查询截图（截图需显示证书状态为有效）。</w:t>
            </w:r>
          </w:p>
          <w:p w14:paraId="758863E4">
            <w:pPr>
              <w:spacing w:line="276" w:lineRule="auto"/>
              <w:rPr>
                <w:rFonts w:hint="eastAsia" w:ascii="宋体" w:hAnsi="宋体" w:eastAsia="宋体" w:cs="宋体"/>
                <w:color w:val="000000"/>
                <w:szCs w:val="21"/>
              </w:rPr>
            </w:pPr>
            <w:r>
              <w:rPr>
                <w:rFonts w:hint="eastAsia" w:ascii="宋体" w:hAnsi="宋体" w:eastAsia="宋体" w:cs="宋体"/>
                <w:color w:val="000000"/>
                <w:szCs w:val="21"/>
              </w:rPr>
              <w:t>说明：①证书与查询信息截图必须同时提供，缺一不可。未同时提供的不得分，后果由供应商自行承担。②供应商应确保认证证书在报价截止当天仍处于有效状态，并对所提供的证书及查询截图的真实性负责，如出现与事实不符的情形，视同隐瞒真实情况，提供虚假资料，将依法承担相应的法律责任。③质疑投诉处理中对证书是否有效的认定，以国家认监委网站【全国认证认可信息公共服务平台（//cx.cnca.cn）】查询结果为准。</w:t>
            </w:r>
          </w:p>
          <w:p w14:paraId="0C6D130C">
            <w:pPr>
              <w:spacing w:line="276" w:lineRule="auto"/>
              <w:rPr>
                <w:rFonts w:hint="eastAsia" w:ascii="宋体" w:hAnsi="宋体" w:eastAsia="宋体" w:cs="宋体"/>
                <w:color w:val="000000"/>
                <w:szCs w:val="21"/>
              </w:rPr>
            </w:pPr>
            <w:r>
              <w:rPr>
                <w:rFonts w:hint="eastAsia" w:ascii="宋体" w:hAnsi="宋体" w:eastAsia="宋体" w:cs="宋体"/>
                <w:color w:val="000000"/>
                <w:szCs w:val="21"/>
              </w:rPr>
              <w:t>2、未按要求提供相关证明材料（或相关证明材料无法判断是否符合评分要求）的不计得分，原件备查。</w:t>
            </w:r>
          </w:p>
        </w:tc>
        <w:tc>
          <w:tcPr>
            <w:tcW w:w="455" w:type="pct"/>
            <w:tcBorders>
              <w:tl2br w:val="nil"/>
              <w:tr2bl w:val="nil"/>
            </w:tcBorders>
            <w:vAlign w:val="center"/>
          </w:tcPr>
          <w:p w14:paraId="4F807884">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w:t>
            </w:r>
          </w:p>
        </w:tc>
        <w:tc>
          <w:tcPr>
            <w:tcW w:w="580" w:type="pct"/>
            <w:tcBorders>
              <w:tl2br w:val="nil"/>
              <w:tr2bl w:val="nil"/>
            </w:tcBorders>
            <w:vAlign w:val="center"/>
          </w:tcPr>
          <w:p w14:paraId="0E9C52E5">
            <w:pPr>
              <w:spacing w:line="276" w:lineRule="auto"/>
              <w:jc w:val="center"/>
              <w:rPr>
                <w:rFonts w:hint="eastAsia" w:ascii="宋体" w:hAnsi="宋体" w:eastAsia="宋体" w:cs="宋体"/>
                <w:szCs w:val="21"/>
              </w:rPr>
            </w:pPr>
            <w:r>
              <w:rPr>
                <w:rFonts w:hint="eastAsia" w:ascii="宋体" w:hAnsi="宋体" w:eastAsia="宋体" w:cs="宋体"/>
                <w:color w:val="000000"/>
                <w:szCs w:val="21"/>
              </w:rPr>
              <w:t>5分</w:t>
            </w:r>
          </w:p>
        </w:tc>
      </w:tr>
      <w:tr w14:paraId="4E8C2A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08C25DA3">
            <w:pPr>
              <w:pStyle w:val="32"/>
              <w:spacing w:line="276" w:lineRule="auto"/>
              <w:ind w:firstLine="0" w:firstLineChars="0"/>
              <w:rPr>
                <w:rFonts w:hint="eastAsia" w:ascii="宋体" w:hAnsi="宋体" w:cs="宋体"/>
              </w:rPr>
            </w:pPr>
            <w:r>
              <w:rPr>
                <w:rFonts w:hint="eastAsia" w:ascii="宋体" w:hAnsi="宋体" w:cs="宋体"/>
              </w:rPr>
              <w:t>2</w:t>
            </w:r>
          </w:p>
        </w:tc>
        <w:tc>
          <w:tcPr>
            <w:tcW w:w="887" w:type="pct"/>
            <w:tcBorders>
              <w:tl2br w:val="nil"/>
              <w:tr2bl w:val="nil"/>
            </w:tcBorders>
            <w:vAlign w:val="center"/>
          </w:tcPr>
          <w:p w14:paraId="238EE87E">
            <w:pPr>
              <w:spacing w:line="276" w:lineRule="auto"/>
              <w:jc w:val="center"/>
              <w:rPr>
                <w:rFonts w:hint="eastAsia" w:ascii="宋体" w:hAnsi="宋体" w:eastAsia="宋体" w:cs="宋体"/>
                <w:szCs w:val="21"/>
              </w:rPr>
            </w:pPr>
            <w:r>
              <w:rPr>
                <w:rFonts w:hint="eastAsia" w:ascii="宋体" w:hAnsi="宋体" w:eastAsia="宋体" w:cs="宋体"/>
                <w:szCs w:val="21"/>
              </w:rPr>
              <w:t>同类项目业绩</w:t>
            </w:r>
          </w:p>
        </w:tc>
        <w:tc>
          <w:tcPr>
            <w:tcW w:w="2718" w:type="pct"/>
            <w:tcBorders>
              <w:tl2br w:val="nil"/>
              <w:tr2bl w:val="nil"/>
            </w:tcBorders>
            <w:vAlign w:val="center"/>
          </w:tcPr>
          <w:p w14:paraId="3C79FF0B">
            <w:pPr>
              <w:pStyle w:val="8"/>
              <w:spacing w:line="276" w:lineRule="auto"/>
              <w:rPr>
                <w:rFonts w:hint="eastAsia" w:ascii="宋体" w:hAnsi="宋体" w:cs="宋体"/>
                <w:sz w:val="21"/>
                <w:szCs w:val="21"/>
                <w:lang w:val="zh-CN"/>
              </w:rPr>
            </w:pPr>
            <w:r>
              <w:rPr>
                <w:rFonts w:hint="eastAsia" w:ascii="宋体" w:hAnsi="宋体" w:cs="宋体"/>
                <w:sz w:val="21"/>
                <w:szCs w:val="21"/>
                <w:lang w:val="zh-CN"/>
              </w:rPr>
              <w:t>（一）评审内容：</w:t>
            </w:r>
          </w:p>
          <w:p w14:paraId="2F3A1799">
            <w:pPr>
              <w:pStyle w:val="8"/>
              <w:spacing w:line="276" w:lineRule="auto"/>
              <w:rPr>
                <w:rFonts w:hint="eastAsia" w:ascii="宋体" w:hAnsi="宋体" w:cs="宋体"/>
                <w:sz w:val="21"/>
                <w:szCs w:val="21"/>
                <w:lang w:val="zh-CN"/>
              </w:rPr>
            </w:pPr>
            <w:r>
              <w:rPr>
                <w:rFonts w:hint="eastAsia" w:ascii="宋体" w:hAnsi="宋体" w:cs="宋体"/>
                <w:sz w:val="21"/>
                <w:szCs w:val="21"/>
                <w:lang w:val="zh-CN"/>
              </w:rPr>
              <w:t>2023年1月1日至本项目报价截止时间，以合同签订日期为准：</w:t>
            </w:r>
          </w:p>
          <w:p w14:paraId="62A810D0">
            <w:pPr>
              <w:pStyle w:val="8"/>
              <w:spacing w:line="276" w:lineRule="auto"/>
              <w:rPr>
                <w:rFonts w:hint="eastAsia" w:ascii="宋体" w:hAnsi="宋体" w:cs="宋体"/>
                <w:sz w:val="21"/>
                <w:szCs w:val="21"/>
                <w:lang w:val="zh-CN"/>
              </w:rPr>
            </w:pPr>
            <w:r>
              <w:rPr>
                <w:rFonts w:hint="eastAsia" w:ascii="宋体" w:hAnsi="宋体" w:cs="宋体"/>
                <w:sz w:val="21"/>
                <w:szCs w:val="21"/>
                <w:lang w:val="zh-CN"/>
              </w:rPr>
              <w:t>供应商实施过的等保测评服务项目（合同内容中包含等保测评服务的项目），每提供一个等保测评服务合同得分</w:t>
            </w:r>
            <w:r>
              <w:rPr>
                <w:rFonts w:hint="eastAsia" w:ascii="宋体" w:hAnsi="宋体" w:cs="宋体"/>
                <w:sz w:val="21"/>
                <w:szCs w:val="21"/>
              </w:rPr>
              <w:t>1</w:t>
            </w:r>
            <w:r>
              <w:rPr>
                <w:rFonts w:hint="eastAsia" w:ascii="宋体" w:hAnsi="宋体" w:cs="宋体"/>
                <w:sz w:val="21"/>
                <w:szCs w:val="21"/>
                <w:lang w:val="zh-CN"/>
              </w:rPr>
              <w:t>分，最高得</w:t>
            </w:r>
            <w:r>
              <w:rPr>
                <w:rFonts w:hint="eastAsia" w:ascii="宋体" w:hAnsi="宋体" w:cs="宋体"/>
                <w:sz w:val="21"/>
                <w:szCs w:val="21"/>
              </w:rPr>
              <w:t>5</w:t>
            </w:r>
            <w:r>
              <w:rPr>
                <w:rFonts w:hint="eastAsia" w:ascii="宋体" w:hAnsi="宋体" w:cs="宋体"/>
                <w:sz w:val="21"/>
                <w:szCs w:val="21"/>
                <w:lang w:val="zh-CN"/>
              </w:rPr>
              <w:t>分。</w:t>
            </w:r>
          </w:p>
          <w:p w14:paraId="6499D94C">
            <w:pPr>
              <w:pStyle w:val="8"/>
              <w:spacing w:line="276" w:lineRule="auto"/>
              <w:rPr>
                <w:rFonts w:hint="eastAsia" w:ascii="宋体" w:hAnsi="宋体" w:cs="宋体"/>
                <w:sz w:val="21"/>
                <w:szCs w:val="21"/>
                <w:lang w:val="zh-CN"/>
              </w:rPr>
            </w:pPr>
            <w:r>
              <w:rPr>
                <w:rFonts w:hint="eastAsia" w:ascii="宋体" w:hAnsi="宋体" w:cs="宋体"/>
                <w:sz w:val="21"/>
                <w:szCs w:val="21"/>
                <w:lang w:val="zh-CN"/>
              </w:rPr>
              <w:t>（二）评分依据：</w:t>
            </w:r>
          </w:p>
          <w:p w14:paraId="7D321B5D">
            <w:pPr>
              <w:pStyle w:val="8"/>
              <w:spacing w:line="276" w:lineRule="auto"/>
              <w:rPr>
                <w:rFonts w:hint="eastAsia" w:ascii="宋体" w:hAnsi="宋体" w:cs="宋体"/>
                <w:sz w:val="21"/>
                <w:szCs w:val="21"/>
                <w:lang w:val="zh-CN"/>
              </w:rPr>
            </w:pPr>
            <w:r>
              <w:rPr>
                <w:rFonts w:hint="eastAsia" w:ascii="宋体" w:hAnsi="宋体" w:cs="宋体"/>
                <w:sz w:val="21"/>
                <w:szCs w:val="21"/>
                <w:lang w:val="zh-CN"/>
              </w:rPr>
              <w:t>1、供应商需要提供合同的关键页面（含签订合同双方的单位名称、合同项目名称、项目金额与含签订合同双方的落款盖章、签订日期的关键页）。</w:t>
            </w:r>
          </w:p>
          <w:p w14:paraId="0650A810">
            <w:pPr>
              <w:pStyle w:val="8"/>
              <w:spacing w:after="0" w:line="276" w:lineRule="auto"/>
              <w:rPr>
                <w:rFonts w:hint="eastAsia" w:ascii="宋体" w:hAnsi="宋体" w:cs="宋体"/>
                <w:sz w:val="21"/>
                <w:szCs w:val="21"/>
                <w:lang w:val="zh-CN"/>
              </w:rPr>
            </w:pPr>
            <w:r>
              <w:rPr>
                <w:rFonts w:hint="eastAsia" w:ascii="宋体" w:hAnsi="宋体" w:cs="宋体"/>
                <w:sz w:val="21"/>
                <w:szCs w:val="21"/>
                <w:lang w:val="zh-CN"/>
              </w:rPr>
              <w:t>2、未按要求提供相关证明材料（或相关证明材料无法判断是否符合评分要求）的不计得分，原件备查。</w:t>
            </w:r>
          </w:p>
        </w:tc>
        <w:tc>
          <w:tcPr>
            <w:tcW w:w="455" w:type="pct"/>
            <w:tcBorders>
              <w:tl2br w:val="nil"/>
              <w:tr2bl w:val="nil"/>
            </w:tcBorders>
            <w:vAlign w:val="center"/>
          </w:tcPr>
          <w:p w14:paraId="5F4C293B">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w:t>
            </w:r>
          </w:p>
        </w:tc>
        <w:tc>
          <w:tcPr>
            <w:tcW w:w="580" w:type="pct"/>
            <w:tcBorders>
              <w:tl2br w:val="nil"/>
              <w:tr2bl w:val="nil"/>
            </w:tcBorders>
            <w:vAlign w:val="center"/>
          </w:tcPr>
          <w:p w14:paraId="07D697DA">
            <w:pPr>
              <w:spacing w:line="276" w:lineRule="auto"/>
              <w:jc w:val="center"/>
              <w:rPr>
                <w:rFonts w:hint="eastAsia" w:ascii="宋体" w:hAnsi="宋体" w:eastAsia="宋体" w:cs="宋体"/>
                <w:szCs w:val="21"/>
              </w:rPr>
            </w:pPr>
            <w:r>
              <w:rPr>
                <w:rFonts w:hint="eastAsia" w:ascii="宋体" w:hAnsi="宋体" w:eastAsia="宋体" w:cs="宋体"/>
                <w:color w:val="000000"/>
                <w:szCs w:val="21"/>
              </w:rPr>
              <w:t>5分</w:t>
            </w:r>
          </w:p>
        </w:tc>
      </w:tr>
      <w:tr w14:paraId="5DC5E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7242E789">
            <w:pPr>
              <w:pStyle w:val="32"/>
              <w:spacing w:line="276" w:lineRule="auto"/>
              <w:ind w:firstLine="0" w:firstLineChars="0"/>
              <w:rPr>
                <w:rFonts w:hint="eastAsia" w:ascii="宋体" w:hAnsi="宋体" w:cs="宋体"/>
              </w:rPr>
            </w:pPr>
            <w:r>
              <w:rPr>
                <w:rFonts w:hint="eastAsia" w:ascii="宋体" w:hAnsi="宋体" w:cs="宋体"/>
              </w:rPr>
              <w:t>3</w:t>
            </w:r>
          </w:p>
        </w:tc>
        <w:tc>
          <w:tcPr>
            <w:tcW w:w="887" w:type="pct"/>
            <w:tcBorders>
              <w:tl2br w:val="nil"/>
              <w:tr2bl w:val="nil"/>
            </w:tcBorders>
            <w:vAlign w:val="center"/>
          </w:tcPr>
          <w:p w14:paraId="0BB96F3B">
            <w:pPr>
              <w:spacing w:line="276" w:lineRule="auto"/>
              <w:jc w:val="center"/>
              <w:rPr>
                <w:rFonts w:hint="eastAsia" w:ascii="宋体" w:hAnsi="宋体" w:eastAsia="宋体" w:cs="宋体"/>
                <w:szCs w:val="21"/>
              </w:rPr>
            </w:pPr>
            <w:r>
              <w:rPr>
                <w:rFonts w:hint="eastAsia" w:ascii="宋体" w:hAnsi="宋体" w:eastAsia="宋体" w:cs="宋体"/>
                <w:szCs w:val="21"/>
              </w:rPr>
              <w:t>供应商获奖情况</w:t>
            </w:r>
          </w:p>
        </w:tc>
        <w:tc>
          <w:tcPr>
            <w:tcW w:w="2718" w:type="pct"/>
            <w:tcBorders>
              <w:tl2br w:val="nil"/>
              <w:tr2bl w:val="nil"/>
            </w:tcBorders>
          </w:tcPr>
          <w:p w14:paraId="63ECD2AB">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（一）评审内容：</w:t>
            </w:r>
          </w:p>
          <w:p w14:paraId="0F5AD8B8">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供应商在承接的检测项目工作或行业标准制定（含应用）或相关技术平台中，获得过政府部门颁发的荣誉的：</w:t>
            </w:r>
          </w:p>
          <w:p w14:paraId="2B38C238">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1.每提供一个国家级的，得2分；</w:t>
            </w:r>
          </w:p>
          <w:p w14:paraId="3B7F9ABD">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2.每提供一个省级（含副省级）的，得1.5分，此小项最高得3分；</w:t>
            </w:r>
          </w:p>
          <w:p w14:paraId="29600793">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以上1-2项合计最高得5分，同一项目同时获得两次奖项的，以最高级别奖项计分。</w:t>
            </w:r>
          </w:p>
          <w:p w14:paraId="640F4DBE">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3A266CD5">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1.要求提供奖项照片或获奖（荣誉）证书等证明材料作为得分依据。</w:t>
            </w:r>
          </w:p>
          <w:p w14:paraId="6F29F60D">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2.未按要求提供相关证明材料（或相关证明材料无法判断是否符合评分要求）的不计得分，原件备查。</w:t>
            </w:r>
          </w:p>
          <w:p w14:paraId="37D14649">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注：①国家级荣誉要求颁发单位为国务院及其直属的国家机关（或事业单位）；②省级（含副省级）荣誉要求颁发单位为省政府（含副省级政府）及其直属的国家机关（或事业单位）；市级荣誉要求颁发单位为市政府及其直属的国家机关（或事业单位）。</w:t>
            </w:r>
          </w:p>
        </w:tc>
        <w:tc>
          <w:tcPr>
            <w:tcW w:w="455" w:type="pct"/>
            <w:tcBorders>
              <w:tl2br w:val="nil"/>
              <w:tr2bl w:val="nil"/>
            </w:tcBorders>
            <w:vAlign w:val="center"/>
          </w:tcPr>
          <w:p w14:paraId="72823835">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w:t>
            </w:r>
          </w:p>
        </w:tc>
        <w:tc>
          <w:tcPr>
            <w:tcW w:w="580" w:type="pct"/>
            <w:tcBorders>
              <w:tl2br w:val="nil"/>
              <w:tr2bl w:val="nil"/>
            </w:tcBorders>
            <w:vAlign w:val="center"/>
          </w:tcPr>
          <w:p w14:paraId="08B3335B">
            <w:pPr>
              <w:spacing w:line="276" w:lineRule="auto"/>
              <w:jc w:val="center"/>
              <w:rPr>
                <w:rFonts w:hint="eastAsia" w:ascii="宋体" w:hAnsi="宋体" w:eastAsia="宋体" w:cs="宋体"/>
                <w:szCs w:val="21"/>
              </w:rPr>
            </w:pPr>
            <w:r>
              <w:rPr>
                <w:rFonts w:hint="eastAsia" w:ascii="宋体" w:hAnsi="宋体" w:eastAsia="宋体" w:cs="宋体"/>
                <w:szCs w:val="21"/>
              </w:rPr>
              <w:t>5分</w:t>
            </w:r>
          </w:p>
        </w:tc>
      </w:tr>
      <w:tr w14:paraId="57AD8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0BFB94FF">
            <w:pPr>
              <w:pStyle w:val="32"/>
              <w:spacing w:line="276" w:lineRule="auto"/>
              <w:ind w:firstLine="0" w:firstLineChars="0"/>
              <w:rPr>
                <w:rFonts w:hint="eastAsia" w:ascii="宋体" w:hAnsi="宋体" w:cs="宋体"/>
              </w:rPr>
            </w:pPr>
            <w:r>
              <w:rPr>
                <w:rFonts w:hint="eastAsia" w:ascii="宋体" w:hAnsi="宋体" w:cs="宋体"/>
              </w:rPr>
              <w:t>4</w:t>
            </w:r>
          </w:p>
        </w:tc>
        <w:tc>
          <w:tcPr>
            <w:tcW w:w="887" w:type="pct"/>
            <w:tcBorders>
              <w:tl2br w:val="nil"/>
              <w:tr2bl w:val="nil"/>
            </w:tcBorders>
            <w:vAlign w:val="center"/>
          </w:tcPr>
          <w:p w14:paraId="4D8FA712">
            <w:pPr>
              <w:spacing w:line="276" w:lineRule="auto"/>
              <w:jc w:val="center"/>
              <w:rPr>
                <w:rFonts w:hint="eastAsia" w:ascii="宋体" w:hAnsi="宋体" w:eastAsia="宋体" w:cs="宋体"/>
                <w:szCs w:val="21"/>
              </w:rPr>
            </w:pPr>
            <w:r>
              <w:rPr>
                <w:rFonts w:hint="eastAsia" w:ascii="宋体" w:hAnsi="宋体" w:eastAsia="宋体" w:cs="宋体"/>
                <w:szCs w:val="21"/>
              </w:rPr>
              <w:t>拟投入的服务资源（工具、机器等）情况</w:t>
            </w:r>
          </w:p>
        </w:tc>
        <w:tc>
          <w:tcPr>
            <w:tcW w:w="2718" w:type="pct"/>
            <w:tcBorders>
              <w:tl2br w:val="nil"/>
              <w:tr2bl w:val="nil"/>
            </w:tcBorders>
          </w:tcPr>
          <w:p w14:paraId="1B092C5E">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（一）评</w:t>
            </w:r>
            <w:r>
              <w:rPr>
                <w:rFonts w:hint="eastAsia" w:ascii="宋体" w:hAnsi="宋体" w:eastAsia="宋体" w:cs="宋体"/>
                <w:szCs w:val="21"/>
              </w:rPr>
              <w:t>审</w:t>
            </w:r>
            <w:r>
              <w:rPr>
                <w:rFonts w:hint="eastAsia" w:ascii="宋体" w:hAnsi="宋体" w:eastAsia="宋体" w:cs="宋体"/>
                <w:szCs w:val="21"/>
                <w:lang w:val="zh-CN"/>
              </w:rPr>
              <w:t>内容：</w:t>
            </w:r>
          </w:p>
          <w:p w14:paraId="49F7C8EC">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供应商具有：</w:t>
            </w:r>
          </w:p>
          <w:p w14:paraId="41E3D71B">
            <w:pPr>
              <w:spacing w:line="276" w:lineRule="auto"/>
              <w:jc w:val="left"/>
              <w:rPr>
                <w:rFonts w:hint="eastAsia" w:ascii="宋体" w:hAnsi="宋体" w:eastAsia="宋体" w:cs="宋体"/>
                <w:szCs w:val="21"/>
                <w:lang w:val="zh-CN"/>
              </w:rPr>
            </w:pPr>
            <w:r>
              <w:rPr>
                <w:rFonts w:hint="eastAsia" w:ascii="宋体" w:hAnsi="宋体" w:eastAsia="宋体" w:cs="宋体"/>
                <w:szCs w:val="21"/>
              </w:rPr>
              <w:t>1</w:t>
            </w:r>
            <w:r>
              <w:rPr>
                <w:rFonts w:hint="eastAsia" w:ascii="宋体" w:hAnsi="宋体" w:eastAsia="宋体" w:cs="宋体"/>
                <w:szCs w:val="21"/>
                <w:lang w:val="zh-CN"/>
              </w:rPr>
              <w:t>.</w:t>
            </w:r>
            <w:r>
              <w:rPr>
                <w:rFonts w:hint="eastAsia" w:ascii="宋体" w:hAnsi="宋体" w:eastAsia="宋体" w:cs="宋体"/>
                <w:szCs w:val="21"/>
                <w:lang w:val="en-US" w:eastAsia="zh-CN"/>
              </w:rPr>
              <w:t>等保测评类</w:t>
            </w:r>
            <w:r>
              <w:rPr>
                <w:rFonts w:hint="eastAsia" w:ascii="宋体" w:hAnsi="宋体" w:eastAsia="宋体" w:cs="宋体"/>
                <w:szCs w:val="21"/>
                <w:lang w:val="zh-CN"/>
              </w:rPr>
              <w:t>系统</w:t>
            </w:r>
            <w:r>
              <w:rPr>
                <w:rFonts w:hint="eastAsia" w:ascii="宋体" w:hAnsi="宋体" w:eastAsia="宋体" w:cs="宋体"/>
                <w:szCs w:val="21"/>
                <w:lang w:val="en-US" w:eastAsia="zh-CN"/>
              </w:rPr>
              <w:t>工具</w:t>
            </w:r>
            <w:r>
              <w:rPr>
                <w:rFonts w:hint="eastAsia" w:ascii="宋体" w:hAnsi="宋体" w:eastAsia="宋体" w:cs="宋体"/>
                <w:szCs w:val="21"/>
                <w:lang w:val="zh-CN"/>
              </w:rPr>
              <w:t>，得2分；本项最高得2分；</w:t>
            </w:r>
          </w:p>
          <w:p w14:paraId="5CC00AB0">
            <w:pPr>
              <w:spacing w:line="276" w:lineRule="auto"/>
              <w:jc w:val="left"/>
              <w:rPr>
                <w:rFonts w:hint="eastAsia" w:ascii="宋体" w:hAnsi="宋体" w:eastAsia="宋体" w:cs="宋体"/>
                <w:szCs w:val="21"/>
                <w:lang w:val="zh-CN"/>
              </w:rPr>
            </w:pPr>
            <w:r>
              <w:rPr>
                <w:rFonts w:hint="eastAsia" w:ascii="宋体" w:hAnsi="宋体" w:eastAsia="宋体" w:cs="宋体"/>
                <w:szCs w:val="21"/>
              </w:rPr>
              <w:t>2</w:t>
            </w:r>
            <w:r>
              <w:rPr>
                <w:rFonts w:hint="eastAsia" w:ascii="宋体" w:hAnsi="宋体" w:eastAsia="宋体" w:cs="宋体"/>
                <w:szCs w:val="21"/>
                <w:lang w:val="zh-CN"/>
              </w:rPr>
              <w:t>.漏洞检测类工具，得2分；本项最高得2分；</w:t>
            </w:r>
          </w:p>
          <w:p w14:paraId="4E66E0A5">
            <w:pPr>
              <w:spacing w:line="276" w:lineRule="auto"/>
              <w:jc w:val="left"/>
              <w:rPr>
                <w:rFonts w:hint="eastAsia" w:ascii="宋体" w:hAnsi="宋体" w:eastAsia="宋体" w:cs="宋体"/>
                <w:szCs w:val="21"/>
                <w:lang w:val="zh-CN"/>
              </w:rPr>
            </w:pPr>
            <w:r>
              <w:rPr>
                <w:rFonts w:hint="eastAsia" w:ascii="宋体" w:hAnsi="宋体" w:eastAsia="宋体" w:cs="宋体"/>
                <w:szCs w:val="21"/>
              </w:rPr>
              <w:t>3</w:t>
            </w:r>
            <w:r>
              <w:rPr>
                <w:rFonts w:hint="eastAsia" w:ascii="宋体" w:hAnsi="宋体" w:eastAsia="宋体" w:cs="宋体"/>
                <w:szCs w:val="21"/>
                <w:lang w:val="zh-CN"/>
              </w:rPr>
              <w:t>.源代码安全审计类工具，得1分；本项最高得1分；</w:t>
            </w:r>
          </w:p>
          <w:p w14:paraId="5BC50A8F">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（二）评分依据:</w:t>
            </w:r>
          </w:p>
          <w:p w14:paraId="3132EA04">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1、自有的系统或软件，提供国家版权局颁发的计算机软件著作权登记证书（著作权人为供应商）；购买（或租赁）的软件或系统，提供购买合同（或租赁合同）关键页（合同内容包含但不限于：签订合同双方的单位名称、购买的系统或软件的名称、签订合同双方的落款盖章、签订日期的关键页）；</w:t>
            </w:r>
          </w:p>
          <w:p w14:paraId="09485BAC">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2、针对产品功能，提供加盖供应商公章的系统或工具界面或产品说明书或白皮书，若无法证明功能，提供满足功能的承诺函（格式自拟）；</w:t>
            </w:r>
          </w:p>
          <w:p w14:paraId="37F17C26">
            <w:pPr>
              <w:spacing w:line="276" w:lineRule="auto"/>
              <w:jc w:val="left"/>
              <w:rPr>
                <w:rFonts w:hint="eastAsia" w:ascii="宋体" w:hAnsi="宋体" w:eastAsia="宋体" w:cs="宋体"/>
                <w:szCs w:val="21"/>
                <w:lang w:val="zh-CN"/>
              </w:rPr>
            </w:pPr>
            <w:r>
              <w:rPr>
                <w:rFonts w:hint="eastAsia" w:ascii="宋体" w:hAnsi="宋体" w:eastAsia="宋体" w:cs="宋体"/>
                <w:szCs w:val="21"/>
                <w:lang w:val="zh-CN"/>
              </w:rPr>
              <w:t>3、未按要求提供相关证明材料（或相关证明材料无法判断是否符合评分要求）的不计得分，原件备查。</w:t>
            </w:r>
          </w:p>
        </w:tc>
        <w:tc>
          <w:tcPr>
            <w:tcW w:w="455" w:type="pct"/>
            <w:tcBorders>
              <w:tl2br w:val="nil"/>
              <w:tr2bl w:val="nil"/>
            </w:tcBorders>
            <w:vAlign w:val="center"/>
          </w:tcPr>
          <w:p w14:paraId="46348D27">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w:t>
            </w:r>
          </w:p>
        </w:tc>
        <w:tc>
          <w:tcPr>
            <w:tcW w:w="580" w:type="pct"/>
            <w:tcBorders>
              <w:tl2br w:val="nil"/>
              <w:tr2bl w:val="nil"/>
            </w:tcBorders>
            <w:vAlign w:val="center"/>
          </w:tcPr>
          <w:p w14:paraId="6917F8B7">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5分</w:t>
            </w:r>
          </w:p>
        </w:tc>
      </w:tr>
      <w:tr w14:paraId="55A0AF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359" w:type="pct"/>
            <w:tcBorders>
              <w:tl2br w:val="nil"/>
              <w:tr2bl w:val="nil"/>
            </w:tcBorders>
            <w:vAlign w:val="center"/>
          </w:tcPr>
          <w:p w14:paraId="36F03D70">
            <w:pPr>
              <w:pStyle w:val="32"/>
              <w:spacing w:line="276" w:lineRule="auto"/>
              <w:ind w:firstLine="0" w:firstLineChars="0"/>
              <w:rPr>
                <w:rFonts w:hint="eastAsia" w:ascii="宋体" w:hAnsi="宋体" w:cs="宋体"/>
              </w:rPr>
            </w:pPr>
            <w:r>
              <w:rPr>
                <w:rFonts w:hint="eastAsia" w:ascii="宋体" w:hAnsi="宋体" w:cs="宋体"/>
              </w:rPr>
              <w:t>5</w:t>
            </w:r>
          </w:p>
        </w:tc>
        <w:tc>
          <w:tcPr>
            <w:tcW w:w="887" w:type="pct"/>
            <w:tcBorders>
              <w:tl2br w:val="nil"/>
              <w:tr2bl w:val="nil"/>
            </w:tcBorders>
            <w:vAlign w:val="center"/>
          </w:tcPr>
          <w:p w14:paraId="3971B7BF">
            <w:pPr>
              <w:spacing w:line="276" w:lineRule="auto"/>
              <w:jc w:val="center"/>
              <w:rPr>
                <w:rFonts w:hint="eastAsia" w:ascii="宋体" w:hAnsi="宋体" w:eastAsia="宋体" w:cs="宋体"/>
                <w:szCs w:val="21"/>
              </w:rPr>
            </w:pPr>
            <w:r>
              <w:rPr>
                <w:rFonts w:hint="eastAsia" w:ascii="宋体" w:hAnsi="宋体" w:eastAsia="宋体" w:cs="宋体"/>
                <w:szCs w:val="21"/>
              </w:rPr>
              <w:t>诚信</w:t>
            </w:r>
          </w:p>
        </w:tc>
        <w:tc>
          <w:tcPr>
            <w:tcW w:w="2718" w:type="pct"/>
            <w:tcBorders>
              <w:tl2br w:val="nil"/>
              <w:tr2bl w:val="nil"/>
            </w:tcBorders>
            <w:vAlign w:val="center"/>
          </w:tcPr>
          <w:p w14:paraId="5AA2EDDB">
            <w:pPr>
              <w:spacing w:line="276" w:lineRule="auto"/>
              <w:rPr>
                <w:rFonts w:hint="eastAsia" w:ascii="宋体" w:hAnsi="宋体" w:eastAsia="宋体" w:cs="宋体"/>
                <w:szCs w:val="21"/>
                <w:lang w:val="zh-CN"/>
              </w:rPr>
            </w:pPr>
            <w:r>
              <w:rPr>
                <w:rFonts w:hint="eastAsia" w:ascii="宋体" w:hAnsi="宋体" w:eastAsia="宋体" w:cs="宋体"/>
                <w:szCs w:val="21"/>
              </w:rPr>
              <w:t>根据《深圳市财政委员会关于印发〈深圳市政府采购供应商诚信管理暂行办法操作细则〉的通知》（深财购[2017]42号）的要求，供应商在参与政府采购活动中存在诚信相关问题且在主管部门相关处理措施实施期限内的，本项不得分，否则得满分。供应商提供《诚信承诺函》，格式见附件。</w:t>
            </w:r>
          </w:p>
        </w:tc>
        <w:tc>
          <w:tcPr>
            <w:tcW w:w="455" w:type="pct"/>
            <w:tcBorders>
              <w:tl2br w:val="nil"/>
              <w:tr2bl w:val="nil"/>
            </w:tcBorders>
            <w:vAlign w:val="center"/>
          </w:tcPr>
          <w:p w14:paraId="378BD1BC">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w:t>
            </w:r>
          </w:p>
        </w:tc>
        <w:tc>
          <w:tcPr>
            <w:tcW w:w="580" w:type="pct"/>
            <w:tcBorders>
              <w:tl2br w:val="nil"/>
              <w:tr2bl w:val="nil"/>
            </w:tcBorders>
            <w:vAlign w:val="center"/>
          </w:tcPr>
          <w:p w14:paraId="09F9F7B6">
            <w:pPr>
              <w:tabs>
                <w:tab w:val="left" w:pos="426"/>
              </w:tabs>
              <w:spacing w:line="276" w:lineRule="auto"/>
              <w:ind w:firstLine="210" w:firstLineChars="100"/>
              <w:rPr>
                <w:rFonts w:hint="eastAsia" w:ascii="宋体" w:hAnsi="宋体" w:eastAsia="宋体" w:cs="宋体"/>
                <w:szCs w:val="21"/>
              </w:rPr>
            </w:pPr>
            <w:r>
              <w:rPr>
                <w:rFonts w:hint="eastAsia" w:ascii="宋体" w:hAnsi="宋体" w:eastAsia="宋体" w:cs="宋体"/>
                <w:szCs w:val="21"/>
              </w:rPr>
              <w:t>5分</w:t>
            </w:r>
          </w:p>
        </w:tc>
      </w:tr>
      <w:tr w14:paraId="286A34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59" w:type="pct"/>
            <w:tcBorders>
              <w:tl2br w:val="nil"/>
              <w:tr2bl w:val="nil"/>
            </w:tcBorders>
            <w:vAlign w:val="center"/>
          </w:tcPr>
          <w:p w14:paraId="107985B0">
            <w:pPr>
              <w:spacing w:line="276" w:lineRule="auto"/>
              <w:rPr>
                <w:rFonts w:hint="eastAsia" w:ascii="宋体" w:hAnsi="宋体" w:eastAsia="宋体" w:cs="宋体"/>
                <w:b/>
                <w:szCs w:val="21"/>
              </w:rPr>
            </w:pPr>
            <w:r>
              <w:rPr>
                <w:rFonts w:hint="eastAsia" w:ascii="宋体" w:hAnsi="宋体" w:eastAsia="宋体" w:cs="宋体"/>
                <w:b/>
                <w:szCs w:val="21"/>
              </w:rPr>
              <w:t>三</w:t>
            </w:r>
          </w:p>
        </w:tc>
        <w:tc>
          <w:tcPr>
            <w:tcW w:w="4640" w:type="pct"/>
            <w:gridSpan w:val="4"/>
            <w:tcBorders>
              <w:tl2br w:val="nil"/>
              <w:tr2bl w:val="nil"/>
            </w:tcBorders>
            <w:vAlign w:val="center"/>
          </w:tcPr>
          <w:p w14:paraId="210A6FA8">
            <w:pPr>
              <w:spacing w:line="276" w:lineRule="auto"/>
              <w:ind w:left="-78" w:leftChars="-37" w:right="-73" w:rightChars="-35" w:firstLine="422"/>
              <w:jc w:val="center"/>
              <w:rPr>
                <w:rFonts w:hint="eastAsia" w:ascii="宋体" w:hAnsi="宋体" w:eastAsia="宋体" w:cs="宋体"/>
                <w:b/>
                <w:szCs w:val="21"/>
              </w:rPr>
            </w:pPr>
            <w:r>
              <w:rPr>
                <w:rFonts w:hint="eastAsia" w:ascii="宋体" w:hAnsi="宋体" w:eastAsia="宋体" w:cs="宋体"/>
                <w:b/>
                <w:szCs w:val="21"/>
              </w:rPr>
              <w:t>价格部分（10分）</w:t>
            </w:r>
          </w:p>
        </w:tc>
      </w:tr>
      <w:tr w14:paraId="38A81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359" w:type="pct"/>
            <w:tcBorders>
              <w:tl2br w:val="nil"/>
              <w:tr2bl w:val="nil"/>
            </w:tcBorders>
            <w:vAlign w:val="center"/>
          </w:tcPr>
          <w:p w14:paraId="0D77B1B4">
            <w:pPr>
              <w:spacing w:line="276" w:lineRule="auto"/>
              <w:rPr>
                <w:rFonts w:hint="eastAsia" w:ascii="宋体" w:hAnsi="宋体" w:eastAsia="宋体" w:cs="宋体"/>
                <w:szCs w:val="21"/>
              </w:rPr>
            </w:pPr>
            <w:r>
              <w:rPr>
                <w:rFonts w:hint="eastAsia" w:ascii="宋体" w:hAnsi="宋体" w:eastAsia="宋体" w:cs="宋体"/>
                <w:szCs w:val="21"/>
              </w:rPr>
              <w:t>1</w:t>
            </w:r>
          </w:p>
        </w:tc>
        <w:tc>
          <w:tcPr>
            <w:tcW w:w="887" w:type="pct"/>
            <w:tcBorders>
              <w:tl2br w:val="nil"/>
              <w:tr2bl w:val="nil"/>
            </w:tcBorders>
            <w:vAlign w:val="center"/>
          </w:tcPr>
          <w:p w14:paraId="43E90016">
            <w:pPr>
              <w:spacing w:line="276" w:lineRule="auto"/>
              <w:jc w:val="center"/>
              <w:rPr>
                <w:rFonts w:hint="eastAsia" w:ascii="宋体" w:hAnsi="宋体" w:eastAsia="宋体" w:cs="宋体"/>
                <w:szCs w:val="21"/>
              </w:rPr>
            </w:pPr>
            <w:r>
              <w:rPr>
                <w:rFonts w:hint="eastAsia" w:ascii="宋体" w:hAnsi="宋体" w:eastAsia="宋体" w:cs="宋体"/>
                <w:szCs w:val="21"/>
              </w:rPr>
              <w:t>响应报价</w:t>
            </w:r>
          </w:p>
        </w:tc>
        <w:tc>
          <w:tcPr>
            <w:tcW w:w="2718" w:type="pct"/>
            <w:tcBorders>
              <w:tl2br w:val="nil"/>
              <w:tr2bl w:val="nil"/>
            </w:tcBorders>
            <w:vAlign w:val="center"/>
          </w:tcPr>
          <w:p w14:paraId="5CB52096">
            <w:pPr>
              <w:snapToGrid w:val="0"/>
              <w:spacing w:line="276" w:lineRule="auto"/>
              <w:jc w:val="left"/>
              <w:rPr>
                <w:rFonts w:hint="eastAsia" w:ascii="宋体" w:hAnsi="宋体" w:eastAsia="宋体" w:cs="宋体"/>
                <w:szCs w:val="21"/>
              </w:rPr>
            </w:pPr>
            <w:r>
              <w:rPr>
                <w:rFonts w:hint="eastAsia" w:ascii="宋体" w:hAnsi="宋体" w:eastAsia="宋体" w:cs="宋体"/>
                <w:szCs w:val="21"/>
              </w:rPr>
              <w:t>价格分统一采用低价优先法计算，即满足零散采购文件要求且报价最低的报价为基准价，其价格分为满分。其他响应供应商的价格分统一按照下列公式计算：</w:t>
            </w:r>
          </w:p>
          <w:p w14:paraId="2BAFF71B">
            <w:pPr>
              <w:widowControl/>
              <w:snapToGrid w:val="0"/>
              <w:spacing w:line="276" w:lineRule="auto"/>
              <w:jc w:val="left"/>
              <w:rPr>
                <w:rFonts w:hint="eastAsia" w:ascii="宋体" w:hAnsi="宋体" w:eastAsia="宋体" w:cs="宋体"/>
                <w:szCs w:val="21"/>
              </w:rPr>
            </w:pPr>
            <w:r>
              <w:rPr>
                <w:rFonts w:hint="eastAsia" w:ascii="宋体" w:hAnsi="宋体" w:eastAsia="宋体" w:cs="宋体"/>
                <w:szCs w:val="21"/>
              </w:rPr>
              <w:t>报价得分=(基准价／最后报价)×100×价格权重</w:t>
            </w:r>
          </w:p>
          <w:p w14:paraId="18A78DC5">
            <w:pPr>
              <w:pStyle w:val="8"/>
              <w:spacing w:after="0" w:line="276" w:lineRule="auto"/>
              <w:rPr>
                <w:rFonts w:hint="eastAsia" w:ascii="宋体" w:hAnsi="宋体" w:cs="宋体"/>
                <w:sz w:val="21"/>
                <w:szCs w:val="21"/>
              </w:rPr>
            </w:pPr>
            <w:r>
              <w:rPr>
                <w:rFonts w:hint="eastAsia" w:ascii="宋体" w:hAnsi="宋体" w:cs="宋体"/>
                <w:sz w:val="21"/>
                <w:szCs w:val="21"/>
              </w:rPr>
              <w:t>供应商的报价明显低于其他供应商报价，有可能影响项目质量或者不能诚信履约的，平台将要求其在合理的时间内提供书面说明，必要时提交相关证明材料；供应商不能证明其报价合理性的，评审委员会应当将其作为无效响应处理，取消其继续参与评审的资格。</w:t>
            </w:r>
          </w:p>
        </w:tc>
        <w:tc>
          <w:tcPr>
            <w:tcW w:w="455" w:type="pct"/>
            <w:tcBorders>
              <w:tl2br w:val="nil"/>
              <w:tr2bl w:val="nil"/>
            </w:tcBorders>
            <w:vAlign w:val="center"/>
          </w:tcPr>
          <w:p w14:paraId="6EF67290">
            <w:pPr>
              <w:spacing w:line="276" w:lineRule="auto"/>
              <w:ind w:right="-73" w:rightChars="-35" w:firstLine="210" w:firstLineChars="100"/>
              <w:rPr>
                <w:rFonts w:hint="eastAsia" w:ascii="宋体" w:hAnsi="宋体" w:eastAsia="宋体" w:cs="宋体"/>
                <w:szCs w:val="21"/>
              </w:rPr>
            </w:pPr>
            <w:r>
              <w:rPr>
                <w:rFonts w:hint="eastAsia" w:ascii="宋体" w:hAnsi="宋体" w:eastAsia="宋体" w:cs="宋体"/>
                <w:szCs w:val="21"/>
              </w:rPr>
              <w:t xml:space="preserve">10% </w:t>
            </w:r>
          </w:p>
        </w:tc>
        <w:tc>
          <w:tcPr>
            <w:tcW w:w="580" w:type="pct"/>
            <w:tcBorders>
              <w:tl2br w:val="nil"/>
              <w:tr2bl w:val="nil"/>
            </w:tcBorders>
            <w:vAlign w:val="center"/>
          </w:tcPr>
          <w:p w14:paraId="7F9600C2">
            <w:pPr>
              <w:spacing w:line="276" w:lineRule="auto"/>
              <w:ind w:right="-73" w:rightChars="-35" w:firstLine="210" w:firstLineChars="100"/>
              <w:rPr>
                <w:rFonts w:hint="eastAsia" w:ascii="宋体" w:hAnsi="宋体" w:eastAsia="宋体" w:cs="宋体"/>
                <w:szCs w:val="21"/>
              </w:rPr>
            </w:pPr>
            <w:r>
              <w:rPr>
                <w:rFonts w:hint="eastAsia" w:ascii="宋体" w:hAnsi="宋体" w:eastAsia="宋体" w:cs="宋体"/>
                <w:szCs w:val="21"/>
              </w:rPr>
              <w:t>10分</w:t>
            </w:r>
          </w:p>
        </w:tc>
      </w:tr>
      <w:tr w14:paraId="29C283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3964" w:type="pct"/>
            <w:gridSpan w:val="3"/>
            <w:tcBorders>
              <w:tl2br w:val="nil"/>
              <w:tr2bl w:val="nil"/>
            </w:tcBorders>
            <w:vAlign w:val="center"/>
          </w:tcPr>
          <w:p w14:paraId="24401F2F">
            <w:pPr>
              <w:spacing w:line="276" w:lineRule="auto"/>
              <w:ind w:left="-78" w:leftChars="-37" w:right="-73" w:rightChars="-35" w:firstLine="422"/>
              <w:jc w:val="center"/>
              <w:rPr>
                <w:rFonts w:hint="eastAsia" w:ascii="宋体" w:hAnsi="宋体" w:eastAsia="宋体" w:cs="宋体"/>
                <w:b/>
                <w:bCs/>
                <w:szCs w:val="21"/>
              </w:rPr>
            </w:pPr>
            <w:r>
              <w:rPr>
                <w:rFonts w:hint="eastAsia" w:ascii="宋体" w:hAnsi="宋体" w:eastAsia="宋体" w:cs="宋体"/>
                <w:b/>
                <w:bCs/>
                <w:szCs w:val="21"/>
              </w:rPr>
              <w:t>合计</w:t>
            </w:r>
          </w:p>
        </w:tc>
        <w:tc>
          <w:tcPr>
            <w:tcW w:w="455" w:type="pct"/>
            <w:tcBorders>
              <w:tl2br w:val="nil"/>
              <w:tr2bl w:val="nil"/>
            </w:tcBorders>
            <w:vAlign w:val="center"/>
          </w:tcPr>
          <w:p w14:paraId="4AF90406">
            <w:pPr>
              <w:spacing w:line="276" w:lineRule="auto"/>
              <w:ind w:right="-73" w:rightChars="-35"/>
              <w:rPr>
                <w:rFonts w:hint="eastAsia" w:ascii="宋体" w:hAnsi="宋体" w:eastAsia="宋体" w:cs="宋体"/>
                <w:b/>
                <w:bCs/>
                <w:szCs w:val="21"/>
              </w:rPr>
            </w:pPr>
          </w:p>
        </w:tc>
        <w:tc>
          <w:tcPr>
            <w:tcW w:w="580" w:type="pct"/>
            <w:tcBorders>
              <w:tl2br w:val="nil"/>
              <w:tr2bl w:val="nil"/>
            </w:tcBorders>
            <w:vAlign w:val="center"/>
          </w:tcPr>
          <w:p w14:paraId="4E1C2BA0">
            <w:pPr>
              <w:spacing w:line="276" w:lineRule="auto"/>
              <w:ind w:right="-73" w:rightChars="-35"/>
              <w:jc w:val="center"/>
              <w:rPr>
                <w:rFonts w:hint="eastAsia" w:ascii="宋体" w:hAnsi="宋体" w:eastAsia="宋体" w:cs="宋体"/>
                <w:b/>
                <w:bCs/>
                <w:szCs w:val="21"/>
              </w:rPr>
            </w:pPr>
            <w:r>
              <w:rPr>
                <w:rFonts w:hint="eastAsia" w:ascii="宋体" w:hAnsi="宋体" w:eastAsia="宋体" w:cs="宋体"/>
                <w:b/>
                <w:bCs/>
                <w:szCs w:val="21"/>
              </w:rPr>
              <w:t>100分</w:t>
            </w:r>
          </w:p>
        </w:tc>
      </w:tr>
    </w:tbl>
    <w:p w14:paraId="799CCB0C">
      <w:pPr>
        <w:spacing w:line="360" w:lineRule="auto"/>
        <w:rPr>
          <w:rFonts w:asciiTheme="minorEastAsia" w:hAnsiTheme="minorEastAsia"/>
          <w:szCs w:val="21"/>
        </w:rPr>
      </w:pPr>
    </w:p>
    <w:p w14:paraId="45FA5879">
      <w:pPr>
        <w:spacing w:line="360" w:lineRule="auto"/>
        <w:ind w:firstLine="420" w:firstLineChars="200"/>
        <w:rPr>
          <w:rFonts w:asciiTheme="minorEastAsia" w:hAnsiTheme="minorEastAsia"/>
          <w:szCs w:val="21"/>
        </w:rPr>
      </w:pPr>
      <w:r>
        <w:rPr>
          <w:rFonts w:asciiTheme="minorEastAsia" w:hAnsiTheme="minorEastAsia"/>
          <w:szCs w:val="21"/>
        </w:rPr>
        <w:t>根据财库〔2011〕181号文件规定：</w:t>
      </w:r>
    </w:p>
    <w:p w14:paraId="258FA3C7">
      <w:pPr>
        <w:spacing w:line="360" w:lineRule="auto"/>
        <w:ind w:firstLine="420" w:firstLineChars="200"/>
        <w:rPr>
          <w:rFonts w:asciiTheme="minorEastAsia" w:hAnsiTheme="minorEastAsia"/>
          <w:bCs/>
          <w:szCs w:val="21"/>
        </w:rPr>
      </w:pPr>
      <w:r>
        <w:rPr>
          <w:rFonts w:asciiTheme="minorEastAsia" w:hAnsiTheme="minorEastAsia"/>
          <w:szCs w:val="21"/>
        </w:rPr>
        <w:t>□本项目专门面向中小企业或小型、微型企业采购。</w:t>
      </w:r>
    </w:p>
    <w:p w14:paraId="4DAF3A67">
      <w:pPr>
        <w:spacing w:line="360" w:lineRule="auto"/>
        <w:ind w:firstLine="422" w:firstLineChars="200"/>
        <w:rPr>
          <w:rFonts w:asciiTheme="minorEastAsia" w:hAnsiTheme="minorEastAsia"/>
          <w:szCs w:val="21"/>
        </w:rPr>
      </w:pPr>
      <w:r>
        <w:rPr>
          <w:rFonts w:asciiTheme="minorEastAsia" w:hAnsiTheme="minorEastAsia"/>
          <w:b/>
          <w:szCs w:val="21"/>
        </w:rPr>
        <w:t>■</w:t>
      </w:r>
      <w:r>
        <w:rPr>
          <w:rFonts w:asciiTheme="minorEastAsia" w:hAnsiTheme="minorEastAsia"/>
          <w:bCs/>
          <w:szCs w:val="21"/>
        </w:rPr>
        <w:t>本项目非专门面向中小企业的项目，对小型和微型企业产品的价格给予10%的扣除，用扣除后的价格即为“经评审合格的投标报价”参与价格评审。</w:t>
      </w:r>
    </w:p>
    <w:p w14:paraId="0B6AE632">
      <w:pPr>
        <w:pStyle w:val="6"/>
        <w:spacing w:line="360" w:lineRule="auto"/>
      </w:pPr>
    </w:p>
    <w:p w14:paraId="2E3C1D11">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1ECFB175">
      <w:pPr>
        <w:pStyle w:val="3"/>
      </w:pPr>
      <w:bookmarkStart w:id="9" w:name="_Toc69570650"/>
      <w:bookmarkStart w:id="10" w:name="_Toc61539110"/>
      <w:r>
        <w:rPr>
          <w:rFonts w:hint="eastAsia"/>
        </w:rPr>
        <w:t>第三章  投标人须知</w:t>
      </w:r>
      <w:bookmarkEnd w:id="9"/>
      <w:bookmarkEnd w:id="10"/>
    </w:p>
    <w:p w14:paraId="0079AEF8">
      <w:pPr>
        <w:pStyle w:val="5"/>
        <w:ind w:firstLine="482"/>
      </w:pPr>
      <w:bookmarkStart w:id="11" w:name="_Toc55548492"/>
      <w:r>
        <w:t>一、说明</w:t>
      </w:r>
      <w:bookmarkEnd w:id="11"/>
    </w:p>
    <w:p w14:paraId="74A47C26">
      <w:pPr>
        <w:pStyle w:val="4"/>
        <w:spacing w:line="360" w:lineRule="auto"/>
        <w:ind w:firstLine="482"/>
      </w:pPr>
      <w:bookmarkStart w:id="12" w:name="_Toc18091"/>
      <w:bookmarkStart w:id="13" w:name="_Toc55548493"/>
      <w:r>
        <w:t>招标人及资金来源</w:t>
      </w:r>
      <w:bookmarkEnd w:id="12"/>
      <w:bookmarkEnd w:id="13"/>
    </w:p>
    <w:p w14:paraId="242C3A13">
      <w:pPr>
        <w:spacing w:line="360" w:lineRule="auto"/>
        <w:ind w:firstLine="420" w:firstLineChars="200"/>
        <w:rPr>
          <w:rFonts w:asciiTheme="minorEastAsia" w:hAnsiTheme="minorEastAsia"/>
          <w:szCs w:val="21"/>
        </w:rPr>
      </w:pPr>
      <w:bookmarkStart w:id="14" w:name="_Ref179620507"/>
      <w:bookmarkStart w:id="15" w:name="_Hlk69569623"/>
      <w:r>
        <w:rPr>
          <w:rFonts w:asciiTheme="minorEastAsia" w:hAnsiTheme="minorEastAsia"/>
          <w:szCs w:val="21"/>
        </w:rPr>
        <w:t>招标人已拥有一笔资金/</w:t>
      </w:r>
      <w:r>
        <w:rPr>
          <w:rFonts w:hint="eastAsia" w:asciiTheme="minorEastAsia" w:hAnsiTheme="minorEastAsia"/>
          <w:szCs w:val="21"/>
        </w:rPr>
        <w:t>货</w:t>
      </w:r>
      <w:r>
        <w:rPr>
          <w:rFonts w:asciiTheme="minorEastAsia" w:hAnsiTheme="minorEastAsia"/>
          <w:szCs w:val="21"/>
        </w:rPr>
        <w:t>款。招标人计划将一部分资金/贷款用于支付本次招标后所签订合同项下的款项，资金来源</w:t>
      </w:r>
      <w:r>
        <w:rPr>
          <w:rFonts w:hint="eastAsia" w:asciiTheme="minorEastAsia" w:hAnsiTheme="minorEastAsia"/>
          <w:szCs w:val="21"/>
        </w:rPr>
        <w:t>为：</w:t>
      </w:r>
      <w:r>
        <w:rPr>
          <w:rFonts w:asciiTheme="minorEastAsia" w:hAnsiTheme="minorEastAsia"/>
          <w:szCs w:val="21"/>
        </w:rPr>
        <w:t>财政资金。</w:t>
      </w:r>
      <w:bookmarkEnd w:id="14"/>
    </w:p>
    <w:bookmarkEnd w:id="15"/>
    <w:p w14:paraId="33F5D59A">
      <w:pPr>
        <w:pStyle w:val="4"/>
        <w:spacing w:line="360" w:lineRule="auto"/>
        <w:ind w:firstLine="482"/>
      </w:pPr>
      <w:bookmarkStart w:id="16" w:name="_Toc55548494"/>
      <w:bookmarkStart w:id="17" w:name="_Toc29370"/>
      <w:r>
        <w:t>合格的投标人</w:t>
      </w:r>
      <w:bookmarkEnd w:id="16"/>
      <w:bookmarkEnd w:id="17"/>
    </w:p>
    <w:p w14:paraId="3F95DEEE">
      <w:pPr>
        <w:spacing w:line="360" w:lineRule="auto"/>
        <w:ind w:firstLine="420" w:firstLineChars="200"/>
        <w:rPr>
          <w:rFonts w:asciiTheme="minorEastAsia" w:hAnsiTheme="minorEastAsia"/>
          <w:szCs w:val="21"/>
        </w:rPr>
      </w:pPr>
      <w:r>
        <w:rPr>
          <w:rFonts w:asciiTheme="minorEastAsia" w:hAnsiTheme="minorEastAsia"/>
          <w:szCs w:val="21"/>
        </w:rPr>
        <w:t>除非下文另有规定，凡是在中华人民共和国境内注册且为人民币流通区域内的供货人均可投标。</w:t>
      </w:r>
    </w:p>
    <w:p w14:paraId="1299B721">
      <w:pPr>
        <w:spacing w:line="360" w:lineRule="auto"/>
        <w:ind w:firstLine="420" w:firstLineChars="200"/>
        <w:rPr>
          <w:rFonts w:asciiTheme="minorEastAsia" w:hAnsiTheme="minorEastAsia"/>
          <w:szCs w:val="21"/>
        </w:rPr>
      </w:pPr>
      <w:r>
        <w:rPr>
          <w:rFonts w:asciiTheme="minorEastAsia" w:hAnsiTheme="minorEastAsia"/>
          <w:szCs w:val="21"/>
        </w:rPr>
        <w:t>只有在法律上和财务上独立、合法运作并独立于招标人的供货人才能参加投标。</w:t>
      </w:r>
    </w:p>
    <w:p w14:paraId="5E845C34">
      <w:pPr>
        <w:spacing w:line="360" w:lineRule="auto"/>
        <w:ind w:firstLine="420" w:firstLineChars="200"/>
        <w:rPr>
          <w:rFonts w:asciiTheme="minorEastAsia" w:hAnsiTheme="minorEastAsia"/>
          <w:szCs w:val="21"/>
        </w:rPr>
      </w:pPr>
      <w:r>
        <w:rPr>
          <w:rFonts w:asciiTheme="minorEastAsia" w:hAnsiTheme="minorEastAsia"/>
          <w:szCs w:val="21"/>
        </w:rPr>
        <w:t>投标人不得直接或间接地与招标人为采购本次招标的货物进行设计、编制规范和其他文件所委托的咨询公司或其附属机构有任何关联。</w:t>
      </w:r>
    </w:p>
    <w:p w14:paraId="07FB31B6">
      <w:pPr>
        <w:pStyle w:val="4"/>
        <w:spacing w:line="360" w:lineRule="auto"/>
        <w:ind w:firstLine="482"/>
      </w:pPr>
      <w:bookmarkStart w:id="18" w:name="_Toc12412"/>
      <w:bookmarkStart w:id="19" w:name="_Toc55548495"/>
      <w:r>
        <w:t>合格的货物和服务</w:t>
      </w:r>
      <w:bookmarkEnd w:id="18"/>
      <w:bookmarkEnd w:id="19"/>
    </w:p>
    <w:p w14:paraId="0288BEB6">
      <w:pPr>
        <w:spacing w:line="360" w:lineRule="auto"/>
        <w:ind w:firstLine="420" w:firstLineChars="200"/>
        <w:rPr>
          <w:rFonts w:asciiTheme="minorEastAsia" w:hAnsiTheme="minorEastAsia"/>
          <w:szCs w:val="21"/>
        </w:rPr>
      </w:pPr>
      <w:r>
        <w:rPr>
          <w:rFonts w:asciiTheme="minorEastAsia" w:hAnsiTheme="minorEastAsia"/>
          <w:szCs w:val="21"/>
        </w:rPr>
        <w:t>必须是全新的货物，如安装或配置了软件的，须为正版软件。</w:t>
      </w:r>
    </w:p>
    <w:p w14:paraId="742CE8DC">
      <w:pPr>
        <w:spacing w:line="360" w:lineRule="auto"/>
        <w:ind w:firstLine="420" w:firstLineChars="200"/>
        <w:rPr>
          <w:rFonts w:asciiTheme="minorEastAsia" w:hAnsiTheme="minorEastAsia"/>
          <w:szCs w:val="21"/>
        </w:rPr>
      </w:pPr>
      <w:r>
        <w:rPr>
          <w:rFonts w:asciiTheme="minorEastAsia" w:hAnsiTheme="minorEastAsia"/>
          <w:szCs w:val="21"/>
        </w:rPr>
        <w:t>产品及相关的服务必须符合中华人民共和国的设计和制造生产或行业标准。</w:t>
      </w:r>
    </w:p>
    <w:p w14:paraId="3C9B5D61">
      <w:pPr>
        <w:spacing w:line="360" w:lineRule="auto"/>
        <w:ind w:firstLine="420" w:firstLineChars="200"/>
        <w:rPr>
          <w:rFonts w:asciiTheme="minorEastAsia" w:hAnsiTheme="minorEastAsia"/>
          <w:szCs w:val="21"/>
        </w:rPr>
      </w:pPr>
      <w:r>
        <w:rPr>
          <w:rFonts w:asciiTheme="minorEastAsia" w:hAnsiTheme="minorEastAsia"/>
          <w:szCs w:val="21"/>
        </w:rPr>
        <w:t>进口的货物必须是具有合法的进口手续和途径并通过了中华人民共和国商检部门检验。</w:t>
      </w:r>
    </w:p>
    <w:p w14:paraId="0D35BA5C">
      <w:pPr>
        <w:spacing w:line="360" w:lineRule="auto"/>
        <w:ind w:firstLine="420" w:firstLineChars="200"/>
        <w:rPr>
          <w:rFonts w:asciiTheme="minorEastAsia" w:hAnsiTheme="minorEastAsia"/>
          <w:szCs w:val="21"/>
        </w:rPr>
      </w:pPr>
      <w:r>
        <w:rPr>
          <w:rFonts w:asciiTheme="minorEastAsia" w:hAnsiTheme="minorEastAsia"/>
          <w:szCs w:val="21"/>
        </w:rPr>
        <w:t>投标人应保证，采购人在中华人民共和国使用该产品的任何一部分时，免受第三方提出的包括但不限于侵犯其专利权、商标权或工业设计权等知识产权和抵押权在内的担保物权的起诉。</w:t>
      </w:r>
    </w:p>
    <w:p w14:paraId="1163EC0C">
      <w:pPr>
        <w:spacing w:line="360" w:lineRule="auto"/>
        <w:ind w:firstLine="420" w:firstLineChars="200"/>
        <w:rPr>
          <w:rFonts w:asciiTheme="minorEastAsia" w:hAnsiTheme="minorEastAsia"/>
          <w:szCs w:val="21"/>
        </w:rPr>
      </w:pPr>
      <w:r>
        <w:rPr>
          <w:rFonts w:asciiTheme="minorEastAsia" w:hAnsiTheme="minorEastAsia"/>
          <w:szCs w:val="21"/>
        </w:rPr>
        <w:t>投标人应保证，其所提供的货物应具有行政主管部门颁发的资质证书或国家质量监督部门的产品《检验报告》。设备到货验收时，还必须提供设备的产品合格证、质量保证文件。若中标后，除非另有约定，必须按合同规定完成设备的安装，并达到验收标准。</w:t>
      </w:r>
    </w:p>
    <w:p w14:paraId="447B7025">
      <w:pPr>
        <w:pStyle w:val="4"/>
        <w:spacing w:line="360" w:lineRule="auto"/>
        <w:ind w:firstLine="482"/>
      </w:pPr>
      <w:bookmarkStart w:id="20" w:name="_Toc55548496"/>
      <w:bookmarkStart w:id="21" w:name="_Toc25686"/>
      <w:r>
        <w:t>投标费用</w:t>
      </w:r>
      <w:bookmarkEnd w:id="20"/>
      <w:bookmarkEnd w:id="21"/>
    </w:p>
    <w:p w14:paraId="0B0CAC49">
      <w:pPr>
        <w:spacing w:line="360" w:lineRule="auto"/>
        <w:ind w:firstLine="420" w:firstLineChars="200"/>
        <w:rPr>
          <w:rFonts w:asciiTheme="minorEastAsia" w:hAnsiTheme="minorEastAsia"/>
          <w:szCs w:val="21"/>
        </w:rPr>
      </w:pPr>
      <w:r>
        <w:rPr>
          <w:rFonts w:asciiTheme="minorEastAsia" w:hAnsiTheme="minorEastAsia"/>
          <w:szCs w:val="21"/>
        </w:rPr>
        <w:t>投标人应承担所有与准备和参加投标有关的费用。不论投标的结果如何，招标人均无义务和责任承担这些费用。</w:t>
      </w:r>
    </w:p>
    <w:p w14:paraId="700B2B49">
      <w:pPr>
        <w:pStyle w:val="4"/>
        <w:spacing w:line="360" w:lineRule="auto"/>
        <w:ind w:firstLine="482"/>
      </w:pPr>
      <w:bookmarkStart w:id="22" w:name="_Toc55548497"/>
      <w:bookmarkStart w:id="23" w:name="_Toc10390"/>
      <w:r>
        <w:t>踏勘现场</w:t>
      </w:r>
      <w:bookmarkEnd w:id="22"/>
      <w:bookmarkEnd w:id="23"/>
    </w:p>
    <w:p w14:paraId="0373826E">
      <w:pPr>
        <w:spacing w:line="360" w:lineRule="auto"/>
        <w:ind w:firstLine="420" w:firstLineChars="200"/>
        <w:rPr>
          <w:rFonts w:asciiTheme="minorEastAsia" w:hAnsiTheme="minorEastAsia"/>
          <w:szCs w:val="21"/>
        </w:rPr>
      </w:pPr>
      <w:bookmarkStart w:id="24" w:name="_Ref179620557"/>
      <w:r>
        <w:rPr>
          <w:rFonts w:asciiTheme="minorEastAsia" w:hAnsiTheme="minorEastAsia"/>
          <w:szCs w:val="21"/>
        </w:rPr>
        <w:t>如有必要，</w:t>
      </w:r>
      <w:r>
        <w:rPr>
          <w:rFonts w:hint="eastAsia" w:asciiTheme="minorEastAsia" w:hAnsiTheme="minorEastAsia"/>
          <w:szCs w:val="21"/>
        </w:rPr>
        <w:t>本中心</w:t>
      </w:r>
      <w:r>
        <w:rPr>
          <w:rFonts w:asciiTheme="minorEastAsia" w:hAnsiTheme="minorEastAsia"/>
          <w:szCs w:val="21"/>
        </w:rPr>
        <w:t>将组织投标人对项目现场及周围环境进行踏勘，以便投标人获取须自己负责的有关编制投标文件和签署合同所需的所有资料。踏勘现场所发生的费用由投标人自己承担。</w:t>
      </w:r>
      <w:bookmarkEnd w:id="24"/>
    </w:p>
    <w:p w14:paraId="0B495AC6">
      <w:pPr>
        <w:spacing w:line="360" w:lineRule="auto"/>
        <w:ind w:firstLine="420" w:firstLineChars="200"/>
        <w:rPr>
          <w:rFonts w:asciiTheme="minorEastAsia" w:hAnsiTheme="minorEastAsia"/>
          <w:szCs w:val="21"/>
        </w:rPr>
      </w:pPr>
      <w:r>
        <w:rPr>
          <w:rFonts w:asciiTheme="minorEastAsia" w:hAnsiTheme="minorEastAsia"/>
          <w:szCs w:val="21"/>
        </w:rPr>
        <w:t>招标人向投标人提供的有关现场的资料和数据，是招标人现有的能使投标人利用的资料。招标人对投标人由此而做出的推论、理解和结论概不负责。</w:t>
      </w:r>
    </w:p>
    <w:p w14:paraId="5784C3D0">
      <w:pPr>
        <w:spacing w:line="360" w:lineRule="auto"/>
        <w:ind w:firstLine="420" w:firstLineChars="200"/>
        <w:rPr>
          <w:rFonts w:asciiTheme="minorEastAsia" w:hAnsiTheme="minorEastAsia"/>
          <w:szCs w:val="21"/>
        </w:rPr>
      </w:pPr>
      <w:r>
        <w:rPr>
          <w:rFonts w:asciiTheme="minorEastAsia" w:hAnsiTheme="minorEastAsia"/>
          <w:szCs w:val="21"/>
        </w:rPr>
        <w:t>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14:paraId="00A6F59C">
      <w:pPr>
        <w:spacing w:line="360" w:lineRule="auto"/>
        <w:ind w:firstLine="420" w:firstLineChars="200"/>
        <w:rPr>
          <w:rFonts w:asciiTheme="minorEastAsia" w:hAnsiTheme="minorEastAsia"/>
          <w:szCs w:val="21"/>
        </w:rPr>
      </w:pPr>
      <w:r>
        <w:rPr>
          <w:rFonts w:asciiTheme="minorEastAsia" w:hAnsiTheme="minorEastAsia"/>
          <w:szCs w:val="21"/>
        </w:rPr>
        <w:t>如果投标人认为需要再次进行现场踏勘，招标人将予以支持，费用自理。</w:t>
      </w:r>
    </w:p>
    <w:p w14:paraId="7461DBFA">
      <w:pPr>
        <w:pStyle w:val="5"/>
        <w:ind w:firstLine="482"/>
      </w:pPr>
      <w:bookmarkStart w:id="25" w:name="_Toc6043"/>
      <w:bookmarkStart w:id="26" w:name="_Toc1751"/>
      <w:bookmarkStart w:id="27" w:name="_Toc55548498"/>
      <w:r>
        <w:t>二、招标文件</w:t>
      </w:r>
      <w:bookmarkEnd w:id="25"/>
      <w:bookmarkEnd w:id="26"/>
      <w:bookmarkEnd w:id="27"/>
    </w:p>
    <w:p w14:paraId="38AA73BF">
      <w:pPr>
        <w:pStyle w:val="4"/>
        <w:spacing w:line="360" w:lineRule="auto"/>
        <w:ind w:firstLine="482"/>
      </w:pPr>
      <w:bookmarkStart w:id="28" w:name="_Toc55548499"/>
      <w:bookmarkStart w:id="29" w:name="_Toc19397"/>
      <w:r>
        <w:t>招标文件的构成</w:t>
      </w:r>
      <w:bookmarkEnd w:id="28"/>
      <w:bookmarkEnd w:id="29"/>
    </w:p>
    <w:p w14:paraId="68300D99">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一</w:t>
      </w:r>
      <w:r>
        <w:rPr>
          <w:rFonts w:asciiTheme="minorEastAsia" w:hAnsiTheme="minorEastAsia"/>
          <w:szCs w:val="21"/>
        </w:rPr>
        <w:t xml:space="preserve">章 </w:t>
      </w:r>
      <w:r>
        <w:rPr>
          <w:rFonts w:hint="eastAsia" w:asciiTheme="minorEastAsia" w:hAnsiTheme="minorEastAsia"/>
          <w:szCs w:val="21"/>
        </w:rPr>
        <w:t>招标公告</w:t>
      </w:r>
    </w:p>
    <w:p w14:paraId="3DB3CE73">
      <w:pPr>
        <w:spacing w:line="360" w:lineRule="auto"/>
        <w:ind w:firstLine="420" w:firstLineChars="200"/>
        <w:rPr>
          <w:rFonts w:asciiTheme="minorEastAsia" w:hAnsiTheme="minorEastAsia"/>
          <w:szCs w:val="21"/>
        </w:rPr>
      </w:pPr>
      <w:r>
        <w:rPr>
          <w:rFonts w:asciiTheme="minorEastAsia" w:hAnsiTheme="minorEastAsia"/>
          <w:szCs w:val="21"/>
        </w:rPr>
        <w:t>第</w:t>
      </w:r>
      <w:r>
        <w:rPr>
          <w:rFonts w:hint="eastAsia" w:asciiTheme="minorEastAsia" w:hAnsiTheme="minorEastAsia"/>
          <w:szCs w:val="21"/>
        </w:rPr>
        <w:t>二</w:t>
      </w:r>
      <w:r>
        <w:rPr>
          <w:rFonts w:asciiTheme="minorEastAsia" w:hAnsiTheme="minorEastAsia"/>
          <w:szCs w:val="21"/>
        </w:rPr>
        <w:t>章 用户需求书</w:t>
      </w:r>
    </w:p>
    <w:p w14:paraId="38B4FF85">
      <w:pPr>
        <w:spacing w:line="360" w:lineRule="auto"/>
        <w:ind w:firstLine="420" w:firstLineChars="200"/>
        <w:rPr>
          <w:rFonts w:asciiTheme="minorEastAsia" w:hAnsiTheme="minorEastAsia"/>
          <w:szCs w:val="21"/>
        </w:rPr>
      </w:pPr>
      <w:r>
        <w:rPr>
          <w:rFonts w:hint="eastAsia" w:asciiTheme="minorEastAsia" w:hAnsiTheme="minorEastAsia"/>
          <w:szCs w:val="21"/>
        </w:rPr>
        <w:t>第三章 投标人须知</w:t>
      </w:r>
    </w:p>
    <w:p w14:paraId="69859A0A">
      <w:pPr>
        <w:spacing w:line="360" w:lineRule="auto"/>
        <w:ind w:firstLine="420" w:firstLineChars="200"/>
        <w:rPr>
          <w:rFonts w:asciiTheme="minorEastAsia" w:hAnsiTheme="minorEastAsia"/>
          <w:szCs w:val="21"/>
        </w:rPr>
      </w:pPr>
      <w:r>
        <w:rPr>
          <w:rFonts w:hint="eastAsia" w:asciiTheme="minorEastAsia" w:hAnsiTheme="minorEastAsia"/>
          <w:szCs w:val="21"/>
        </w:rPr>
        <w:t>第四章 附件-</w:t>
      </w:r>
      <w:r>
        <w:rPr>
          <w:rFonts w:asciiTheme="minorEastAsia" w:hAnsiTheme="minorEastAsia"/>
          <w:szCs w:val="21"/>
        </w:rPr>
        <w:t>投标文件格式</w:t>
      </w:r>
    </w:p>
    <w:p w14:paraId="3C064711">
      <w:pPr>
        <w:spacing w:line="360" w:lineRule="auto"/>
        <w:ind w:firstLine="420" w:firstLineChars="200"/>
        <w:rPr>
          <w:rFonts w:asciiTheme="minorEastAsia" w:hAnsiTheme="minorEastAsia"/>
          <w:szCs w:val="21"/>
        </w:rPr>
      </w:pPr>
      <w:r>
        <w:rPr>
          <w:rFonts w:asciiTheme="minorEastAsia" w:hAnsiTheme="minorEastAsia"/>
          <w:szCs w:val="21"/>
        </w:rPr>
        <w:t>投标人应认真阅读招标文件中所有的事项、格式、条款和技术规格等。投标人没有按照招标文件要求提交全部资料，或者投标没有对招标文件在各方面都作出实质性响应是投标人的风险，并可能导致其投标被拒绝。</w:t>
      </w:r>
    </w:p>
    <w:p w14:paraId="431181E3">
      <w:pPr>
        <w:pStyle w:val="4"/>
        <w:spacing w:line="360" w:lineRule="auto"/>
        <w:ind w:firstLine="482"/>
      </w:pPr>
      <w:bookmarkStart w:id="30" w:name="_Toc55548500"/>
      <w:bookmarkStart w:id="31" w:name="_Toc31711"/>
      <w:r>
        <w:t>招标文件的澄清</w:t>
      </w:r>
      <w:bookmarkEnd w:id="30"/>
      <w:bookmarkEnd w:id="31"/>
    </w:p>
    <w:p w14:paraId="1D5684CE">
      <w:pPr>
        <w:spacing w:line="360" w:lineRule="auto"/>
        <w:ind w:firstLine="420" w:firstLineChars="200"/>
        <w:rPr>
          <w:rFonts w:asciiTheme="minorEastAsia" w:hAnsiTheme="minorEastAsia"/>
          <w:szCs w:val="21"/>
        </w:rPr>
      </w:pPr>
      <w:r>
        <w:rPr>
          <w:rFonts w:asciiTheme="minorEastAsia" w:hAnsiTheme="minorEastAsia"/>
          <w:szCs w:val="21"/>
        </w:rPr>
        <w:t>任何要求对招标文件进行澄清的潜在投标人，均应以书面形式通知招标人。</w:t>
      </w:r>
      <w:r>
        <w:rPr>
          <w:rFonts w:hint="eastAsia" w:asciiTheme="minorEastAsia" w:hAnsiTheme="minorEastAsia"/>
          <w:szCs w:val="21"/>
        </w:rPr>
        <w:t>本中心</w:t>
      </w:r>
      <w:r>
        <w:rPr>
          <w:rFonts w:asciiTheme="minorEastAsia" w:hAnsiTheme="minorEastAsia"/>
          <w:szCs w:val="21"/>
        </w:rPr>
        <w:t>对其在投标截止期五日以前收到的对招标文件的澄清要求均以书面形式予以答复，同时将书面答复方式发给每个购买招标文件的潜在投标人(答复中不包括问题的来源)。</w:t>
      </w:r>
    </w:p>
    <w:p w14:paraId="645AB32C">
      <w:pPr>
        <w:pStyle w:val="4"/>
        <w:spacing w:line="360" w:lineRule="auto"/>
        <w:ind w:firstLine="482"/>
      </w:pPr>
      <w:bookmarkStart w:id="32" w:name="_Toc21781"/>
      <w:bookmarkStart w:id="33" w:name="_Toc55548501"/>
      <w:bookmarkStart w:id="34" w:name="_Ref179619612"/>
      <w:r>
        <w:t>招标文件的修改</w:t>
      </w:r>
      <w:bookmarkEnd w:id="32"/>
      <w:bookmarkEnd w:id="33"/>
      <w:bookmarkEnd w:id="34"/>
    </w:p>
    <w:p w14:paraId="5E9AC086">
      <w:pPr>
        <w:spacing w:line="360" w:lineRule="auto"/>
        <w:ind w:firstLine="420" w:firstLineChars="200"/>
        <w:rPr>
          <w:rFonts w:asciiTheme="minorEastAsia" w:hAnsiTheme="minorEastAsia"/>
          <w:szCs w:val="21"/>
        </w:rPr>
      </w:pPr>
      <w:r>
        <w:rPr>
          <w:rFonts w:asciiTheme="minorEastAsia" w:hAnsiTheme="minorEastAsia"/>
          <w:szCs w:val="21"/>
        </w:rPr>
        <w:t>在投标截止时间三日前，招标人可主动地或在解答潜在投标人提出的澄清问题时对招标文件进行修改。澄清或修改时间不足三日的，</w:t>
      </w:r>
      <w:r>
        <w:rPr>
          <w:rFonts w:hint="eastAsia" w:asciiTheme="minorEastAsia" w:hAnsiTheme="minorEastAsia"/>
          <w:szCs w:val="21"/>
        </w:rPr>
        <w:t>本中心</w:t>
      </w:r>
      <w:r>
        <w:rPr>
          <w:rFonts w:asciiTheme="minorEastAsia" w:hAnsiTheme="minorEastAsia"/>
          <w:szCs w:val="21"/>
        </w:rPr>
        <w:t>在征得已获取招标文件的供应商同意并书面确认后，可不改变投标截至时间。</w:t>
      </w:r>
    </w:p>
    <w:p w14:paraId="6E9EDAA0">
      <w:pPr>
        <w:spacing w:line="360" w:lineRule="auto"/>
        <w:ind w:firstLine="420" w:firstLineChars="200"/>
        <w:rPr>
          <w:rFonts w:asciiTheme="minorEastAsia" w:hAnsiTheme="minorEastAsia"/>
          <w:szCs w:val="21"/>
        </w:rPr>
      </w:pPr>
      <w:bookmarkStart w:id="35" w:name="_Ref179619147"/>
      <w:r>
        <w:rPr>
          <w:rFonts w:asciiTheme="minorEastAsia" w:hAnsiTheme="minorEastAsia"/>
          <w:szCs w:val="21"/>
        </w:rPr>
        <w:t>招标文件的修改是招标文件的组成部分，招标文件的修改均在</w:t>
      </w:r>
      <w:r>
        <w:rPr>
          <w:rFonts w:hint="eastAsia" w:asciiTheme="minorEastAsia" w:hAnsiTheme="minorEastAsia"/>
          <w:kern w:val="0"/>
          <w:szCs w:val="21"/>
        </w:rPr>
        <w:t>http://www.bawjxt.net/bacdc/ (深圳市宝安区疾病预防控制中心官网)</w:t>
      </w:r>
      <w:r>
        <w:rPr>
          <w:rFonts w:asciiTheme="minorEastAsia" w:hAnsiTheme="minorEastAsia"/>
          <w:szCs w:val="21"/>
        </w:rPr>
        <w:t>以网上公告形式发布，并对投标人具有约束力，招标期间，投标人有义务上网查看，公告一经上网发布，即视为送达。</w:t>
      </w:r>
      <w:bookmarkEnd w:id="35"/>
    </w:p>
    <w:p w14:paraId="22DE6BCA">
      <w:pPr>
        <w:spacing w:line="360" w:lineRule="auto"/>
        <w:ind w:firstLine="420" w:firstLineChars="200"/>
        <w:rPr>
          <w:rFonts w:asciiTheme="minorEastAsia" w:hAnsiTheme="minorEastAsia"/>
          <w:szCs w:val="21"/>
        </w:rPr>
      </w:pPr>
      <w:r>
        <w:rPr>
          <w:rFonts w:asciiTheme="minorEastAsia" w:hAnsiTheme="minorEastAsia"/>
          <w:szCs w:val="21"/>
        </w:rPr>
        <w:t>为使投标人准备投标时有充分时间对招标文件的修改部分进行研究，招标人可适当推迟投标截止期。</w:t>
      </w:r>
    </w:p>
    <w:p w14:paraId="4FD404F2">
      <w:pPr>
        <w:pStyle w:val="5"/>
        <w:ind w:firstLine="482"/>
      </w:pPr>
      <w:bookmarkStart w:id="36" w:name="_Toc20164"/>
      <w:bookmarkStart w:id="37" w:name="_Toc55548502"/>
      <w:bookmarkStart w:id="38" w:name="_Toc6740"/>
      <w:r>
        <w:t>三、投标文件的编制</w:t>
      </w:r>
      <w:bookmarkEnd w:id="36"/>
      <w:bookmarkEnd w:id="37"/>
      <w:bookmarkEnd w:id="38"/>
    </w:p>
    <w:p w14:paraId="12FA035E">
      <w:pPr>
        <w:pStyle w:val="4"/>
        <w:spacing w:line="360" w:lineRule="auto"/>
        <w:ind w:firstLine="482"/>
      </w:pPr>
      <w:bookmarkStart w:id="39" w:name="_Toc28578"/>
      <w:bookmarkStart w:id="40" w:name="_Toc55548503"/>
      <w:r>
        <w:t>投标的语言</w:t>
      </w:r>
      <w:bookmarkEnd w:id="39"/>
      <w:bookmarkEnd w:id="40"/>
    </w:p>
    <w:p w14:paraId="233F1F22">
      <w:pPr>
        <w:spacing w:line="360" w:lineRule="auto"/>
        <w:ind w:firstLine="420" w:firstLineChars="200"/>
        <w:rPr>
          <w:rFonts w:asciiTheme="minorEastAsia" w:hAnsiTheme="minorEastAsia"/>
          <w:szCs w:val="21"/>
        </w:rPr>
      </w:pPr>
      <w:bookmarkStart w:id="41" w:name="_Ref179620571"/>
      <w:r>
        <w:rPr>
          <w:rFonts w:asciiTheme="minorEastAsia" w:hAnsiTheme="minorEastAsia"/>
          <w:szCs w:val="21"/>
        </w:rPr>
        <w:t>投标人提交的投标文件以及投标人与招标人就有关投标的所有来往函电均应使用</w:t>
      </w:r>
      <w:r>
        <w:rPr>
          <w:rFonts w:hint="eastAsia" w:asciiTheme="minorEastAsia" w:hAnsiTheme="minorEastAsia"/>
          <w:b/>
          <w:szCs w:val="21"/>
        </w:rPr>
        <w:t>中文</w:t>
      </w:r>
      <w:r>
        <w:rPr>
          <w:rFonts w:asciiTheme="minorEastAsia" w:hAnsiTheme="minorEastAsia"/>
          <w:szCs w:val="21"/>
        </w:rPr>
        <w:t>书写。投标人提交的支持资料和已印刷的文献可以用另一种语言，但相应内容应附有</w:t>
      </w:r>
      <w:r>
        <w:rPr>
          <w:rFonts w:hint="eastAsia" w:asciiTheme="minorEastAsia" w:hAnsiTheme="minorEastAsia"/>
          <w:b/>
          <w:szCs w:val="21"/>
        </w:rPr>
        <w:t>中文</w:t>
      </w:r>
      <w:r>
        <w:rPr>
          <w:rFonts w:asciiTheme="minorEastAsia" w:hAnsiTheme="minorEastAsia"/>
          <w:szCs w:val="21"/>
        </w:rPr>
        <w:t>的翻译本，在解释投标文件时以翻译本为准。</w:t>
      </w:r>
      <w:bookmarkEnd w:id="41"/>
    </w:p>
    <w:p w14:paraId="3C3909AA">
      <w:pPr>
        <w:pStyle w:val="4"/>
        <w:spacing w:line="360" w:lineRule="auto"/>
        <w:ind w:firstLine="482"/>
      </w:pPr>
      <w:bookmarkStart w:id="42" w:name="_Toc55548504"/>
      <w:bookmarkStart w:id="43" w:name="_Toc31114"/>
      <w:r>
        <w:t>投标范围及投标文件中计量单位的使用</w:t>
      </w:r>
      <w:bookmarkEnd w:id="42"/>
      <w:bookmarkEnd w:id="43"/>
    </w:p>
    <w:p w14:paraId="60BA31B9">
      <w:pPr>
        <w:spacing w:line="360" w:lineRule="auto"/>
        <w:ind w:firstLine="420" w:firstLineChars="200"/>
        <w:rPr>
          <w:rFonts w:asciiTheme="minorEastAsia" w:hAnsiTheme="minorEastAsia"/>
          <w:szCs w:val="21"/>
        </w:rPr>
      </w:pPr>
      <w:r>
        <w:rPr>
          <w:rFonts w:asciiTheme="minorEastAsia" w:hAnsiTheme="minorEastAsia"/>
          <w:szCs w:val="21"/>
        </w:rPr>
        <w:t>投标人可对招标文件中“用户需求书”中所述的所有货物</w:t>
      </w:r>
      <w:r>
        <w:rPr>
          <w:rFonts w:hint="eastAsia" w:asciiTheme="minorEastAsia" w:hAnsiTheme="minorEastAsia"/>
          <w:szCs w:val="21"/>
        </w:rPr>
        <w:t>或者</w:t>
      </w:r>
      <w:r>
        <w:rPr>
          <w:rFonts w:asciiTheme="minorEastAsia" w:hAnsiTheme="minorEastAsia"/>
          <w:szCs w:val="21"/>
        </w:rPr>
        <w:t>服务进行投标，也可以只对其中一包或几包货物进行投标，但不得将一包中的内容拆开投标。</w:t>
      </w:r>
    </w:p>
    <w:p w14:paraId="41758748">
      <w:pPr>
        <w:spacing w:line="360" w:lineRule="auto"/>
        <w:ind w:firstLine="420" w:firstLineChars="200"/>
        <w:rPr>
          <w:rFonts w:asciiTheme="minorEastAsia" w:hAnsiTheme="minorEastAsia"/>
          <w:szCs w:val="21"/>
        </w:rPr>
      </w:pPr>
      <w:r>
        <w:rPr>
          <w:rFonts w:asciiTheme="minorEastAsia" w:hAnsiTheme="minorEastAsia"/>
          <w:szCs w:val="21"/>
        </w:rPr>
        <w:t>投标文件中所使用的计量单位，除招标文件中有特殊要求外，应采用中华人民共和国法定计量单位。</w:t>
      </w:r>
    </w:p>
    <w:p w14:paraId="13285724">
      <w:pPr>
        <w:spacing w:line="360" w:lineRule="auto"/>
        <w:ind w:firstLine="420" w:firstLineChars="200"/>
        <w:rPr>
          <w:rFonts w:asciiTheme="minorEastAsia" w:hAnsiTheme="minorEastAsia"/>
          <w:szCs w:val="21"/>
        </w:rPr>
      </w:pPr>
      <w:r>
        <w:rPr>
          <w:rFonts w:asciiTheme="minorEastAsia" w:hAnsiTheme="minorEastAsia"/>
          <w:szCs w:val="21"/>
        </w:rPr>
        <w:t>除非另有说明，本招标文件中所称“日”均指日历日，投标文件中需以日历日对招标文件作出响应。评审时，对投标中出现的“工作日”按五个工作日折合七个日历日计算，且评标委员会可能会就有关日期作出对该投标人不利的折算或量化，投标人不得对此提出异议，否则其投标将被拒绝。</w:t>
      </w:r>
    </w:p>
    <w:p w14:paraId="46138638">
      <w:pPr>
        <w:pStyle w:val="4"/>
        <w:spacing w:line="360" w:lineRule="auto"/>
        <w:ind w:firstLine="482"/>
      </w:pPr>
      <w:bookmarkStart w:id="44" w:name="_Toc55548505"/>
      <w:bookmarkStart w:id="45" w:name="_Toc4999"/>
      <w:r>
        <w:t>投标文件的构成</w:t>
      </w:r>
      <w:bookmarkEnd w:id="44"/>
      <w:bookmarkEnd w:id="45"/>
    </w:p>
    <w:p w14:paraId="60614872">
      <w:pPr>
        <w:spacing w:line="360" w:lineRule="auto"/>
        <w:ind w:firstLine="420" w:firstLineChars="200"/>
        <w:rPr>
          <w:rFonts w:asciiTheme="minorEastAsia" w:hAnsiTheme="minorEastAsia"/>
          <w:szCs w:val="21"/>
        </w:rPr>
      </w:pPr>
      <w:r>
        <w:rPr>
          <w:rFonts w:asciiTheme="minorEastAsia" w:hAnsiTheme="minorEastAsia"/>
          <w:szCs w:val="21"/>
        </w:rPr>
        <w:t>投标人应完整地按招标文件提供的投标文件格式制作投标文件。</w:t>
      </w:r>
    </w:p>
    <w:p w14:paraId="18671161">
      <w:pPr>
        <w:pStyle w:val="4"/>
        <w:spacing w:line="360" w:lineRule="auto"/>
        <w:ind w:firstLine="482"/>
      </w:pPr>
      <w:bookmarkStart w:id="46" w:name="_Toc55548506"/>
      <w:bookmarkStart w:id="47" w:name="_Toc24290"/>
      <w:bookmarkStart w:id="48" w:name="_Toc55548507"/>
      <w:bookmarkStart w:id="49" w:name="_Toc12177"/>
      <w:r>
        <w:t>投标文件电子文档</w:t>
      </w:r>
      <w:bookmarkEnd w:id="46"/>
      <w:bookmarkEnd w:id="47"/>
    </w:p>
    <w:p w14:paraId="145B3DEE">
      <w:pPr>
        <w:spacing w:line="360" w:lineRule="auto"/>
        <w:ind w:firstLine="420" w:firstLineChars="200"/>
        <w:rPr>
          <w:rFonts w:asciiTheme="minorEastAsia" w:hAnsiTheme="minorEastAsia"/>
          <w:szCs w:val="21"/>
        </w:rPr>
      </w:pPr>
      <w:r>
        <w:rPr>
          <w:rFonts w:asciiTheme="minorEastAsia" w:hAnsiTheme="minorEastAsia"/>
          <w:szCs w:val="21"/>
          <w:highlight w:val="yellow"/>
        </w:rPr>
        <w:t>投标人在提交书面投标文件的同时，</w:t>
      </w:r>
      <w:r>
        <w:fldChar w:fldCharType="begin"/>
      </w:r>
      <w:r>
        <w:instrText xml:space="preserve"> HYPERLINK "mailto:应提交该投标文件的电子文档（格式为盖章版扫描件）于指定时间发送至568711397@qq.com" </w:instrText>
      </w:r>
      <w:r>
        <w:fldChar w:fldCharType="separate"/>
      </w:r>
      <w:r>
        <w:rPr>
          <w:rStyle w:val="18"/>
          <w:rFonts w:asciiTheme="minorEastAsia" w:hAnsiTheme="minorEastAsia"/>
          <w:szCs w:val="21"/>
          <w:highlight w:val="yellow"/>
        </w:rPr>
        <w:t>应提交该投标文件的电子文档于指定时间发送至</w:t>
      </w:r>
      <w:r>
        <w:rPr>
          <w:rStyle w:val="18"/>
          <w:rFonts w:hint="eastAsia" w:eastAsia="宋体" w:cs="Times New Roman" w:asciiTheme="minorEastAsia" w:hAnsiTheme="minorEastAsia"/>
          <w:szCs w:val="21"/>
          <w:highlight w:val="yellow"/>
        </w:rPr>
        <w:t>bacdcxxk@baoan.gov.cn</w:t>
      </w:r>
      <w:r>
        <w:rPr>
          <w:rStyle w:val="18"/>
          <w:rFonts w:hint="eastAsia" w:eastAsia="宋体" w:cs="Times New Roman" w:asciiTheme="minorEastAsia" w:hAnsiTheme="minorEastAsia"/>
          <w:szCs w:val="21"/>
          <w:highlight w:val="yellow"/>
        </w:rPr>
        <w:fldChar w:fldCharType="end"/>
      </w:r>
      <w:r>
        <w:rPr>
          <w:rFonts w:hint="eastAsia" w:asciiTheme="minorEastAsia" w:hAnsiTheme="minorEastAsia"/>
          <w:szCs w:val="21"/>
          <w:highlight w:val="yellow"/>
        </w:rPr>
        <w:t>邮箱</w:t>
      </w:r>
      <w:r>
        <w:rPr>
          <w:rFonts w:asciiTheme="minorEastAsia" w:hAnsiTheme="minorEastAsia"/>
          <w:szCs w:val="21"/>
          <w:highlight w:val="yellow"/>
        </w:rPr>
        <w:t>。</w:t>
      </w:r>
    </w:p>
    <w:p w14:paraId="2623EC98">
      <w:pPr>
        <w:spacing w:line="360" w:lineRule="auto"/>
        <w:ind w:firstLine="420" w:firstLineChars="200"/>
        <w:rPr>
          <w:rFonts w:asciiTheme="minorEastAsia" w:hAnsiTheme="minorEastAsia"/>
          <w:szCs w:val="21"/>
        </w:rPr>
      </w:pPr>
      <w:r>
        <w:rPr>
          <w:rFonts w:asciiTheme="minorEastAsia" w:hAnsiTheme="minorEastAsia"/>
          <w:szCs w:val="21"/>
        </w:rPr>
        <w:t>电子文档的格式要求：投标文件电子文档应统一</w:t>
      </w:r>
      <w:r>
        <w:rPr>
          <w:rFonts w:hint="eastAsia" w:asciiTheme="minorEastAsia" w:hAnsiTheme="minorEastAsia"/>
          <w:szCs w:val="21"/>
        </w:rPr>
        <w:t>为投标文件盖章后扫描件</w:t>
      </w:r>
      <w:r>
        <w:rPr>
          <w:rFonts w:asciiTheme="minorEastAsia" w:hAnsiTheme="minorEastAsia"/>
          <w:szCs w:val="21"/>
        </w:rPr>
        <w:t>。</w:t>
      </w:r>
    </w:p>
    <w:p w14:paraId="45E806E5">
      <w:pPr>
        <w:spacing w:line="360" w:lineRule="auto"/>
        <w:ind w:firstLine="420" w:firstLineChars="200"/>
        <w:rPr>
          <w:rFonts w:asciiTheme="minorEastAsia" w:hAnsiTheme="minorEastAsia"/>
          <w:szCs w:val="21"/>
        </w:rPr>
      </w:pPr>
      <w:r>
        <w:rPr>
          <w:rFonts w:asciiTheme="minorEastAsia" w:hAnsiTheme="minorEastAsia"/>
          <w:szCs w:val="21"/>
        </w:rPr>
        <w:t>投标人提交的书面投标文件的实质内容应与提交的电子文档的实质内容完全一致。如果评标委员会发现两者的实质内容不一致，将按不利于投标人的原则予以处置。因此产生的一切责任均由投标人承担。</w:t>
      </w:r>
    </w:p>
    <w:p w14:paraId="39F7BE42">
      <w:pPr>
        <w:pStyle w:val="4"/>
        <w:spacing w:line="360" w:lineRule="auto"/>
        <w:ind w:firstLine="482"/>
      </w:pPr>
      <w:r>
        <w:t>投标文件的编写</w:t>
      </w:r>
      <w:bookmarkEnd w:id="48"/>
      <w:bookmarkEnd w:id="49"/>
    </w:p>
    <w:p w14:paraId="55B2D4E8">
      <w:pPr>
        <w:spacing w:line="360" w:lineRule="auto"/>
        <w:ind w:firstLine="420" w:firstLineChars="200"/>
        <w:rPr>
          <w:rFonts w:asciiTheme="minorEastAsia" w:hAnsiTheme="minorEastAsia"/>
          <w:szCs w:val="21"/>
        </w:rPr>
      </w:pPr>
      <w:r>
        <w:rPr>
          <w:rFonts w:asciiTheme="minorEastAsia" w:hAnsiTheme="minorEastAsia"/>
          <w:szCs w:val="21"/>
        </w:rPr>
        <w:t>投标人应按招标文件的规定，及附件要求的内容和格式完整地填写和提供资料，并保证所提供的全部资料的真实性。</w:t>
      </w:r>
    </w:p>
    <w:p w14:paraId="1A6BB594">
      <w:pPr>
        <w:pStyle w:val="4"/>
        <w:spacing w:line="360" w:lineRule="auto"/>
        <w:ind w:firstLine="482"/>
      </w:pPr>
      <w:bookmarkStart w:id="50" w:name="_Toc55548508"/>
      <w:bookmarkStart w:id="51" w:name="_Toc26930"/>
      <w:r>
        <w:t>投标报价</w:t>
      </w:r>
      <w:bookmarkEnd w:id="50"/>
      <w:bookmarkEnd w:id="51"/>
    </w:p>
    <w:p w14:paraId="190FD17C">
      <w:pPr>
        <w:spacing w:line="360" w:lineRule="auto"/>
        <w:ind w:firstLine="420" w:firstLineChars="200"/>
        <w:rPr>
          <w:rFonts w:asciiTheme="minorEastAsia" w:hAnsiTheme="minorEastAsia"/>
          <w:szCs w:val="21"/>
        </w:rPr>
      </w:pPr>
      <w:r>
        <w:rPr>
          <w:rFonts w:asciiTheme="minorEastAsia" w:hAnsiTheme="minorEastAsia"/>
          <w:szCs w:val="21"/>
        </w:rPr>
        <w:t>所有投标均以人民币报价。投标人的投标报价应符合《中华人民共和国价格法》的有关规定。</w:t>
      </w:r>
    </w:p>
    <w:p w14:paraId="6E8AA3B2">
      <w:pPr>
        <w:spacing w:line="360" w:lineRule="auto"/>
        <w:ind w:firstLine="420" w:firstLineChars="200"/>
        <w:rPr>
          <w:rFonts w:asciiTheme="minorEastAsia" w:hAnsiTheme="minorEastAsia"/>
          <w:szCs w:val="21"/>
        </w:rPr>
      </w:pPr>
      <w:bookmarkStart w:id="52" w:name="_Ref179619251"/>
      <w:r>
        <w:rPr>
          <w:rFonts w:asciiTheme="minorEastAsia" w:hAnsiTheme="minorEastAsia"/>
          <w:szCs w:val="21"/>
        </w:rPr>
        <w:t>投标人应在投标分项报价表上标明投标货物及相关服务的单价(如适用)和总价，并由法定代表人或其授权代表签署。投标总价中不得包含招标文件要求以外的内容，否则，在评标时不予核减。</w:t>
      </w:r>
      <w:bookmarkEnd w:id="52"/>
    </w:p>
    <w:p w14:paraId="19F58676">
      <w:pPr>
        <w:spacing w:line="360" w:lineRule="auto"/>
        <w:ind w:firstLine="420" w:firstLineChars="200"/>
        <w:rPr>
          <w:rFonts w:asciiTheme="minorEastAsia" w:hAnsiTheme="minorEastAsia"/>
          <w:szCs w:val="21"/>
        </w:rPr>
      </w:pPr>
      <w:bookmarkStart w:id="53" w:name="_Ref179620595"/>
      <w:r>
        <w:rPr>
          <w:rFonts w:asciiTheme="minorEastAsia" w:hAnsiTheme="minorEastAsia"/>
          <w:szCs w:val="21"/>
        </w:rPr>
        <w:t>投标人的投标报价，应完整的包含所有采购内容，且不得以任何理由重复，每一项目只允许有一个报价，任何有选择的报价将不予接受。</w:t>
      </w:r>
      <w:bookmarkEnd w:id="53"/>
    </w:p>
    <w:p w14:paraId="5E6E2DEB">
      <w:pPr>
        <w:spacing w:line="360" w:lineRule="auto"/>
        <w:ind w:firstLine="420" w:firstLineChars="200"/>
        <w:rPr>
          <w:rFonts w:asciiTheme="minorEastAsia" w:hAnsiTheme="minorEastAsia"/>
          <w:szCs w:val="21"/>
        </w:rPr>
      </w:pPr>
      <w:r>
        <w:rPr>
          <w:rFonts w:asciiTheme="minorEastAsia" w:hAnsiTheme="minorEastAsia"/>
          <w:szCs w:val="21"/>
        </w:rPr>
        <w:t>投标分项报价上的价格应按下列方式填写：</w:t>
      </w:r>
    </w:p>
    <w:p w14:paraId="418BA2C7">
      <w:pPr>
        <w:spacing w:line="360" w:lineRule="auto"/>
        <w:ind w:firstLine="420" w:firstLineChars="200"/>
        <w:rPr>
          <w:rFonts w:asciiTheme="minorEastAsia" w:hAnsiTheme="minorEastAsia"/>
          <w:szCs w:val="21"/>
        </w:rPr>
      </w:pPr>
      <w:r>
        <w:rPr>
          <w:rFonts w:asciiTheme="minorEastAsia" w:hAnsiTheme="minorEastAsia"/>
          <w:szCs w:val="21"/>
        </w:rPr>
        <w:t>投标货物</w:t>
      </w:r>
      <w:r>
        <w:rPr>
          <w:rFonts w:hint="eastAsia" w:asciiTheme="minorEastAsia" w:hAnsiTheme="minorEastAsia"/>
          <w:szCs w:val="21"/>
        </w:rPr>
        <w:t>或</w:t>
      </w:r>
      <w:r>
        <w:rPr>
          <w:rFonts w:asciiTheme="minorEastAsia" w:hAnsiTheme="minorEastAsia"/>
          <w:szCs w:val="21"/>
        </w:rPr>
        <w:t>服务包括标准附件、备品备件、专用工具等的出厂价(包括已在中国国内的进口货物完税后的仓库交货价、展室交货价或货架交货价)，投标货物安装、调试、检验、技术服务和培训等费用；</w:t>
      </w:r>
    </w:p>
    <w:p w14:paraId="106B17E4">
      <w:pPr>
        <w:spacing w:line="360" w:lineRule="auto"/>
        <w:ind w:firstLine="420" w:firstLineChars="200"/>
        <w:rPr>
          <w:rFonts w:asciiTheme="minorEastAsia" w:hAnsiTheme="minorEastAsia"/>
          <w:szCs w:val="21"/>
        </w:rPr>
      </w:pPr>
      <w:r>
        <w:rPr>
          <w:rFonts w:asciiTheme="minorEastAsia" w:hAnsiTheme="minorEastAsia"/>
          <w:szCs w:val="21"/>
        </w:rPr>
        <w:t>货物运至最终目的地并安装调试完毕的运输费和保险费用和伴随货物交运的有关费用；</w:t>
      </w:r>
    </w:p>
    <w:p w14:paraId="422FFAA2">
      <w:pPr>
        <w:spacing w:line="360" w:lineRule="auto"/>
        <w:ind w:firstLine="420" w:firstLineChars="200"/>
        <w:rPr>
          <w:rFonts w:asciiTheme="minorEastAsia" w:hAnsiTheme="minorEastAsia"/>
          <w:szCs w:val="21"/>
        </w:rPr>
      </w:pPr>
      <w:bookmarkStart w:id="54" w:name="_Ref179620755"/>
      <w:r>
        <w:rPr>
          <w:rFonts w:asciiTheme="minorEastAsia" w:hAnsiTheme="minorEastAsia"/>
          <w:szCs w:val="21"/>
        </w:rPr>
        <w:t>其他伴随服务的费用(如有)。</w:t>
      </w:r>
      <w:bookmarkEnd w:id="54"/>
    </w:p>
    <w:p w14:paraId="4D4DF237">
      <w:pPr>
        <w:spacing w:line="360" w:lineRule="auto"/>
        <w:ind w:firstLine="420" w:firstLineChars="200"/>
        <w:rPr>
          <w:rFonts w:asciiTheme="minorEastAsia" w:hAnsiTheme="minorEastAsia"/>
          <w:szCs w:val="21"/>
        </w:rPr>
      </w:pPr>
      <w:r>
        <w:rPr>
          <w:rFonts w:asciiTheme="minorEastAsia" w:hAnsiTheme="minorEastAsia"/>
          <w:szCs w:val="21"/>
        </w:rPr>
        <w:t xml:space="preserve">投标人根据本须知的规定将投标价分成几部分，只是为了方便招标人对投标文件进行比较，并不限制招标人以上述任何条件订立合同的权力。 </w:t>
      </w:r>
    </w:p>
    <w:p w14:paraId="6E1A1BDC">
      <w:pPr>
        <w:spacing w:line="360" w:lineRule="auto"/>
        <w:ind w:firstLine="420" w:firstLineChars="200"/>
        <w:rPr>
          <w:rFonts w:asciiTheme="minorEastAsia" w:hAnsiTheme="minorEastAsia"/>
          <w:szCs w:val="21"/>
        </w:rPr>
      </w:pPr>
      <w:r>
        <w:rPr>
          <w:rFonts w:asciiTheme="minorEastAsia" w:hAnsiTheme="minorEastAsia"/>
          <w:szCs w:val="21"/>
        </w:rPr>
        <w:t>投标人所报的投标价在合同执行过程中是固定不变的，不得以任何理由予以变更。任何包含价格调整要求的投标，被认为是非实质性响应投标而予以拒绝。</w:t>
      </w:r>
    </w:p>
    <w:p w14:paraId="52B555BE">
      <w:pPr>
        <w:pStyle w:val="4"/>
        <w:spacing w:line="360" w:lineRule="auto"/>
        <w:ind w:firstLine="482"/>
      </w:pPr>
      <w:bookmarkStart w:id="55" w:name="_Toc11635"/>
      <w:bookmarkStart w:id="56" w:name="_Toc55548509"/>
      <w:r>
        <w:t>证明投标人合格和资格的文件</w:t>
      </w:r>
      <w:bookmarkEnd w:id="55"/>
      <w:bookmarkEnd w:id="56"/>
      <w:r>
        <w:t xml:space="preserve"> </w:t>
      </w:r>
    </w:p>
    <w:p w14:paraId="49482C82">
      <w:pPr>
        <w:spacing w:line="360" w:lineRule="auto"/>
        <w:ind w:firstLine="420" w:firstLineChars="200"/>
        <w:rPr>
          <w:rFonts w:asciiTheme="minorEastAsia" w:hAnsiTheme="minorEastAsia"/>
          <w:szCs w:val="21"/>
        </w:rPr>
      </w:pPr>
      <w:r>
        <w:rPr>
          <w:rFonts w:asciiTheme="minorEastAsia" w:hAnsiTheme="minorEastAsia"/>
          <w:szCs w:val="21"/>
        </w:rPr>
        <w:t>投标人应提交证明其有资格参加投标和中标后有能力履行合同的文件。</w:t>
      </w:r>
    </w:p>
    <w:p w14:paraId="098BAA97">
      <w:pPr>
        <w:spacing w:line="360" w:lineRule="auto"/>
        <w:ind w:firstLine="420" w:firstLineChars="200"/>
        <w:rPr>
          <w:rFonts w:asciiTheme="minorEastAsia" w:hAnsiTheme="minorEastAsia"/>
          <w:szCs w:val="21"/>
        </w:rPr>
      </w:pPr>
      <w:r>
        <w:rPr>
          <w:rFonts w:asciiTheme="minorEastAsia" w:hAnsiTheme="minorEastAsia"/>
          <w:szCs w:val="21"/>
        </w:rPr>
        <w:t>招标文件允许联合体投标时，投标人始得组建联合体。联合体投标时，应提交各方的资格证明文件、联合体协议并注明主办人；联合体各方签订共同投标协议后，不得再以自己的名义单独在同一项目中投标，也不得组成新的联合体参加同一项目投标。违反上述规定的联合体投标将导致其投标被拒绝。</w:t>
      </w:r>
    </w:p>
    <w:p w14:paraId="3AF4EB96">
      <w:pPr>
        <w:spacing w:line="360" w:lineRule="auto"/>
        <w:ind w:firstLine="420" w:firstLineChars="200"/>
        <w:rPr>
          <w:rFonts w:asciiTheme="minorEastAsia" w:hAnsiTheme="minorEastAsia"/>
          <w:szCs w:val="21"/>
        </w:rPr>
      </w:pPr>
      <w:r>
        <w:rPr>
          <w:rFonts w:asciiTheme="minorEastAsia" w:hAnsiTheme="minorEastAsia"/>
          <w:szCs w:val="21"/>
        </w:rPr>
        <w:t xml:space="preserve">投标人提交的证明其中标后能履行合同的资格证明文件应包括下列文件： </w:t>
      </w:r>
    </w:p>
    <w:p w14:paraId="31E95719">
      <w:pPr>
        <w:spacing w:line="360" w:lineRule="auto"/>
        <w:ind w:firstLine="420" w:firstLineChars="200"/>
        <w:rPr>
          <w:rFonts w:asciiTheme="minorEastAsia" w:hAnsiTheme="minorEastAsia"/>
          <w:szCs w:val="21"/>
        </w:rPr>
      </w:pPr>
      <w:r>
        <w:rPr>
          <w:rFonts w:asciiTheme="minorEastAsia" w:hAnsiTheme="minorEastAsia"/>
          <w:szCs w:val="21"/>
        </w:rPr>
        <w:t>证明投标人销售资格的证明文件：制造商参加投标时，需在投标文件中注明其制造商身份；代理商参加投标时则须提交相应授权文件，授权文件包括制造商或上级代理商授权（上级代理商授权文件应可追溯至制造商授权文件，并有完整的证明资料）；招标文件对授权文件有特殊要求的，从其规定；</w:t>
      </w:r>
    </w:p>
    <w:p w14:paraId="2EAFBB5A">
      <w:pPr>
        <w:spacing w:line="360" w:lineRule="auto"/>
        <w:ind w:firstLine="420" w:firstLineChars="200"/>
        <w:rPr>
          <w:rFonts w:asciiTheme="minorEastAsia" w:hAnsiTheme="minorEastAsia"/>
          <w:szCs w:val="21"/>
        </w:rPr>
      </w:pPr>
      <w:r>
        <w:rPr>
          <w:rFonts w:asciiTheme="minorEastAsia" w:hAnsiTheme="minorEastAsia"/>
          <w:szCs w:val="21"/>
        </w:rPr>
        <w:t xml:space="preserve">证明投标人已具备履行合同所需的财务、技术和生产能力的文件； </w:t>
      </w:r>
    </w:p>
    <w:p w14:paraId="73A14EF4">
      <w:pPr>
        <w:spacing w:line="360" w:lineRule="auto"/>
        <w:ind w:firstLine="420" w:firstLineChars="200"/>
        <w:rPr>
          <w:rFonts w:asciiTheme="minorEastAsia" w:hAnsiTheme="minorEastAsia"/>
          <w:szCs w:val="21"/>
        </w:rPr>
      </w:pPr>
      <w:r>
        <w:rPr>
          <w:rFonts w:asciiTheme="minorEastAsia" w:hAnsiTheme="minorEastAsia"/>
          <w:szCs w:val="21"/>
        </w:rPr>
        <w:t>证明投标人满足招标文件业绩要求的文件；</w:t>
      </w:r>
    </w:p>
    <w:p w14:paraId="77372D4D">
      <w:pPr>
        <w:spacing w:line="360" w:lineRule="auto"/>
        <w:ind w:firstLine="420" w:firstLineChars="200"/>
        <w:rPr>
          <w:rFonts w:asciiTheme="minorEastAsia" w:hAnsiTheme="minorEastAsia"/>
          <w:szCs w:val="21"/>
        </w:rPr>
      </w:pPr>
      <w:bookmarkStart w:id="57" w:name="_Ref179620846"/>
      <w:r>
        <w:rPr>
          <w:rFonts w:asciiTheme="minorEastAsia" w:hAnsiTheme="minorEastAsia"/>
          <w:szCs w:val="21"/>
        </w:rPr>
        <w:t>投标资料表要求的其它资格证明文件。</w:t>
      </w:r>
      <w:bookmarkEnd w:id="57"/>
    </w:p>
    <w:p w14:paraId="35F29ECC">
      <w:pPr>
        <w:pStyle w:val="4"/>
        <w:spacing w:line="360" w:lineRule="auto"/>
        <w:ind w:firstLine="482"/>
      </w:pPr>
      <w:bookmarkStart w:id="58" w:name="_Toc55548510"/>
      <w:bookmarkStart w:id="59" w:name="_Toc28857"/>
      <w:r>
        <w:t>证明货物的合格性和符合招标文件规定的文件</w:t>
      </w:r>
      <w:bookmarkEnd w:id="58"/>
      <w:bookmarkEnd w:id="59"/>
    </w:p>
    <w:p w14:paraId="4EA7064C">
      <w:pPr>
        <w:spacing w:line="360" w:lineRule="auto"/>
        <w:ind w:firstLine="420" w:firstLineChars="200"/>
        <w:rPr>
          <w:rFonts w:asciiTheme="minorEastAsia" w:hAnsiTheme="minorEastAsia"/>
          <w:szCs w:val="21"/>
        </w:rPr>
      </w:pPr>
      <w:r>
        <w:rPr>
          <w:rFonts w:asciiTheme="minorEastAsia" w:hAnsiTheme="minorEastAsia"/>
          <w:szCs w:val="21"/>
        </w:rPr>
        <w:t>投标人应提交证明文件，证明其拟供的合同项下的货物和服务的合格性符合招标文件规定。该证明文件作为投标文件的一部分。</w:t>
      </w:r>
    </w:p>
    <w:p w14:paraId="3628EF31">
      <w:pPr>
        <w:spacing w:line="360" w:lineRule="auto"/>
        <w:ind w:firstLine="420" w:firstLineChars="200"/>
        <w:rPr>
          <w:rFonts w:asciiTheme="minorEastAsia" w:hAnsiTheme="minorEastAsia"/>
          <w:szCs w:val="21"/>
        </w:rPr>
      </w:pPr>
      <w:r>
        <w:rPr>
          <w:rFonts w:asciiTheme="minorEastAsia" w:hAnsiTheme="minorEastAsia"/>
          <w:szCs w:val="21"/>
        </w:rPr>
        <w:t>上述所述的证明文件，可以是文字资料、图纸和数据，它包括：</w:t>
      </w:r>
    </w:p>
    <w:p w14:paraId="77978AD1">
      <w:pPr>
        <w:spacing w:line="360" w:lineRule="auto"/>
        <w:ind w:firstLine="420" w:firstLineChars="200"/>
        <w:rPr>
          <w:rFonts w:asciiTheme="minorEastAsia" w:hAnsiTheme="minorEastAsia"/>
          <w:szCs w:val="21"/>
        </w:rPr>
      </w:pPr>
      <w:r>
        <w:rPr>
          <w:rFonts w:asciiTheme="minorEastAsia" w:hAnsiTheme="minorEastAsia"/>
          <w:szCs w:val="21"/>
        </w:rPr>
        <w:t>货物主要技术指标和性能的详细说明；</w:t>
      </w:r>
    </w:p>
    <w:p w14:paraId="6AC93EB6">
      <w:pPr>
        <w:spacing w:line="360" w:lineRule="auto"/>
        <w:ind w:firstLine="420" w:firstLineChars="200"/>
        <w:rPr>
          <w:rFonts w:asciiTheme="minorEastAsia" w:hAnsiTheme="minorEastAsia"/>
          <w:szCs w:val="21"/>
        </w:rPr>
      </w:pPr>
      <w:r>
        <w:rPr>
          <w:rFonts w:asciiTheme="minorEastAsia" w:hAnsiTheme="minorEastAsia"/>
          <w:szCs w:val="21"/>
        </w:rPr>
        <w:t>货物从招标人验收后开始使用至招标文件规定的保质期内正常、连续地使用所必须的备件和专用工具清单，包括备件和专用工具的货源及现行价格；</w:t>
      </w:r>
    </w:p>
    <w:p w14:paraId="1DB7014C">
      <w:pPr>
        <w:spacing w:line="360" w:lineRule="auto"/>
        <w:ind w:firstLine="420" w:firstLineChars="200"/>
        <w:rPr>
          <w:rFonts w:asciiTheme="minorEastAsia" w:hAnsiTheme="minorEastAsia"/>
          <w:szCs w:val="21"/>
        </w:rPr>
      </w:pPr>
      <w:r>
        <w:rPr>
          <w:rFonts w:asciiTheme="minorEastAsia" w:hAnsiTheme="minorEastAsia"/>
          <w:szCs w:val="21"/>
        </w:rPr>
        <w:t>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66B35333">
      <w:pPr>
        <w:spacing w:line="360" w:lineRule="auto"/>
        <w:ind w:firstLine="420" w:firstLineChars="200"/>
        <w:rPr>
          <w:rFonts w:asciiTheme="minorEastAsia" w:hAnsiTheme="minorEastAsia"/>
          <w:szCs w:val="21"/>
        </w:rPr>
      </w:pPr>
      <w:r>
        <w:rPr>
          <w:rFonts w:asciiTheme="minorEastAsia" w:hAnsiTheme="minorEastAsia"/>
          <w:szCs w:val="21"/>
        </w:rPr>
        <w:t>投标人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37CFFF30">
      <w:pPr>
        <w:pStyle w:val="4"/>
        <w:spacing w:line="360" w:lineRule="auto"/>
        <w:ind w:firstLine="482"/>
      </w:pPr>
      <w:bookmarkStart w:id="60" w:name="_Toc55548511"/>
      <w:bookmarkStart w:id="61" w:name="_Toc1901"/>
      <w:r>
        <w:t>投标有效期</w:t>
      </w:r>
      <w:bookmarkEnd w:id="60"/>
      <w:bookmarkEnd w:id="61"/>
    </w:p>
    <w:p w14:paraId="1A15E921">
      <w:pPr>
        <w:spacing w:line="360" w:lineRule="auto"/>
        <w:ind w:firstLine="420" w:firstLineChars="200"/>
        <w:rPr>
          <w:rFonts w:asciiTheme="minorEastAsia" w:hAnsiTheme="minorEastAsia"/>
          <w:szCs w:val="21"/>
        </w:rPr>
      </w:pPr>
      <w:bookmarkStart w:id="62" w:name="_Ref179620893"/>
      <w:r>
        <w:rPr>
          <w:rFonts w:asciiTheme="minorEastAsia" w:hAnsiTheme="minorEastAsia"/>
          <w:szCs w:val="21"/>
        </w:rPr>
        <w:t>投标有效期不足的投标将被视为非实质性响应，并予以拒绝。</w:t>
      </w:r>
      <w:bookmarkEnd w:id="62"/>
    </w:p>
    <w:p w14:paraId="72E9B3DB">
      <w:pPr>
        <w:spacing w:line="360" w:lineRule="auto"/>
        <w:ind w:firstLine="420" w:firstLineChars="200"/>
        <w:rPr>
          <w:rFonts w:asciiTheme="minorEastAsia" w:hAnsiTheme="minorEastAsia"/>
          <w:szCs w:val="21"/>
        </w:rPr>
      </w:pPr>
      <w:r>
        <w:rPr>
          <w:rFonts w:asciiTheme="minorEastAsia" w:hAnsiTheme="minorEastAsia"/>
          <w:szCs w:val="21"/>
        </w:rPr>
        <w:t>特殊情况下，在原投标有效期截止之前，招标</w:t>
      </w:r>
      <w:r>
        <w:rPr>
          <w:rFonts w:hint="eastAsia" w:asciiTheme="minorEastAsia" w:hAnsiTheme="minorEastAsia"/>
          <w:szCs w:val="21"/>
        </w:rPr>
        <w:t>人</w:t>
      </w:r>
      <w:r>
        <w:rPr>
          <w:rFonts w:asciiTheme="minorEastAsia" w:hAnsiTheme="minorEastAsia"/>
          <w:szCs w:val="21"/>
        </w:rPr>
        <w:t>可要求投标人延长投标有效期。该要求与答复均应以书面形式提交。投标人可拒绝</w:t>
      </w:r>
      <w:r>
        <w:rPr>
          <w:rFonts w:hint="eastAsia" w:asciiTheme="minorEastAsia" w:hAnsiTheme="minorEastAsia"/>
          <w:szCs w:val="21"/>
        </w:rPr>
        <w:t>招标人</w:t>
      </w:r>
      <w:r>
        <w:rPr>
          <w:rFonts w:asciiTheme="minorEastAsia" w:hAnsiTheme="minorEastAsia"/>
          <w:szCs w:val="21"/>
        </w:rPr>
        <w:t>的这种要求，其投标保证金将不会被没收，但其投标在原投标有效期期满后将不再有效。同意延长投标有效期的投标人将不会被要求和允许修正其投标，而只会被要求相应地延长其投标保证金的有效期。且本须知有关投标保证金要求将在延长了的有效期内继续有效。</w:t>
      </w:r>
    </w:p>
    <w:p w14:paraId="25878C2F">
      <w:pPr>
        <w:pStyle w:val="4"/>
        <w:spacing w:line="360" w:lineRule="auto"/>
        <w:ind w:firstLine="482"/>
      </w:pPr>
      <w:bookmarkStart w:id="63" w:name="_Toc55548512"/>
      <w:bookmarkStart w:id="64" w:name="_Toc28446"/>
      <w:r>
        <w:t>投标文件的式样和签署</w:t>
      </w:r>
      <w:bookmarkEnd w:id="63"/>
      <w:bookmarkEnd w:id="64"/>
    </w:p>
    <w:p w14:paraId="61C8BE6E">
      <w:pPr>
        <w:spacing w:line="360" w:lineRule="auto"/>
        <w:ind w:firstLine="420" w:firstLineChars="200"/>
        <w:rPr>
          <w:rFonts w:asciiTheme="minorEastAsia" w:hAnsiTheme="minorEastAsia"/>
          <w:szCs w:val="21"/>
        </w:rPr>
      </w:pPr>
      <w:bookmarkStart w:id="65" w:name="_Ref179620912"/>
      <w:r>
        <w:rPr>
          <w:rFonts w:asciiTheme="minorEastAsia" w:hAnsiTheme="minorEastAsia"/>
          <w:szCs w:val="21"/>
          <w:highlight w:val="yellow"/>
        </w:rPr>
        <w:t>投标人应准备投标文件正本</w:t>
      </w:r>
      <w:r>
        <w:rPr>
          <w:rFonts w:asciiTheme="minorEastAsia" w:hAnsiTheme="minorEastAsia"/>
          <w:b/>
          <w:szCs w:val="21"/>
          <w:highlight w:val="yellow"/>
        </w:rPr>
        <w:t>一份</w:t>
      </w:r>
      <w:r>
        <w:rPr>
          <w:rFonts w:asciiTheme="minorEastAsia" w:hAnsiTheme="minorEastAsia"/>
          <w:szCs w:val="21"/>
          <w:highlight w:val="yellow"/>
        </w:rPr>
        <w:t>和副本</w:t>
      </w:r>
      <w:r>
        <w:rPr>
          <w:rFonts w:hint="eastAsia" w:asciiTheme="minorEastAsia" w:hAnsiTheme="minorEastAsia"/>
          <w:b/>
          <w:szCs w:val="21"/>
          <w:highlight w:val="yellow"/>
        </w:rPr>
        <w:t>两份</w:t>
      </w:r>
      <w:r>
        <w:rPr>
          <w:rFonts w:hint="eastAsia" w:asciiTheme="minorEastAsia" w:hAnsiTheme="minorEastAsia"/>
          <w:bCs/>
          <w:szCs w:val="21"/>
          <w:highlight w:val="yellow"/>
        </w:rPr>
        <w:t>及</w:t>
      </w:r>
      <w:r>
        <w:rPr>
          <w:rFonts w:hint="eastAsia" w:asciiTheme="minorEastAsia" w:hAnsiTheme="minorEastAsia"/>
          <w:szCs w:val="21"/>
          <w:highlight w:val="yellow"/>
        </w:rPr>
        <w:t>电子档</w:t>
      </w:r>
      <w:r>
        <w:rPr>
          <w:rFonts w:hint="eastAsia" w:asciiTheme="minorEastAsia" w:hAnsiTheme="minorEastAsia"/>
          <w:b/>
          <w:bCs/>
          <w:szCs w:val="21"/>
          <w:highlight w:val="yellow"/>
        </w:rPr>
        <w:t>一份</w:t>
      </w:r>
      <w:r>
        <w:rPr>
          <w:rFonts w:asciiTheme="minorEastAsia" w:hAnsiTheme="minorEastAsia"/>
          <w:szCs w:val="21"/>
          <w:highlight w:val="yellow"/>
        </w:rPr>
        <w:t>，每套投标文件须清楚地标明“正本”或“副本”。若副本与正本不符，以正本为准。</w:t>
      </w:r>
      <w:bookmarkEnd w:id="65"/>
    </w:p>
    <w:p w14:paraId="5AD211AB">
      <w:pPr>
        <w:spacing w:line="360" w:lineRule="auto"/>
        <w:ind w:firstLine="420" w:firstLineChars="200"/>
        <w:rPr>
          <w:rFonts w:asciiTheme="minorEastAsia" w:hAnsiTheme="minorEastAsia"/>
          <w:szCs w:val="21"/>
        </w:rPr>
      </w:pPr>
      <w:r>
        <w:rPr>
          <w:rFonts w:asciiTheme="minorEastAsia" w:hAnsiTheme="minorEastAsia"/>
          <w:szCs w:val="21"/>
          <w:highlight w:val="yellow"/>
        </w:rPr>
        <w:t>投标文件的正本需打印或用不褪色墨水书写，并由法定代表人或经其正式授权的代表签字并加盖单位印章。授权代表须持有书面的《法定代表人授权书》，并将其附在投标文件中。投标文件的副本可采用正本的复印件。</w:t>
      </w:r>
    </w:p>
    <w:p w14:paraId="7046EE50">
      <w:pPr>
        <w:spacing w:line="360" w:lineRule="auto"/>
        <w:ind w:firstLine="420" w:firstLineChars="200"/>
        <w:rPr>
          <w:rFonts w:asciiTheme="minorEastAsia" w:hAnsiTheme="minorEastAsia"/>
          <w:szCs w:val="21"/>
        </w:rPr>
      </w:pPr>
      <w:r>
        <w:rPr>
          <w:rFonts w:asciiTheme="minorEastAsia" w:hAnsiTheme="minorEastAsia"/>
          <w:szCs w:val="21"/>
        </w:rPr>
        <w:t>任何行间插字、涂改和增删，必须由投标文件签字人用姓或首字母在旁边签字或由投标单位加盖公章才有效。</w:t>
      </w:r>
    </w:p>
    <w:p w14:paraId="0D941447">
      <w:pPr>
        <w:pStyle w:val="4"/>
        <w:spacing w:line="360" w:lineRule="auto"/>
        <w:ind w:firstLine="482"/>
      </w:pPr>
      <w:bookmarkStart w:id="66" w:name="_Toc55548513"/>
      <w:bookmarkStart w:id="67" w:name="_Toc26845"/>
      <w:bookmarkStart w:id="68" w:name="_Toc9436"/>
      <w:r>
        <w:t>四、投标文件的递交</w:t>
      </w:r>
      <w:bookmarkEnd w:id="66"/>
      <w:bookmarkEnd w:id="67"/>
      <w:bookmarkEnd w:id="68"/>
    </w:p>
    <w:p w14:paraId="7084EBFF">
      <w:pPr>
        <w:pStyle w:val="4"/>
        <w:spacing w:line="360" w:lineRule="auto"/>
        <w:ind w:firstLine="482"/>
      </w:pPr>
      <w:bookmarkStart w:id="69" w:name="_Toc55548514"/>
      <w:bookmarkStart w:id="70" w:name="_Toc6626"/>
      <w:bookmarkStart w:id="71" w:name="_Hlk69569741"/>
      <w:r>
        <w:t>投标文件的密封和标记</w:t>
      </w:r>
      <w:bookmarkEnd w:id="69"/>
      <w:bookmarkEnd w:id="70"/>
    </w:p>
    <w:p w14:paraId="07D3BD36">
      <w:pPr>
        <w:spacing w:line="360" w:lineRule="auto"/>
        <w:ind w:firstLine="420" w:firstLineChars="200"/>
        <w:rPr>
          <w:rFonts w:asciiTheme="minorEastAsia" w:hAnsiTheme="minorEastAsia"/>
          <w:szCs w:val="21"/>
          <w:highlight w:val="yellow"/>
        </w:rPr>
      </w:pPr>
      <w:bookmarkStart w:id="72" w:name="_Ref179620969"/>
      <w:r>
        <w:rPr>
          <w:rFonts w:asciiTheme="minorEastAsia" w:hAnsiTheme="minorEastAsia"/>
          <w:szCs w:val="21"/>
          <w:highlight w:val="yellow"/>
        </w:rPr>
        <w:t>投标人应将投标文件正本和所有的副本</w:t>
      </w:r>
      <w:r>
        <w:rPr>
          <w:rFonts w:hint="eastAsia" w:asciiTheme="minorEastAsia" w:hAnsiTheme="minorEastAsia"/>
          <w:szCs w:val="21"/>
          <w:highlight w:val="yellow"/>
        </w:rPr>
        <w:t>及电子档</w:t>
      </w:r>
      <w:r>
        <w:rPr>
          <w:rFonts w:asciiTheme="minorEastAsia" w:hAnsiTheme="minorEastAsia"/>
          <w:szCs w:val="21"/>
          <w:highlight w:val="yellow"/>
        </w:rPr>
        <w:t>封装在一个信封中</w:t>
      </w:r>
      <w:r>
        <w:rPr>
          <w:rFonts w:hint="eastAsia" w:asciiTheme="minorEastAsia" w:hAnsiTheme="minorEastAsia"/>
          <w:szCs w:val="21"/>
          <w:highlight w:val="yellow"/>
        </w:rPr>
        <w:t>，</w:t>
      </w:r>
      <w:r>
        <w:rPr>
          <w:rFonts w:asciiTheme="minorEastAsia" w:hAnsiTheme="minorEastAsia"/>
          <w:szCs w:val="21"/>
          <w:highlight w:val="yellow"/>
        </w:rPr>
        <w:t>信封均应：</w:t>
      </w:r>
      <w:bookmarkEnd w:id="72"/>
      <w:r>
        <w:rPr>
          <w:rFonts w:asciiTheme="minorEastAsia" w:hAnsiTheme="minorEastAsia"/>
          <w:szCs w:val="21"/>
          <w:highlight w:val="yellow"/>
        </w:rPr>
        <w:t xml:space="preserve"> </w:t>
      </w:r>
    </w:p>
    <w:p w14:paraId="3F0EAB1E">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1) 清楚标明递交至</w:t>
      </w:r>
      <w:r>
        <w:rPr>
          <w:rFonts w:hint="eastAsia" w:asciiTheme="minorEastAsia" w:hAnsiTheme="minorEastAsia"/>
          <w:b/>
          <w:szCs w:val="21"/>
          <w:highlight w:val="yellow"/>
        </w:rPr>
        <w:t>招标公告</w:t>
      </w:r>
      <w:r>
        <w:rPr>
          <w:rFonts w:asciiTheme="minorEastAsia" w:hAnsiTheme="minorEastAsia"/>
          <w:szCs w:val="21"/>
          <w:highlight w:val="yellow"/>
        </w:rPr>
        <w:t>指明的地址。</w:t>
      </w:r>
    </w:p>
    <w:p w14:paraId="77F2F555">
      <w:pPr>
        <w:spacing w:line="360" w:lineRule="auto"/>
        <w:ind w:firstLine="420" w:firstLineChars="200"/>
        <w:rPr>
          <w:rFonts w:asciiTheme="minorEastAsia" w:hAnsiTheme="minorEastAsia"/>
          <w:szCs w:val="21"/>
          <w:highlight w:val="yellow"/>
        </w:rPr>
      </w:pPr>
      <w:r>
        <w:rPr>
          <w:rFonts w:asciiTheme="minorEastAsia" w:hAnsiTheme="minorEastAsia"/>
          <w:szCs w:val="21"/>
          <w:highlight w:val="yellow"/>
        </w:rPr>
        <w:t>2) 清楚标明</w:t>
      </w:r>
      <w:r>
        <w:rPr>
          <w:rFonts w:hint="eastAsia" w:asciiTheme="minorEastAsia" w:hAnsiTheme="minorEastAsia"/>
          <w:b/>
          <w:szCs w:val="21"/>
          <w:highlight w:val="yellow"/>
        </w:rPr>
        <w:t>招标公告</w:t>
      </w:r>
      <w:r>
        <w:rPr>
          <w:rFonts w:asciiTheme="minorEastAsia" w:hAnsiTheme="minorEastAsia"/>
          <w:szCs w:val="21"/>
          <w:highlight w:val="yellow"/>
        </w:rPr>
        <w:t>中指明的项目名称、包号（如果分包的话）、招标编号和“在</w:t>
      </w:r>
      <w:r>
        <w:rPr>
          <w:rFonts w:asciiTheme="minorEastAsia" w:hAnsiTheme="minorEastAsia"/>
          <w:i/>
          <w:szCs w:val="21"/>
          <w:highlight w:val="yellow"/>
          <w:u w:val="single"/>
        </w:rPr>
        <w:t>(开标日期、时间)</w:t>
      </w:r>
      <w:r>
        <w:rPr>
          <w:rFonts w:asciiTheme="minorEastAsia" w:hAnsiTheme="minorEastAsia"/>
          <w:szCs w:val="21"/>
          <w:highlight w:val="yellow"/>
        </w:rPr>
        <w:t>之前不得启封”的字样，并填入</w:t>
      </w:r>
      <w:r>
        <w:rPr>
          <w:rFonts w:hint="eastAsia" w:asciiTheme="minorEastAsia" w:hAnsiTheme="minorEastAsia"/>
          <w:b/>
          <w:szCs w:val="21"/>
          <w:highlight w:val="yellow"/>
        </w:rPr>
        <w:t>招标公告</w:t>
      </w:r>
      <w:r>
        <w:rPr>
          <w:rFonts w:asciiTheme="minorEastAsia" w:hAnsiTheme="minorEastAsia"/>
          <w:szCs w:val="21"/>
          <w:highlight w:val="yellow"/>
        </w:rPr>
        <w:t>中规定的开标日期和时间。</w:t>
      </w:r>
    </w:p>
    <w:p w14:paraId="2C7F1F87">
      <w:pPr>
        <w:spacing w:line="360" w:lineRule="auto"/>
        <w:ind w:firstLine="420" w:firstLineChars="200"/>
        <w:rPr>
          <w:rFonts w:asciiTheme="minorEastAsia" w:hAnsiTheme="minorEastAsia"/>
          <w:szCs w:val="21"/>
        </w:rPr>
      </w:pPr>
      <w:r>
        <w:rPr>
          <w:rFonts w:asciiTheme="minorEastAsia" w:hAnsiTheme="minorEastAsia"/>
          <w:szCs w:val="21"/>
          <w:highlight w:val="yellow"/>
        </w:rPr>
        <w:t>3) 清楚标明投标单位名称并在信封的封装处加盖投标人公章。</w:t>
      </w:r>
    </w:p>
    <w:p w14:paraId="207136E5">
      <w:pPr>
        <w:spacing w:line="360" w:lineRule="auto"/>
        <w:ind w:firstLine="420" w:firstLineChars="200"/>
        <w:rPr>
          <w:rFonts w:asciiTheme="minorEastAsia" w:hAnsiTheme="minorEastAsia"/>
          <w:szCs w:val="21"/>
        </w:rPr>
      </w:pPr>
      <w:r>
        <w:rPr>
          <w:rFonts w:asciiTheme="minorEastAsia" w:hAnsiTheme="minorEastAsia"/>
          <w:szCs w:val="21"/>
        </w:rPr>
        <w:t>内层信封应写明投标人名称和地址，以便将迟交的投标文件能原封退回。</w:t>
      </w:r>
    </w:p>
    <w:p w14:paraId="2C5F60C9">
      <w:pPr>
        <w:spacing w:line="360" w:lineRule="auto"/>
        <w:ind w:firstLine="420" w:firstLineChars="200"/>
        <w:rPr>
          <w:rFonts w:asciiTheme="minorEastAsia" w:hAnsiTheme="minorEastAsia"/>
          <w:szCs w:val="21"/>
        </w:rPr>
      </w:pPr>
      <w:r>
        <w:rPr>
          <w:rFonts w:asciiTheme="minorEastAsia" w:hAnsiTheme="minorEastAsia"/>
          <w:szCs w:val="21"/>
        </w:rPr>
        <w:t>如果投标人未按本须知要求加写标记和密封，招标</w:t>
      </w:r>
      <w:r>
        <w:rPr>
          <w:rFonts w:hint="eastAsia" w:asciiTheme="minorEastAsia" w:hAnsiTheme="minorEastAsia"/>
          <w:szCs w:val="21"/>
        </w:rPr>
        <w:t>人</w:t>
      </w:r>
      <w:r>
        <w:rPr>
          <w:rFonts w:asciiTheme="minorEastAsia" w:hAnsiTheme="minorEastAsia"/>
          <w:szCs w:val="21"/>
        </w:rPr>
        <w:t>对投标文件的误投或提前启封概不负责。</w:t>
      </w:r>
    </w:p>
    <w:bookmarkEnd w:id="71"/>
    <w:p w14:paraId="44C5E578">
      <w:pPr>
        <w:spacing w:line="360" w:lineRule="auto"/>
        <w:ind w:firstLine="420" w:firstLineChars="200"/>
        <w:rPr>
          <w:rFonts w:asciiTheme="minorEastAsia" w:hAnsiTheme="minorEastAsia"/>
          <w:szCs w:val="21"/>
        </w:rPr>
      </w:pPr>
      <w:r>
        <w:rPr>
          <w:rFonts w:asciiTheme="minorEastAsia" w:hAnsiTheme="minorEastAsia"/>
          <w:szCs w:val="21"/>
        </w:rPr>
        <w:t>投标人同时参加几个包投标时必须按招标文件要求按包号分别制作投标文件，分别密封递交。</w:t>
      </w:r>
    </w:p>
    <w:p w14:paraId="65F5DE45">
      <w:pPr>
        <w:pStyle w:val="4"/>
        <w:spacing w:line="360" w:lineRule="auto"/>
        <w:ind w:firstLine="482"/>
      </w:pPr>
      <w:bookmarkStart w:id="73" w:name="_Toc8701"/>
      <w:bookmarkStart w:id="74" w:name="_Toc55548515"/>
      <w:r>
        <w:t>投标样品</w:t>
      </w:r>
      <w:bookmarkEnd w:id="73"/>
      <w:bookmarkEnd w:id="74"/>
    </w:p>
    <w:p w14:paraId="193E08A1">
      <w:pPr>
        <w:spacing w:line="360" w:lineRule="auto"/>
        <w:ind w:firstLine="420" w:firstLineChars="200"/>
        <w:rPr>
          <w:rFonts w:asciiTheme="minorEastAsia" w:hAnsiTheme="minorEastAsia"/>
          <w:szCs w:val="21"/>
        </w:rPr>
      </w:pPr>
      <w:r>
        <w:rPr>
          <w:rFonts w:asciiTheme="minorEastAsia" w:hAnsiTheme="minorEastAsia"/>
          <w:szCs w:val="21"/>
        </w:rPr>
        <w:t>如有必要，招标</w:t>
      </w:r>
      <w:r>
        <w:rPr>
          <w:rFonts w:hint="eastAsia" w:asciiTheme="minorEastAsia" w:hAnsiTheme="minorEastAsia"/>
          <w:szCs w:val="21"/>
        </w:rPr>
        <w:t>人</w:t>
      </w:r>
      <w:r>
        <w:rPr>
          <w:rFonts w:asciiTheme="minorEastAsia" w:hAnsiTheme="minorEastAsia"/>
          <w:szCs w:val="21"/>
        </w:rPr>
        <w:t>可以要求投标人提供能反映货物材质或关键部分的极少部分的尺寸、价值不大的样品，投标人在投标时应提交《样品清单》。</w:t>
      </w:r>
    </w:p>
    <w:p w14:paraId="396D5721">
      <w:pPr>
        <w:spacing w:line="360" w:lineRule="auto"/>
        <w:ind w:firstLine="420" w:firstLineChars="200"/>
        <w:rPr>
          <w:rFonts w:asciiTheme="minorEastAsia" w:hAnsiTheme="minorEastAsia"/>
          <w:szCs w:val="21"/>
        </w:rPr>
      </w:pPr>
      <w:r>
        <w:rPr>
          <w:rFonts w:asciiTheme="minorEastAsia" w:hAnsiTheme="minorEastAsia"/>
          <w:szCs w:val="21"/>
        </w:rPr>
        <w:t>为方便评标，投标人在提供样品时，应使用透明的外包装或尽量少用外包装，但必须在所提供的样品表面显著位置标注投标人的名称、包号、样品名称、招标文件规定的货物编号。</w:t>
      </w:r>
    </w:p>
    <w:p w14:paraId="3D5FA289">
      <w:pPr>
        <w:spacing w:line="360" w:lineRule="auto"/>
        <w:ind w:firstLine="420" w:firstLineChars="200"/>
        <w:rPr>
          <w:rFonts w:asciiTheme="minorEastAsia" w:hAnsiTheme="minorEastAsia"/>
          <w:szCs w:val="21"/>
        </w:rPr>
      </w:pPr>
      <w:r>
        <w:rPr>
          <w:rFonts w:asciiTheme="minorEastAsia" w:hAnsiTheme="minorEastAsia"/>
          <w:szCs w:val="21"/>
        </w:rPr>
        <w:t>样品作为投标文件的一部分，除非另有说明，中标单位的样品不再退还，未中标单位须在中标公告发布后五个工作日内，前往</w:t>
      </w:r>
      <w:r>
        <w:rPr>
          <w:rFonts w:hint="eastAsia" w:asciiTheme="minorEastAsia" w:hAnsiTheme="minorEastAsia"/>
          <w:szCs w:val="21"/>
        </w:rPr>
        <w:t>本中心</w:t>
      </w:r>
      <w:r>
        <w:rPr>
          <w:rFonts w:asciiTheme="minorEastAsia" w:hAnsiTheme="minorEastAsia"/>
          <w:szCs w:val="21"/>
        </w:rPr>
        <w:t>领取投标样品，逾期不领，</w:t>
      </w:r>
      <w:r>
        <w:rPr>
          <w:rFonts w:hint="eastAsia" w:asciiTheme="minorEastAsia" w:hAnsiTheme="minorEastAsia"/>
          <w:szCs w:val="21"/>
        </w:rPr>
        <w:t>本中心</w:t>
      </w:r>
      <w:r>
        <w:rPr>
          <w:rFonts w:asciiTheme="minorEastAsia" w:hAnsiTheme="minorEastAsia"/>
          <w:szCs w:val="21"/>
        </w:rPr>
        <w:t>将不承担样品的保管责任，由此引发的样品丢失、毁损，招标</w:t>
      </w:r>
      <w:r>
        <w:rPr>
          <w:rFonts w:hint="eastAsia" w:asciiTheme="minorEastAsia" w:hAnsiTheme="minorEastAsia"/>
          <w:szCs w:val="21"/>
        </w:rPr>
        <w:t>人</w:t>
      </w:r>
      <w:r>
        <w:rPr>
          <w:rFonts w:asciiTheme="minorEastAsia" w:hAnsiTheme="minorEastAsia"/>
          <w:szCs w:val="21"/>
        </w:rPr>
        <w:t>不予负责。</w:t>
      </w:r>
    </w:p>
    <w:p w14:paraId="657150BF">
      <w:pPr>
        <w:pStyle w:val="4"/>
        <w:spacing w:line="360" w:lineRule="auto"/>
        <w:ind w:firstLine="482"/>
      </w:pPr>
      <w:bookmarkStart w:id="75" w:name="_Toc5724"/>
      <w:bookmarkStart w:id="76" w:name="_Ref179619638"/>
      <w:bookmarkStart w:id="77" w:name="_Toc55548516"/>
      <w:r>
        <w:t>投标截止期</w:t>
      </w:r>
      <w:bookmarkEnd w:id="75"/>
      <w:bookmarkEnd w:id="76"/>
      <w:bookmarkEnd w:id="77"/>
    </w:p>
    <w:p w14:paraId="6C668767">
      <w:pPr>
        <w:spacing w:line="360" w:lineRule="auto"/>
        <w:ind w:firstLine="420" w:firstLineChars="200"/>
        <w:rPr>
          <w:rFonts w:asciiTheme="minorEastAsia" w:hAnsiTheme="minorEastAsia"/>
          <w:szCs w:val="21"/>
        </w:rPr>
      </w:pPr>
      <w:bookmarkStart w:id="78" w:name="_Ref179621022"/>
      <w:r>
        <w:rPr>
          <w:rFonts w:asciiTheme="minorEastAsia" w:hAnsiTheme="minorEastAsia"/>
          <w:szCs w:val="21"/>
        </w:rPr>
        <w:t>投标人应在不迟于</w:t>
      </w:r>
      <w:r>
        <w:rPr>
          <w:rFonts w:hint="eastAsia" w:asciiTheme="minorEastAsia" w:hAnsiTheme="minorEastAsia"/>
          <w:b/>
          <w:szCs w:val="21"/>
        </w:rPr>
        <w:t>招标公告</w:t>
      </w:r>
      <w:r>
        <w:rPr>
          <w:rFonts w:asciiTheme="minorEastAsia" w:hAnsiTheme="minorEastAsia"/>
          <w:szCs w:val="21"/>
        </w:rPr>
        <w:t>中规定的截止日期和时间将投标文件递交至</w:t>
      </w:r>
      <w:r>
        <w:rPr>
          <w:rFonts w:hint="eastAsia" w:asciiTheme="minorEastAsia" w:hAnsiTheme="minorEastAsia"/>
          <w:szCs w:val="21"/>
        </w:rPr>
        <w:t>本中心</w:t>
      </w:r>
      <w:r>
        <w:rPr>
          <w:rFonts w:asciiTheme="minorEastAsia" w:hAnsiTheme="minorEastAsia"/>
          <w:szCs w:val="21"/>
        </w:rPr>
        <w:t>，递交地点应是</w:t>
      </w:r>
      <w:r>
        <w:rPr>
          <w:rFonts w:hint="eastAsia" w:asciiTheme="minorEastAsia" w:hAnsiTheme="minorEastAsia"/>
          <w:b/>
          <w:szCs w:val="21"/>
        </w:rPr>
        <w:t>招标公告</w:t>
      </w:r>
      <w:r>
        <w:rPr>
          <w:rFonts w:asciiTheme="minorEastAsia" w:hAnsiTheme="minorEastAsia"/>
          <w:szCs w:val="21"/>
        </w:rPr>
        <w:t>中指明的地址。</w:t>
      </w:r>
      <w:bookmarkEnd w:id="78"/>
    </w:p>
    <w:p w14:paraId="1C164756">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 xml:space="preserve">可以通过修改招标文件自行决定酌情推迟投标截止期。在此情况下，招标人和投标人受投标截止期制约的所有权利和义务均应延长至新的截止期。 </w:t>
      </w:r>
    </w:p>
    <w:p w14:paraId="410182DF">
      <w:pPr>
        <w:pStyle w:val="4"/>
        <w:spacing w:line="360" w:lineRule="auto"/>
        <w:ind w:firstLine="482"/>
      </w:pPr>
      <w:bookmarkStart w:id="79" w:name="_Toc3231"/>
      <w:bookmarkStart w:id="80" w:name="_Ref179619679"/>
      <w:bookmarkStart w:id="81" w:name="_Toc55548517"/>
      <w:r>
        <w:t>迟交的投标文件</w:t>
      </w:r>
      <w:bookmarkEnd w:id="79"/>
      <w:bookmarkEnd w:id="80"/>
      <w:bookmarkEnd w:id="81"/>
    </w:p>
    <w:p w14:paraId="60A87E5A">
      <w:pPr>
        <w:spacing w:line="360" w:lineRule="auto"/>
        <w:ind w:firstLine="420" w:firstLineChars="200"/>
        <w:rPr>
          <w:rFonts w:asciiTheme="minorEastAsia" w:hAnsiTheme="minorEastAsia"/>
          <w:szCs w:val="21"/>
        </w:rPr>
      </w:pPr>
      <w:r>
        <w:rPr>
          <w:rFonts w:hint="eastAsia" w:asciiTheme="minorEastAsia" w:hAnsiTheme="minorEastAsia"/>
          <w:szCs w:val="21"/>
        </w:rPr>
        <w:t>本中心</w:t>
      </w:r>
      <w:r>
        <w:rPr>
          <w:rFonts w:asciiTheme="minorEastAsia" w:hAnsiTheme="minorEastAsia"/>
          <w:szCs w:val="21"/>
        </w:rPr>
        <w:t>将拒绝并原封退回在</w:t>
      </w:r>
      <w:r>
        <w:rPr>
          <w:rFonts w:hint="eastAsia" w:asciiTheme="minorEastAsia" w:hAnsiTheme="minorEastAsia"/>
          <w:szCs w:val="21"/>
        </w:rPr>
        <w:t>招标公告</w:t>
      </w:r>
      <w:r>
        <w:rPr>
          <w:rFonts w:asciiTheme="minorEastAsia" w:hAnsiTheme="minorEastAsia"/>
          <w:szCs w:val="21"/>
        </w:rPr>
        <w:t>的截止期后收到的任何投标文件。</w:t>
      </w:r>
    </w:p>
    <w:p w14:paraId="6A32D235">
      <w:pPr>
        <w:pStyle w:val="4"/>
        <w:spacing w:line="360" w:lineRule="auto"/>
        <w:ind w:firstLine="482"/>
      </w:pPr>
      <w:bookmarkStart w:id="82" w:name="_Ref179619013"/>
      <w:bookmarkStart w:id="83" w:name="_Toc55548518"/>
      <w:bookmarkStart w:id="84" w:name="_Toc865"/>
      <w:r>
        <w:t>投标文件的修改与撤回</w:t>
      </w:r>
      <w:bookmarkEnd w:id="82"/>
      <w:bookmarkEnd w:id="83"/>
      <w:bookmarkEnd w:id="84"/>
    </w:p>
    <w:p w14:paraId="74117B88">
      <w:pPr>
        <w:spacing w:line="360" w:lineRule="auto"/>
        <w:ind w:firstLine="420" w:firstLineChars="200"/>
        <w:rPr>
          <w:rFonts w:asciiTheme="minorEastAsia" w:hAnsiTheme="minorEastAsia"/>
          <w:szCs w:val="21"/>
        </w:rPr>
      </w:pPr>
      <w:r>
        <w:rPr>
          <w:rFonts w:asciiTheme="minorEastAsia" w:hAnsiTheme="minorEastAsia"/>
          <w:szCs w:val="21"/>
        </w:rPr>
        <w:t>投标人在递交投标文件后，可以修改或撤回其投标，但投标人必须在规定的投标截止期之前将修改或撤回的书面通知递交到</w:t>
      </w:r>
      <w:r>
        <w:rPr>
          <w:rFonts w:hint="eastAsia" w:asciiTheme="minorEastAsia" w:hAnsiTheme="minorEastAsia"/>
          <w:szCs w:val="21"/>
        </w:rPr>
        <w:t>本中心</w:t>
      </w:r>
      <w:r>
        <w:rPr>
          <w:rFonts w:asciiTheme="minorEastAsia" w:hAnsiTheme="minorEastAsia"/>
          <w:szCs w:val="21"/>
        </w:rPr>
        <w:t>。</w:t>
      </w:r>
    </w:p>
    <w:p w14:paraId="7AB2C0DF">
      <w:pPr>
        <w:spacing w:line="360" w:lineRule="auto"/>
        <w:ind w:firstLine="420" w:firstLineChars="200"/>
        <w:rPr>
          <w:rFonts w:asciiTheme="minorEastAsia" w:hAnsiTheme="minorEastAsia"/>
          <w:szCs w:val="21"/>
        </w:rPr>
      </w:pPr>
      <w:r>
        <w:rPr>
          <w:rFonts w:asciiTheme="minorEastAsia" w:hAnsiTheme="minorEastAsia"/>
          <w:szCs w:val="21"/>
        </w:rPr>
        <w:t>投标人的修改或撤回通知应按本须知规定编制、密封、标记和递交。</w:t>
      </w:r>
    </w:p>
    <w:p w14:paraId="3AD3E95F">
      <w:pPr>
        <w:spacing w:line="360" w:lineRule="auto"/>
        <w:ind w:firstLine="420" w:firstLineChars="200"/>
        <w:rPr>
          <w:rFonts w:asciiTheme="minorEastAsia" w:hAnsiTheme="minorEastAsia"/>
          <w:szCs w:val="21"/>
        </w:rPr>
      </w:pPr>
      <w:r>
        <w:rPr>
          <w:rFonts w:asciiTheme="minorEastAsia" w:hAnsiTheme="minorEastAsia"/>
          <w:szCs w:val="21"/>
        </w:rPr>
        <w:t>在投标截止期之后，投标人不得对其投标做任何修改。</w:t>
      </w:r>
    </w:p>
    <w:p w14:paraId="0D745778">
      <w:pPr>
        <w:spacing w:line="360" w:lineRule="auto"/>
        <w:ind w:firstLine="420" w:firstLineChars="200"/>
        <w:rPr>
          <w:rFonts w:asciiTheme="minorEastAsia" w:hAnsiTheme="minorEastAsia"/>
          <w:szCs w:val="21"/>
        </w:rPr>
      </w:pPr>
      <w:r>
        <w:rPr>
          <w:rFonts w:asciiTheme="minorEastAsia" w:hAnsiTheme="minorEastAsia"/>
          <w:szCs w:val="21"/>
        </w:rPr>
        <w:t>从投标截止期至投标人在投标书中确定的投标有效期期满的这段时间内，投标人不得撤回其投标，否则其投标保证金将按照本须知的规定被没收。</w:t>
      </w:r>
    </w:p>
    <w:p w14:paraId="4CC5C934">
      <w:pPr>
        <w:pStyle w:val="4"/>
        <w:spacing w:line="360" w:lineRule="auto"/>
        <w:ind w:firstLine="482"/>
      </w:pPr>
      <w:bookmarkStart w:id="85" w:name="_Toc55548519"/>
      <w:bookmarkStart w:id="86" w:name="_Toc22375"/>
      <w:r>
        <w:t>投标文件的退还</w:t>
      </w:r>
      <w:bookmarkEnd w:id="85"/>
      <w:bookmarkEnd w:id="86"/>
    </w:p>
    <w:p w14:paraId="20F5937B">
      <w:pPr>
        <w:spacing w:line="360" w:lineRule="auto"/>
        <w:ind w:firstLine="420" w:firstLineChars="200"/>
        <w:rPr>
          <w:rFonts w:asciiTheme="minorEastAsia" w:hAnsiTheme="minorEastAsia"/>
          <w:szCs w:val="21"/>
        </w:rPr>
      </w:pPr>
      <w:r>
        <w:rPr>
          <w:rFonts w:asciiTheme="minorEastAsia" w:hAnsiTheme="minorEastAsia"/>
          <w:szCs w:val="21"/>
        </w:rPr>
        <w:t>除非招标文件另有规定或说明，投标文件一律不予退还。</w:t>
      </w:r>
    </w:p>
    <w:p w14:paraId="02D8A948">
      <w:pPr>
        <w:pStyle w:val="5"/>
        <w:ind w:firstLine="482"/>
      </w:pPr>
      <w:bookmarkStart w:id="87" w:name="_Toc55548520"/>
      <w:bookmarkStart w:id="88" w:name="_Toc27271"/>
      <w:bookmarkStart w:id="89" w:name="_Toc9126"/>
      <w:r>
        <w:t>五、开标与评标</w:t>
      </w:r>
      <w:bookmarkEnd w:id="87"/>
      <w:bookmarkEnd w:id="88"/>
      <w:bookmarkEnd w:id="89"/>
    </w:p>
    <w:p w14:paraId="5A1E6C9B">
      <w:pPr>
        <w:pStyle w:val="4"/>
        <w:spacing w:line="360" w:lineRule="auto"/>
        <w:ind w:firstLine="482"/>
      </w:pPr>
      <w:bookmarkStart w:id="90" w:name="_Toc21095"/>
      <w:bookmarkStart w:id="91" w:name="_Toc55548521"/>
      <w:r>
        <w:t>开标</w:t>
      </w:r>
      <w:bookmarkEnd w:id="90"/>
      <w:bookmarkEnd w:id="91"/>
    </w:p>
    <w:p w14:paraId="0CAA53D6">
      <w:pPr>
        <w:spacing w:line="360" w:lineRule="auto"/>
        <w:ind w:firstLine="420" w:firstLineChars="200"/>
        <w:rPr>
          <w:rFonts w:asciiTheme="minorEastAsia" w:hAnsiTheme="minorEastAsia"/>
          <w:szCs w:val="21"/>
        </w:rPr>
      </w:pPr>
      <w:bookmarkStart w:id="92" w:name="_Ref179621054"/>
      <w:r>
        <w:rPr>
          <w:rFonts w:hint="eastAsia" w:asciiTheme="minorEastAsia" w:hAnsiTheme="minorEastAsia"/>
          <w:szCs w:val="21"/>
        </w:rPr>
        <w:t>本中心</w:t>
      </w:r>
      <w:r>
        <w:rPr>
          <w:rFonts w:asciiTheme="minorEastAsia" w:hAnsiTheme="minorEastAsia"/>
          <w:szCs w:val="21"/>
        </w:rPr>
        <w:t>在</w:t>
      </w:r>
      <w:r>
        <w:rPr>
          <w:rFonts w:hint="eastAsia" w:asciiTheme="minorEastAsia" w:hAnsiTheme="minorEastAsia"/>
          <w:b/>
          <w:szCs w:val="21"/>
        </w:rPr>
        <w:t>招标公告</w:t>
      </w:r>
      <w:r>
        <w:rPr>
          <w:rFonts w:asciiTheme="minorEastAsia" w:hAnsiTheme="minorEastAsia"/>
          <w:szCs w:val="21"/>
        </w:rPr>
        <w:t>中规定的日期、时间和地点组织公开开标。投标人代表均须按时参加开标会。参加开标的投标人代表应签名报到以证明其出席。</w:t>
      </w:r>
      <w:bookmarkEnd w:id="92"/>
    </w:p>
    <w:p w14:paraId="1A8E46CA">
      <w:pPr>
        <w:spacing w:line="360" w:lineRule="auto"/>
        <w:ind w:firstLine="420" w:firstLineChars="200"/>
        <w:rPr>
          <w:rFonts w:asciiTheme="minorEastAsia" w:hAnsiTheme="minorEastAsia"/>
          <w:szCs w:val="21"/>
        </w:rPr>
      </w:pPr>
      <w:r>
        <w:rPr>
          <w:rFonts w:asciiTheme="minorEastAsia" w:hAnsiTheme="minorEastAsia"/>
          <w:szCs w:val="21"/>
        </w:rPr>
        <w:t>开标时，招标</w:t>
      </w:r>
      <w:r>
        <w:rPr>
          <w:rFonts w:hint="eastAsia" w:asciiTheme="minorEastAsia" w:hAnsiTheme="minorEastAsia"/>
          <w:szCs w:val="21"/>
        </w:rPr>
        <w:t>人</w:t>
      </w:r>
      <w:r>
        <w:rPr>
          <w:rFonts w:asciiTheme="minorEastAsia" w:hAnsiTheme="minorEastAsia"/>
          <w:szCs w:val="21"/>
        </w:rPr>
        <w:t>当众宣读投标人名称、修改和撤回投标的通知、投标价格、是否提交了投标保证金，以及招标</w:t>
      </w:r>
      <w:r>
        <w:rPr>
          <w:rFonts w:hint="eastAsia" w:asciiTheme="minorEastAsia" w:hAnsiTheme="minorEastAsia"/>
          <w:szCs w:val="21"/>
        </w:rPr>
        <w:t>人</w:t>
      </w:r>
      <w:r>
        <w:rPr>
          <w:rFonts w:asciiTheme="minorEastAsia" w:hAnsiTheme="minorEastAsia"/>
          <w:szCs w:val="21"/>
        </w:rPr>
        <w:t>认为合适的其他内容。除了按照本须知的规定原封退回迟到的投标之外，开标时将不得拒绝任何已购买招标文件的投标人的投标。</w:t>
      </w:r>
    </w:p>
    <w:p w14:paraId="4D9DD147">
      <w:pPr>
        <w:pStyle w:val="4"/>
        <w:spacing w:line="360" w:lineRule="auto"/>
        <w:ind w:firstLine="482"/>
      </w:pPr>
      <w:bookmarkStart w:id="93" w:name="_Toc55548522"/>
      <w:bookmarkStart w:id="94" w:name="_Toc1622"/>
      <w:r>
        <w:t>资格核查</w:t>
      </w:r>
      <w:bookmarkEnd w:id="93"/>
      <w:bookmarkEnd w:id="94"/>
    </w:p>
    <w:p w14:paraId="5719F0D3">
      <w:pPr>
        <w:spacing w:line="360" w:lineRule="auto"/>
        <w:ind w:firstLine="420" w:firstLineChars="200"/>
        <w:rPr>
          <w:rFonts w:asciiTheme="minorEastAsia" w:hAnsiTheme="minorEastAsia"/>
          <w:szCs w:val="21"/>
        </w:rPr>
      </w:pPr>
      <w:r>
        <w:rPr>
          <w:rFonts w:asciiTheme="minorEastAsia" w:hAnsiTheme="minorEastAsia"/>
          <w:szCs w:val="21"/>
        </w:rPr>
        <w:t>开标后，招标</w:t>
      </w:r>
      <w:r>
        <w:rPr>
          <w:rFonts w:hint="eastAsia" w:asciiTheme="minorEastAsia" w:hAnsiTheme="minorEastAsia"/>
          <w:szCs w:val="21"/>
        </w:rPr>
        <w:t>人</w:t>
      </w:r>
      <w:r>
        <w:rPr>
          <w:rFonts w:asciiTheme="minorEastAsia" w:hAnsiTheme="minorEastAsia"/>
          <w:szCs w:val="21"/>
        </w:rPr>
        <w:t>就投标文件中的资格证明等内容对投标供应商进行资格核查，核查不合格的，认定其投标无效。核查合格的投标文件提交评标委员会进行评审。</w:t>
      </w:r>
    </w:p>
    <w:p w14:paraId="0A4EF861">
      <w:pPr>
        <w:spacing w:line="360" w:lineRule="auto"/>
        <w:ind w:firstLine="422" w:firstLineChars="200"/>
        <w:rPr>
          <w:rFonts w:asciiTheme="minorEastAsia" w:hAnsiTheme="minorEastAsia"/>
          <w:b/>
          <w:szCs w:val="21"/>
        </w:rPr>
      </w:pPr>
      <w:r>
        <w:rPr>
          <w:rFonts w:asciiTheme="minorEastAsia" w:hAnsiTheme="minorEastAsia"/>
          <w:b/>
          <w:szCs w:val="21"/>
        </w:rPr>
        <w:t>1) 资格瑕疵</w:t>
      </w:r>
    </w:p>
    <w:p w14:paraId="5DA87AB1">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资格证明文件未提供或不符合招标文件要求的；</w:t>
      </w:r>
      <w:r>
        <w:rPr>
          <w:rFonts w:hint="eastAsia" w:cs="宋体" w:asciiTheme="minorEastAsia" w:hAnsiTheme="minorEastAsia"/>
          <w:szCs w:val="21"/>
        </w:rPr>
        <w:t>②</w:t>
      </w:r>
      <w:r>
        <w:rPr>
          <w:rFonts w:asciiTheme="minorEastAsia" w:hAnsiTheme="minorEastAsia"/>
          <w:szCs w:val="21"/>
        </w:rPr>
        <w:t>投标人及其制造商与招标人有利害关系的。</w:t>
      </w:r>
    </w:p>
    <w:p w14:paraId="373F6E68">
      <w:pPr>
        <w:pStyle w:val="4"/>
        <w:spacing w:line="360" w:lineRule="auto"/>
        <w:ind w:firstLine="482"/>
      </w:pPr>
      <w:bookmarkStart w:id="95" w:name="_Toc31201"/>
      <w:bookmarkStart w:id="96" w:name="_Toc55548523"/>
      <w:r>
        <w:t>评标委员会和评标方法</w:t>
      </w:r>
      <w:bookmarkEnd w:id="95"/>
      <w:bookmarkEnd w:id="96"/>
    </w:p>
    <w:p w14:paraId="5F55BE6A">
      <w:pPr>
        <w:spacing w:line="360" w:lineRule="auto"/>
        <w:ind w:firstLine="420" w:firstLineChars="200"/>
        <w:rPr>
          <w:rFonts w:asciiTheme="minorEastAsia" w:hAnsiTheme="minorEastAsia"/>
          <w:szCs w:val="21"/>
        </w:rPr>
      </w:pPr>
      <w:r>
        <w:rPr>
          <w:rFonts w:asciiTheme="minorEastAsia" w:hAnsiTheme="minorEastAsia"/>
          <w:szCs w:val="21"/>
        </w:rPr>
        <w:t>评标委员会根据招标项目的特点进行组建，并负责评标工作。评标委员会由招标人代表和有关技术、经济等方面的专家组成，成员人数为五人或五人以上单数。其中技术、经济等方面的专家不少于成员总数的三分之二。</w:t>
      </w:r>
    </w:p>
    <w:p w14:paraId="56A35B29">
      <w:pPr>
        <w:spacing w:line="360" w:lineRule="auto"/>
        <w:ind w:firstLine="420" w:firstLineChars="200"/>
        <w:rPr>
          <w:rFonts w:asciiTheme="minorEastAsia" w:hAnsiTheme="minorEastAsia"/>
          <w:szCs w:val="21"/>
        </w:rPr>
      </w:pPr>
      <w:bookmarkStart w:id="97" w:name="_Ref179621079"/>
      <w:r>
        <w:rPr>
          <w:rFonts w:asciiTheme="minorEastAsia" w:hAnsiTheme="minorEastAsia"/>
          <w:szCs w:val="21"/>
        </w:rPr>
        <w:t>依照有关规定，货物或服务招标采购的评标方法分为最低评标价法、综合评分法和性价比法三种基本方法。评标委员会将按照</w:t>
      </w:r>
      <w:r>
        <w:rPr>
          <w:rFonts w:hint="eastAsia" w:asciiTheme="minorEastAsia" w:hAnsiTheme="minorEastAsia"/>
          <w:b/>
          <w:szCs w:val="21"/>
        </w:rPr>
        <w:t>招标公告</w:t>
      </w:r>
      <w:r>
        <w:rPr>
          <w:rFonts w:asciiTheme="minorEastAsia" w:hAnsiTheme="minorEastAsia"/>
          <w:szCs w:val="21"/>
        </w:rPr>
        <w:t>中所确定的评标方法进行评审。</w:t>
      </w:r>
      <w:bookmarkEnd w:id="97"/>
    </w:p>
    <w:p w14:paraId="74953AC0">
      <w:pPr>
        <w:spacing w:line="360" w:lineRule="auto"/>
        <w:ind w:firstLine="420" w:firstLineChars="200"/>
        <w:rPr>
          <w:rFonts w:asciiTheme="minorEastAsia" w:hAnsiTheme="minorEastAsia"/>
          <w:szCs w:val="21"/>
        </w:rPr>
      </w:pPr>
      <w:r>
        <w:rPr>
          <w:rFonts w:asciiTheme="minorEastAsia" w:hAnsiTheme="minorEastAsia"/>
          <w:szCs w:val="21"/>
        </w:rPr>
        <w:t>评标委员会对投标文件的评审内容，分为商务评议、技术评议和价格评议/综合评议。评审流程包括资格性检查、符合性检查、澄清问题、比较与评价、推荐中标候选人或确定中标人、编写评标报告等步骤。</w:t>
      </w:r>
    </w:p>
    <w:p w14:paraId="46EB3D63">
      <w:pPr>
        <w:spacing w:line="360" w:lineRule="auto"/>
        <w:ind w:firstLine="420" w:firstLineChars="200"/>
        <w:rPr>
          <w:rFonts w:asciiTheme="minorEastAsia" w:hAnsiTheme="minorEastAsia"/>
          <w:szCs w:val="21"/>
        </w:rPr>
      </w:pPr>
      <w:bookmarkStart w:id="98" w:name="_Ref179619857"/>
      <w:r>
        <w:rPr>
          <w:rFonts w:asciiTheme="minorEastAsia" w:hAnsiTheme="minorEastAsia"/>
          <w:szCs w:val="21"/>
        </w:rPr>
        <w:t>在评标期间，评标委员会可要求投标人对其投标文件进行澄清，但不得寻求、提供或允许对投标价格等实质性内容做任何更改。有关澄清的要求和答复均应以书面形式提交。</w:t>
      </w:r>
      <w:bookmarkEnd w:id="98"/>
    </w:p>
    <w:p w14:paraId="65B43CBD">
      <w:pPr>
        <w:spacing w:line="360" w:lineRule="auto"/>
        <w:ind w:firstLine="420" w:firstLineChars="200"/>
        <w:rPr>
          <w:rFonts w:asciiTheme="minorEastAsia" w:hAnsiTheme="minorEastAsia"/>
          <w:szCs w:val="21"/>
        </w:rPr>
      </w:pPr>
      <w:bookmarkStart w:id="99" w:name="_Toc27507"/>
      <w:bookmarkStart w:id="100" w:name="_Toc16749"/>
      <w:bookmarkStart w:id="101" w:name="_Toc10952"/>
      <w:bookmarkStart w:id="102" w:name="_Toc3712"/>
      <w:r>
        <w:rPr>
          <w:rFonts w:hint="eastAsia" w:asciiTheme="minorEastAsia" w:hAnsiTheme="minorEastAsia"/>
          <w:szCs w:val="21"/>
        </w:rPr>
        <w:t>不同投标人提供相同品牌产品</w:t>
      </w:r>
      <w:bookmarkEnd w:id="99"/>
      <w:bookmarkEnd w:id="100"/>
      <w:bookmarkEnd w:id="101"/>
      <w:bookmarkEnd w:id="102"/>
    </w:p>
    <w:p w14:paraId="356A7AB4">
      <w:pPr>
        <w:spacing w:line="360" w:lineRule="auto"/>
        <w:ind w:firstLine="420" w:firstLineChars="200"/>
        <w:rPr>
          <w:rFonts w:asciiTheme="minorEastAsia" w:hAnsiTheme="minorEastAsia"/>
          <w:szCs w:val="21"/>
        </w:rPr>
      </w:pPr>
      <w:r>
        <w:rPr>
          <w:rFonts w:hint="eastAsia" w:asciiTheme="minorEastAsia" w:hAnsiTheme="minorEastAsia"/>
          <w:szCs w:val="21"/>
        </w:rPr>
        <w:t>采用最低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BE1A1AD">
      <w:pPr>
        <w:spacing w:line="360" w:lineRule="auto"/>
        <w:ind w:firstLine="420" w:firstLineChars="200"/>
        <w:rPr>
          <w:rFonts w:asciiTheme="minorEastAsia" w:hAnsiTheme="minorEastAsia"/>
          <w:szCs w:val="21"/>
        </w:rPr>
      </w:pPr>
      <w:r>
        <w:rPr>
          <w:rFonts w:hint="eastAsia" w:asciiTheme="minorEastAsia" w:hAnsiTheme="minorEastAsia"/>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4376F82">
      <w:pPr>
        <w:spacing w:line="360" w:lineRule="auto"/>
        <w:ind w:firstLine="420" w:firstLineChars="200"/>
        <w:rPr>
          <w:rFonts w:asciiTheme="minorEastAsia" w:hAnsiTheme="minorEastAsia"/>
          <w:szCs w:val="21"/>
        </w:rPr>
      </w:pPr>
      <w:r>
        <w:rPr>
          <w:rFonts w:hint="eastAsia" w:asciiTheme="minorEastAsia" w:hAnsiTheme="minorEastAsia"/>
          <w:szCs w:val="21"/>
        </w:rPr>
        <w:t>非单一产品采购项目，采购人应当根据采购项目技术构成、产品价格比重等合理确定核心产品，多家投标人提供的核心产品品牌完全相同的，按本条规定处理。</w:t>
      </w:r>
    </w:p>
    <w:p w14:paraId="53D24826">
      <w:pPr>
        <w:pStyle w:val="4"/>
        <w:spacing w:line="360" w:lineRule="auto"/>
        <w:ind w:firstLine="482"/>
      </w:pPr>
      <w:bookmarkStart w:id="103" w:name="_Toc55548524"/>
      <w:bookmarkStart w:id="104" w:name="_Toc21426"/>
      <w:r>
        <w:rPr>
          <w:rFonts w:hint="eastAsia"/>
        </w:rPr>
        <w:t>投标文件的初审</w:t>
      </w:r>
      <w:bookmarkEnd w:id="103"/>
      <w:bookmarkEnd w:id="104"/>
    </w:p>
    <w:p w14:paraId="70E591F0">
      <w:pPr>
        <w:spacing w:line="360" w:lineRule="auto"/>
        <w:ind w:firstLine="420" w:firstLineChars="200"/>
        <w:rPr>
          <w:rFonts w:asciiTheme="minorEastAsia" w:hAnsiTheme="minorEastAsia"/>
          <w:szCs w:val="21"/>
        </w:rPr>
      </w:pPr>
      <w:r>
        <w:rPr>
          <w:rFonts w:asciiTheme="minorEastAsia" w:hAnsiTheme="minorEastAsia"/>
          <w:szCs w:val="21"/>
        </w:rPr>
        <w:t>评标委员会将审查投标文件是否完整、总体编排是否有序、文件签署是否合格等。</w:t>
      </w:r>
    </w:p>
    <w:p w14:paraId="436E73FF">
      <w:pPr>
        <w:spacing w:line="360" w:lineRule="auto"/>
        <w:ind w:firstLine="420" w:firstLineChars="200"/>
        <w:rPr>
          <w:rFonts w:asciiTheme="minorEastAsia" w:hAnsiTheme="minorEastAsia"/>
          <w:szCs w:val="21"/>
        </w:rPr>
      </w:pPr>
      <w:r>
        <w:rPr>
          <w:rFonts w:asciiTheme="minorEastAsia" w:hAnsiTheme="minorEastAsia"/>
          <w:szCs w:val="21"/>
        </w:rPr>
        <w:t>算术错误将按以下方法更正：若开标一览表中单价和总价相矛盾，以投标单价为准修改总价；若开标一览表内容与投标文件中明细表内容不相符的，以开标一览表为准；若用文字表示的数值与用数字表示的数值不一致，以文字表示的数值为准。如果投标人不接受对其错误的更正，其投标将被拒绝。</w:t>
      </w:r>
    </w:p>
    <w:p w14:paraId="5E145B81">
      <w:pPr>
        <w:spacing w:line="360" w:lineRule="auto"/>
        <w:ind w:firstLine="420" w:firstLineChars="200"/>
        <w:rPr>
          <w:rFonts w:asciiTheme="minorEastAsia" w:hAnsiTheme="minorEastAsia"/>
          <w:szCs w:val="21"/>
        </w:rPr>
      </w:pPr>
      <w:r>
        <w:rPr>
          <w:rFonts w:asciiTheme="minorEastAsia" w:hAnsiTheme="minorEastAsia"/>
          <w:szCs w:val="21"/>
        </w:rPr>
        <w:t>投标文件中的缺漏项将按以下方法更正：以所有投标报价中该项最高报价核算其缺漏项金额，缺漏项金额大于或等于其投标总价的1%时，视为重大投标漏项，该投标作</w:t>
      </w:r>
      <w:r>
        <w:rPr>
          <w:rFonts w:hint="eastAsia" w:asciiTheme="minorEastAsia" w:hAnsiTheme="minorEastAsia"/>
          <w:szCs w:val="21"/>
        </w:rPr>
        <w:t>投标无效</w:t>
      </w:r>
      <w:r>
        <w:rPr>
          <w:rFonts w:asciiTheme="minorEastAsia" w:hAnsiTheme="minorEastAsia"/>
          <w:szCs w:val="21"/>
        </w:rPr>
        <w:t>处理；缺漏项金额小于其投标总价的1%时，评标委员会将视为其投标总价已包括缺漏项内容，若其中标，有关该内容的合同价格不予调整，但评标时将对该投标作不利的评标价调整或评审分数量化。如果投标人不接受对其错误的更正，其投标将被拒绝。</w:t>
      </w:r>
    </w:p>
    <w:p w14:paraId="4662FF9E">
      <w:pPr>
        <w:spacing w:line="360" w:lineRule="auto"/>
        <w:ind w:firstLine="420" w:firstLineChars="200"/>
        <w:rPr>
          <w:rFonts w:asciiTheme="minorEastAsia" w:hAnsiTheme="minorEastAsia"/>
          <w:szCs w:val="21"/>
        </w:rPr>
      </w:pPr>
      <w:r>
        <w:rPr>
          <w:rFonts w:asciiTheme="minorEastAsia" w:hAnsiTheme="minorEastAsia"/>
          <w:szCs w:val="21"/>
        </w:rPr>
        <w:t>对于投标文件中不构成实质性偏差的不正规、不一致或不规则，评标委员会可以接受，但这种接受不能损害或影响任何投标人的相对排序。</w:t>
      </w:r>
    </w:p>
    <w:p w14:paraId="7AC1A914">
      <w:pPr>
        <w:spacing w:line="360" w:lineRule="auto"/>
        <w:ind w:firstLine="420" w:firstLineChars="200"/>
        <w:rPr>
          <w:rFonts w:asciiTheme="minorEastAsia" w:hAnsiTheme="minorEastAsia"/>
          <w:szCs w:val="21"/>
        </w:rPr>
      </w:pPr>
      <w:r>
        <w:rPr>
          <w:rFonts w:asciiTheme="minorEastAsia" w:hAnsiTheme="minorEastAsia"/>
          <w:szCs w:val="21"/>
        </w:rPr>
        <w:t>在详细评审之前，评标委员将会审查每份投标文件是否实质上响应了招标文件的要求。实质上响应的投标是与招标文件要求的关键条款、条件和规格相符，没有重大偏离的投标。例如关于投标保证金、投标人资格要求、关键技术指标要求、投标报价要求和评标标准等。评标委员会审查投标的响应性只根据投标文件本身的内容，而不寻求外部的证据。</w:t>
      </w:r>
    </w:p>
    <w:p w14:paraId="03F93C1B">
      <w:pPr>
        <w:spacing w:line="360" w:lineRule="auto"/>
        <w:ind w:firstLine="420" w:firstLineChars="200"/>
        <w:rPr>
          <w:rFonts w:asciiTheme="minorEastAsia" w:hAnsiTheme="minorEastAsia"/>
          <w:szCs w:val="21"/>
        </w:rPr>
      </w:pPr>
      <w:bookmarkStart w:id="105" w:name="_Ref179619330"/>
      <w:r>
        <w:rPr>
          <w:rFonts w:asciiTheme="minorEastAsia" w:hAnsiTheme="minorEastAsia"/>
          <w:szCs w:val="21"/>
        </w:rPr>
        <w:t>实质上没有响应招标文件要求的投标将被作</w:t>
      </w:r>
      <w:r>
        <w:rPr>
          <w:rFonts w:hint="eastAsia" w:asciiTheme="minorEastAsia" w:hAnsiTheme="minorEastAsia"/>
          <w:szCs w:val="21"/>
        </w:rPr>
        <w:t>投标无效</w:t>
      </w:r>
      <w:r>
        <w:rPr>
          <w:rFonts w:asciiTheme="minorEastAsia" w:hAnsiTheme="minorEastAsia"/>
          <w:szCs w:val="21"/>
        </w:rPr>
        <w:t>处理。投标人不得通过修正或撤销不合要求的偏离或保留从而使其投标成为实质上响应的投标。评标委员会评审中，发现下列情况之一的，其投标将作</w:t>
      </w:r>
      <w:r>
        <w:rPr>
          <w:rFonts w:hint="eastAsia" w:asciiTheme="minorEastAsia" w:hAnsiTheme="minorEastAsia"/>
          <w:szCs w:val="21"/>
        </w:rPr>
        <w:t>投标无效</w:t>
      </w:r>
      <w:r>
        <w:rPr>
          <w:rFonts w:asciiTheme="minorEastAsia" w:hAnsiTheme="minorEastAsia"/>
          <w:szCs w:val="21"/>
        </w:rPr>
        <w:t>处理：</w:t>
      </w:r>
      <w:bookmarkEnd w:id="105"/>
    </w:p>
    <w:p w14:paraId="4D2772C7">
      <w:pPr>
        <w:spacing w:line="360" w:lineRule="auto"/>
        <w:ind w:firstLine="420" w:firstLineChars="200"/>
        <w:rPr>
          <w:rFonts w:asciiTheme="minorEastAsia" w:hAnsiTheme="minorEastAsia"/>
          <w:szCs w:val="21"/>
        </w:rPr>
      </w:pPr>
      <w:bookmarkStart w:id="106" w:name="_Ref179621189"/>
      <w:r>
        <w:rPr>
          <w:rFonts w:asciiTheme="minorEastAsia" w:hAnsiTheme="minorEastAsia"/>
          <w:szCs w:val="21"/>
        </w:rPr>
        <w:t>符合性检查</w:t>
      </w:r>
      <w:bookmarkEnd w:id="106"/>
    </w:p>
    <w:p w14:paraId="2721A99B">
      <w:pPr>
        <w:spacing w:line="360" w:lineRule="auto"/>
        <w:ind w:firstLine="422" w:firstLineChars="200"/>
        <w:rPr>
          <w:rFonts w:asciiTheme="minorEastAsia" w:hAnsiTheme="minorEastAsia"/>
          <w:b/>
          <w:szCs w:val="21"/>
        </w:rPr>
      </w:pPr>
      <w:bookmarkStart w:id="107" w:name="_Toc385"/>
      <w:bookmarkStart w:id="108" w:name="_Toc5963"/>
      <w:bookmarkStart w:id="109" w:name="_Toc32392"/>
      <w:bookmarkStart w:id="110" w:name="_Toc2459"/>
      <w:bookmarkStart w:id="111" w:name="_Toc1347"/>
      <w:bookmarkStart w:id="112" w:name="_Toc13273"/>
      <w:bookmarkStart w:id="113" w:name="_Toc25993"/>
      <w:r>
        <w:rPr>
          <w:rFonts w:asciiTheme="minorEastAsia" w:hAnsiTheme="minorEastAsia"/>
          <w:b/>
          <w:szCs w:val="21"/>
        </w:rPr>
        <w:t>1) 投标文件的有效性、完整性瑕疵</w:t>
      </w:r>
      <w:bookmarkEnd w:id="107"/>
      <w:bookmarkEnd w:id="108"/>
      <w:bookmarkEnd w:id="109"/>
      <w:bookmarkEnd w:id="110"/>
      <w:bookmarkEnd w:id="111"/>
      <w:bookmarkEnd w:id="112"/>
      <w:bookmarkEnd w:id="113"/>
    </w:p>
    <w:p w14:paraId="113BEF4A">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投标文件的数量、制作、密封、标记不符合要求；</w:t>
      </w:r>
      <w:r>
        <w:rPr>
          <w:rFonts w:hint="eastAsia" w:cs="宋体" w:asciiTheme="minorEastAsia" w:hAnsiTheme="minorEastAsia"/>
          <w:szCs w:val="21"/>
        </w:rPr>
        <w:t>②</w:t>
      </w:r>
      <w:r>
        <w:rPr>
          <w:rFonts w:asciiTheme="minorEastAsia" w:hAnsiTheme="minorEastAsia"/>
          <w:szCs w:val="21"/>
        </w:rPr>
        <w:t>投标文件无法定代表人或其授权代表签字，或签字人无法定代表人有效授权的；</w:t>
      </w:r>
      <w:r>
        <w:rPr>
          <w:rFonts w:hint="eastAsia" w:cs="宋体" w:asciiTheme="minorEastAsia" w:hAnsiTheme="minorEastAsia"/>
          <w:szCs w:val="21"/>
        </w:rPr>
        <w:t>③</w:t>
      </w:r>
      <w:r>
        <w:rPr>
          <w:rFonts w:asciiTheme="minorEastAsia" w:hAnsiTheme="minorEastAsia"/>
          <w:szCs w:val="21"/>
        </w:rPr>
        <w:t>签字盖章不符合招标文件要求的；</w:t>
      </w:r>
      <w:r>
        <w:rPr>
          <w:rFonts w:hint="eastAsia" w:cs="宋体" w:asciiTheme="minorEastAsia" w:hAnsiTheme="minorEastAsia"/>
          <w:szCs w:val="21"/>
        </w:rPr>
        <w:t>④</w:t>
      </w:r>
      <w:r>
        <w:rPr>
          <w:rFonts w:asciiTheme="minorEastAsia" w:hAnsiTheme="minorEastAsia"/>
          <w:szCs w:val="21"/>
        </w:rPr>
        <w:t>投标文件内容有严重缺漏项的；</w:t>
      </w:r>
      <w:r>
        <w:rPr>
          <w:rFonts w:hint="eastAsia" w:cs="宋体" w:asciiTheme="minorEastAsia" w:hAnsiTheme="minorEastAsia"/>
          <w:szCs w:val="21"/>
        </w:rPr>
        <w:t>⑤</w:t>
      </w:r>
      <w:r>
        <w:rPr>
          <w:rFonts w:asciiTheme="minorEastAsia" w:hAnsiTheme="minorEastAsia"/>
          <w:szCs w:val="21"/>
        </w:rPr>
        <w:t>投标报价有严重缺漏项的；</w:t>
      </w:r>
      <w:r>
        <w:rPr>
          <w:rFonts w:hint="eastAsia" w:cs="宋体" w:asciiTheme="minorEastAsia" w:hAnsiTheme="minorEastAsia"/>
          <w:szCs w:val="21"/>
        </w:rPr>
        <w:t>⑥</w:t>
      </w:r>
      <w:r>
        <w:rPr>
          <w:rFonts w:asciiTheme="minorEastAsia" w:hAnsiTheme="minorEastAsia"/>
          <w:szCs w:val="21"/>
        </w:rPr>
        <w:t>投标文件的关键内容字迹模糊、无法辨认的</w:t>
      </w:r>
      <w:r>
        <w:rPr>
          <w:rFonts w:hint="eastAsia" w:asciiTheme="minorEastAsia" w:hAnsiTheme="minorEastAsia"/>
          <w:szCs w:val="21"/>
        </w:rPr>
        <w:t>；</w:t>
      </w:r>
      <w:r>
        <w:rPr>
          <w:rFonts w:hint="eastAsia" w:cs="宋体" w:asciiTheme="minorEastAsia" w:hAnsiTheme="minorEastAsia"/>
          <w:szCs w:val="21"/>
        </w:rPr>
        <w:t>⑦</w:t>
      </w:r>
      <w:r>
        <w:rPr>
          <w:rFonts w:hint="eastAsia" w:asciiTheme="minorEastAsia" w:hAnsiTheme="minorEastAsia"/>
          <w:szCs w:val="21"/>
        </w:rPr>
        <w:t>未按招标文件要求编制。</w:t>
      </w:r>
    </w:p>
    <w:p w14:paraId="485F595D">
      <w:pPr>
        <w:spacing w:line="360" w:lineRule="auto"/>
        <w:ind w:firstLine="422" w:firstLineChars="200"/>
        <w:rPr>
          <w:rFonts w:asciiTheme="minorEastAsia" w:hAnsiTheme="minorEastAsia"/>
          <w:b/>
          <w:szCs w:val="21"/>
        </w:rPr>
      </w:pPr>
      <w:bookmarkStart w:id="114" w:name="_Toc31066"/>
      <w:bookmarkStart w:id="115" w:name="_Toc30904"/>
      <w:bookmarkStart w:id="116" w:name="_Toc29078"/>
      <w:bookmarkStart w:id="117" w:name="_Toc4787"/>
      <w:bookmarkStart w:id="118" w:name="_Toc24825"/>
      <w:bookmarkStart w:id="119" w:name="_Toc17493"/>
      <w:bookmarkStart w:id="120" w:name="_Toc6513"/>
      <w:r>
        <w:rPr>
          <w:rFonts w:asciiTheme="minorEastAsia" w:hAnsiTheme="minorEastAsia"/>
          <w:b/>
          <w:szCs w:val="21"/>
        </w:rPr>
        <w:t>2) 技术响应瑕疵</w:t>
      </w:r>
      <w:bookmarkEnd w:id="114"/>
      <w:bookmarkEnd w:id="115"/>
      <w:bookmarkEnd w:id="116"/>
      <w:bookmarkEnd w:id="117"/>
      <w:bookmarkEnd w:id="118"/>
      <w:bookmarkEnd w:id="119"/>
      <w:bookmarkEnd w:id="120"/>
    </w:p>
    <w:p w14:paraId="1ACF537C">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投标文件不满足招标文件中加注星号（</w:t>
      </w:r>
      <w:r>
        <w:rPr>
          <w:rFonts w:hint="eastAsia" w:cs="宋体" w:asciiTheme="minorEastAsia" w:hAnsiTheme="minorEastAsia"/>
          <w:szCs w:val="21"/>
        </w:rPr>
        <w:t>※</w:t>
      </w:r>
      <w:r>
        <w:rPr>
          <w:rFonts w:asciiTheme="minorEastAsia" w:hAnsiTheme="minorEastAsia"/>
          <w:szCs w:val="21"/>
        </w:rPr>
        <w:t>）的主要参数要求或加注星号的主要参数无技术资料支持的；</w:t>
      </w:r>
      <w:r>
        <w:rPr>
          <w:rFonts w:hint="eastAsia" w:cs="宋体" w:asciiTheme="minorEastAsia" w:hAnsiTheme="minorEastAsia"/>
          <w:szCs w:val="21"/>
        </w:rPr>
        <w:t>②</w:t>
      </w:r>
      <w:r>
        <w:rPr>
          <w:rFonts w:asciiTheme="minorEastAsia" w:hAnsiTheme="minorEastAsia"/>
          <w:szCs w:val="21"/>
        </w:rPr>
        <w:t>一般参数超出允许偏离的最大范围或最高项数的；</w:t>
      </w:r>
      <w:r>
        <w:rPr>
          <w:rFonts w:hint="eastAsia" w:cs="宋体" w:asciiTheme="minorEastAsia" w:hAnsiTheme="minorEastAsia"/>
          <w:szCs w:val="21"/>
        </w:rPr>
        <w:t>③</w:t>
      </w:r>
      <w:r>
        <w:rPr>
          <w:rFonts w:asciiTheme="minorEastAsia" w:hAnsiTheme="minorEastAsia"/>
          <w:szCs w:val="21"/>
        </w:rPr>
        <w:t>投标文件技术响应与事实不符或虚假投标的；</w:t>
      </w:r>
      <w:r>
        <w:rPr>
          <w:rFonts w:hint="eastAsia" w:cs="宋体" w:asciiTheme="minorEastAsia" w:hAnsiTheme="minorEastAsia"/>
          <w:szCs w:val="21"/>
        </w:rPr>
        <w:t>④</w:t>
      </w:r>
      <w:r>
        <w:rPr>
          <w:rFonts w:asciiTheme="minorEastAsia" w:hAnsiTheme="minorEastAsia"/>
          <w:szCs w:val="21"/>
        </w:rPr>
        <w:t>投标人复制招标文件的技术规格相关部分内容作为其投标文件的一部分的；</w:t>
      </w:r>
      <w:r>
        <w:rPr>
          <w:rFonts w:hint="eastAsia" w:cs="宋体" w:asciiTheme="minorEastAsia" w:hAnsiTheme="minorEastAsia"/>
          <w:szCs w:val="21"/>
        </w:rPr>
        <w:t>⑤</w:t>
      </w:r>
      <w:r>
        <w:rPr>
          <w:rFonts w:asciiTheme="minorEastAsia" w:hAnsiTheme="minorEastAsia"/>
          <w:szCs w:val="21"/>
        </w:rPr>
        <w:t>《技术规格偏离表》填写不明或不实的；</w:t>
      </w:r>
      <w:r>
        <w:rPr>
          <w:rFonts w:hint="eastAsia" w:cs="宋体" w:asciiTheme="minorEastAsia" w:hAnsiTheme="minorEastAsia"/>
          <w:szCs w:val="21"/>
        </w:rPr>
        <w:t>⑥</w:t>
      </w:r>
      <w:r>
        <w:rPr>
          <w:rFonts w:asciiTheme="minorEastAsia" w:hAnsiTheme="minorEastAsia"/>
          <w:szCs w:val="21"/>
        </w:rPr>
        <w:t>将一个包中的内容拆开投标的；</w:t>
      </w:r>
      <w:r>
        <w:rPr>
          <w:rFonts w:hint="eastAsia" w:cs="宋体" w:asciiTheme="minorEastAsia" w:hAnsiTheme="minorEastAsia"/>
          <w:szCs w:val="21"/>
        </w:rPr>
        <w:t>⑦</w:t>
      </w:r>
      <w:r>
        <w:rPr>
          <w:rFonts w:asciiTheme="minorEastAsia" w:hAnsiTheme="minorEastAsia"/>
          <w:szCs w:val="21"/>
        </w:rPr>
        <w:t>投标人对同一货物或服务投标时，同时提供两套或两套以上的投标方案的；</w:t>
      </w:r>
      <w:r>
        <w:rPr>
          <w:rFonts w:hint="eastAsia" w:cs="宋体" w:asciiTheme="minorEastAsia" w:hAnsiTheme="minorEastAsia"/>
          <w:szCs w:val="21"/>
        </w:rPr>
        <w:t>⑧</w:t>
      </w:r>
      <w:r>
        <w:rPr>
          <w:rFonts w:asciiTheme="minorEastAsia" w:hAnsiTheme="minorEastAsia"/>
          <w:szCs w:val="21"/>
        </w:rPr>
        <w:t>明显不符合技术规格、技术标准要求的；</w:t>
      </w:r>
      <w:r>
        <w:rPr>
          <w:rFonts w:hint="eastAsia" w:cs="宋体" w:asciiTheme="minorEastAsia" w:hAnsiTheme="minorEastAsia"/>
          <w:szCs w:val="21"/>
        </w:rPr>
        <w:t>⑨</w:t>
      </w:r>
      <w:r>
        <w:rPr>
          <w:rFonts w:asciiTheme="minorEastAsia" w:hAnsiTheme="minorEastAsia"/>
          <w:szCs w:val="21"/>
        </w:rPr>
        <w:t>其他未实质性响应招标文件技术要求的。</w:t>
      </w:r>
    </w:p>
    <w:p w14:paraId="0ABFEF6C">
      <w:pPr>
        <w:spacing w:line="360" w:lineRule="auto"/>
        <w:ind w:firstLine="422" w:firstLineChars="200"/>
        <w:rPr>
          <w:rFonts w:asciiTheme="minorEastAsia" w:hAnsiTheme="minorEastAsia"/>
          <w:b/>
          <w:szCs w:val="21"/>
        </w:rPr>
      </w:pPr>
      <w:bookmarkStart w:id="121" w:name="_Toc27147"/>
      <w:bookmarkStart w:id="122" w:name="_Toc13742"/>
      <w:bookmarkStart w:id="123" w:name="_Toc19531"/>
      <w:bookmarkStart w:id="124" w:name="_Toc9317"/>
      <w:bookmarkStart w:id="125" w:name="_Toc6987"/>
      <w:bookmarkStart w:id="126" w:name="_Toc32692"/>
      <w:bookmarkStart w:id="127" w:name="_Toc16856"/>
      <w:r>
        <w:rPr>
          <w:rFonts w:asciiTheme="minorEastAsia" w:hAnsiTheme="minorEastAsia"/>
          <w:b/>
          <w:szCs w:val="21"/>
        </w:rPr>
        <w:t>3) 商务响应瑕疵</w:t>
      </w:r>
      <w:bookmarkEnd w:id="121"/>
      <w:bookmarkEnd w:id="122"/>
      <w:bookmarkEnd w:id="123"/>
      <w:bookmarkEnd w:id="124"/>
      <w:bookmarkEnd w:id="125"/>
      <w:bookmarkEnd w:id="126"/>
      <w:bookmarkEnd w:id="127"/>
    </w:p>
    <w:p w14:paraId="6E61D6B2">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招标文件加注星号（</w:t>
      </w:r>
      <w:r>
        <w:rPr>
          <w:rFonts w:hint="eastAsia" w:cs="宋体" w:asciiTheme="minorEastAsia" w:hAnsiTheme="minorEastAsia"/>
          <w:szCs w:val="21"/>
        </w:rPr>
        <w:t>※</w:t>
      </w:r>
      <w:r>
        <w:rPr>
          <w:rFonts w:asciiTheme="minorEastAsia" w:hAnsiTheme="minorEastAsia"/>
          <w:szCs w:val="21"/>
        </w:rPr>
        <w:t>）的商务要求负偏离的；</w:t>
      </w:r>
      <w:r>
        <w:rPr>
          <w:rFonts w:hint="eastAsia" w:cs="宋体" w:asciiTheme="minorEastAsia" w:hAnsiTheme="minorEastAsia"/>
          <w:szCs w:val="21"/>
        </w:rPr>
        <w:t>②</w:t>
      </w:r>
      <w:r>
        <w:rPr>
          <w:rFonts w:asciiTheme="minorEastAsia" w:hAnsiTheme="minorEastAsia"/>
          <w:szCs w:val="21"/>
        </w:rPr>
        <w:t>招标项目完成期未满足招标文件要求的；</w:t>
      </w:r>
      <w:r>
        <w:rPr>
          <w:rFonts w:hint="eastAsia" w:cs="宋体" w:asciiTheme="minorEastAsia" w:hAnsiTheme="minorEastAsia"/>
          <w:szCs w:val="21"/>
        </w:rPr>
        <w:t>③</w:t>
      </w:r>
      <w:r>
        <w:rPr>
          <w:rFonts w:asciiTheme="minorEastAsia" w:hAnsiTheme="minorEastAsia"/>
          <w:szCs w:val="21"/>
        </w:rPr>
        <w:t>投标文件载明的货物包装方式、检验标准和方法不符合招标文件要求的；</w:t>
      </w:r>
      <w:r>
        <w:rPr>
          <w:rFonts w:hint="eastAsia" w:cs="宋体" w:asciiTheme="minorEastAsia" w:hAnsiTheme="minorEastAsia"/>
          <w:szCs w:val="21"/>
        </w:rPr>
        <w:t>④</w:t>
      </w:r>
      <w:r>
        <w:rPr>
          <w:rFonts w:asciiTheme="minorEastAsia" w:hAnsiTheme="minorEastAsia"/>
          <w:szCs w:val="21"/>
        </w:rPr>
        <w:t>《商务条款偏离表》填写不明或不实的；</w:t>
      </w:r>
      <w:r>
        <w:rPr>
          <w:rFonts w:hint="eastAsia" w:cs="宋体" w:asciiTheme="minorEastAsia" w:hAnsiTheme="minorEastAsia"/>
          <w:szCs w:val="21"/>
        </w:rPr>
        <w:t>⑤</w:t>
      </w:r>
      <w:r>
        <w:rPr>
          <w:rFonts w:asciiTheme="minorEastAsia" w:hAnsiTheme="minorEastAsia"/>
          <w:szCs w:val="21"/>
        </w:rPr>
        <w:t>投标文件附有招标人不能接受的条件的；</w:t>
      </w:r>
      <w:r>
        <w:rPr>
          <w:rFonts w:hint="eastAsia" w:cs="宋体" w:asciiTheme="minorEastAsia" w:hAnsiTheme="minorEastAsia"/>
          <w:szCs w:val="21"/>
        </w:rPr>
        <w:t>⑥</w:t>
      </w:r>
      <w:r>
        <w:rPr>
          <w:rFonts w:hint="eastAsia" w:asciiTheme="minorEastAsia" w:hAnsiTheme="minorEastAsia"/>
          <w:szCs w:val="21"/>
        </w:rPr>
        <w:t>投标文件中附有招标人不能接受的条件；</w:t>
      </w:r>
      <w:r>
        <w:rPr>
          <w:rFonts w:hint="eastAsia" w:cs="宋体" w:asciiTheme="minorEastAsia" w:hAnsiTheme="minorEastAsia"/>
          <w:szCs w:val="21"/>
        </w:rPr>
        <w:t>⑦</w:t>
      </w:r>
      <w:r>
        <w:rPr>
          <w:rFonts w:asciiTheme="minorEastAsia" w:hAnsiTheme="minorEastAsia"/>
          <w:szCs w:val="21"/>
        </w:rPr>
        <w:t>其他未实质性响应招标文件商务要求的。</w:t>
      </w:r>
    </w:p>
    <w:p w14:paraId="499E4567">
      <w:pPr>
        <w:spacing w:line="360" w:lineRule="auto"/>
        <w:ind w:firstLine="422" w:firstLineChars="200"/>
        <w:rPr>
          <w:rFonts w:asciiTheme="minorEastAsia" w:hAnsiTheme="minorEastAsia"/>
          <w:b/>
          <w:szCs w:val="21"/>
        </w:rPr>
      </w:pPr>
      <w:r>
        <w:rPr>
          <w:rFonts w:asciiTheme="minorEastAsia" w:hAnsiTheme="minorEastAsia"/>
          <w:b/>
          <w:szCs w:val="21"/>
        </w:rPr>
        <w:t>4）违规行为</w:t>
      </w:r>
    </w:p>
    <w:p w14:paraId="659ACE2C">
      <w:pPr>
        <w:spacing w:line="360" w:lineRule="auto"/>
        <w:ind w:firstLine="420" w:firstLineChars="200"/>
        <w:rPr>
          <w:rFonts w:asciiTheme="minorEastAsia" w:hAnsiTheme="minorEastAsia"/>
          <w:szCs w:val="21"/>
        </w:rPr>
      </w:pPr>
      <w:r>
        <w:rPr>
          <w:rFonts w:asciiTheme="minorEastAsia" w:hAnsiTheme="minorEastAsia"/>
          <w:szCs w:val="21"/>
        </w:rPr>
        <w:t>包括但不限于：</w:t>
      </w:r>
      <w:r>
        <w:rPr>
          <w:rFonts w:hint="eastAsia" w:cs="宋体" w:asciiTheme="minorEastAsia" w:hAnsiTheme="minorEastAsia"/>
          <w:szCs w:val="21"/>
        </w:rPr>
        <w:t>①</w:t>
      </w:r>
      <w:r>
        <w:rPr>
          <w:rFonts w:asciiTheme="minorEastAsia" w:hAnsiTheme="minorEastAsia"/>
          <w:szCs w:val="21"/>
        </w:rPr>
        <w:t>以他人的名义投标、串通投标、以行贿手段谋取中标或者以其他弄虚作假方式投标的；</w:t>
      </w:r>
      <w:r>
        <w:rPr>
          <w:rFonts w:hint="eastAsia" w:cs="宋体" w:asciiTheme="minorEastAsia" w:hAnsiTheme="minorEastAsia"/>
          <w:szCs w:val="21"/>
        </w:rPr>
        <w:t>②</w:t>
      </w:r>
      <w:r>
        <w:rPr>
          <w:rFonts w:asciiTheme="minorEastAsia" w:hAnsiTheme="minorEastAsia"/>
          <w:szCs w:val="21"/>
        </w:rPr>
        <w:t>拒不按照要求对投标文件进行澄清、说明或者补正的；</w:t>
      </w:r>
      <w:r>
        <w:rPr>
          <w:rFonts w:hint="eastAsia" w:cs="宋体" w:asciiTheme="minorEastAsia" w:hAnsiTheme="minorEastAsia"/>
          <w:szCs w:val="21"/>
        </w:rPr>
        <w:t>③</w:t>
      </w:r>
      <w:r>
        <w:rPr>
          <w:rFonts w:asciiTheme="minorEastAsia" w:hAnsiTheme="minorEastAsia"/>
          <w:szCs w:val="21"/>
        </w:rPr>
        <w:t>扰乱开标、评标秩序，干扰招标工作正常进行的。</w:t>
      </w:r>
    </w:p>
    <w:p w14:paraId="143909A3">
      <w:pPr>
        <w:spacing w:line="360" w:lineRule="auto"/>
        <w:ind w:firstLine="422" w:firstLineChars="200"/>
        <w:rPr>
          <w:rFonts w:asciiTheme="minorEastAsia" w:hAnsiTheme="minorEastAsia"/>
          <w:b/>
          <w:szCs w:val="21"/>
        </w:rPr>
      </w:pPr>
      <w:r>
        <w:rPr>
          <w:rFonts w:hint="eastAsia" w:asciiTheme="minorEastAsia" w:hAnsiTheme="minorEastAsia"/>
          <w:b/>
          <w:szCs w:val="21"/>
        </w:rPr>
        <w:t>投标报价</w:t>
      </w:r>
    </w:p>
    <w:p w14:paraId="3E6ABA73">
      <w:pPr>
        <w:spacing w:line="360" w:lineRule="auto"/>
        <w:ind w:firstLine="420" w:firstLineChars="200"/>
        <w:rPr>
          <w:rFonts w:asciiTheme="minorEastAsia" w:hAnsiTheme="minorEastAsia"/>
          <w:szCs w:val="21"/>
        </w:rPr>
      </w:pPr>
      <w:r>
        <w:rPr>
          <w:rFonts w:hint="eastAsia" w:asciiTheme="minorEastAsia" w:hAnsiTheme="minorEastAsia"/>
          <w:bCs/>
          <w:szCs w:val="21"/>
        </w:rPr>
        <w:t>包括但不限于：</w:t>
      </w:r>
      <w:r>
        <w:rPr>
          <w:rFonts w:hint="eastAsia" w:cs="宋体" w:asciiTheme="minorEastAsia" w:hAnsiTheme="minorEastAsia"/>
          <w:szCs w:val="21"/>
        </w:rPr>
        <w:t>①</w:t>
      </w:r>
      <w:r>
        <w:rPr>
          <w:rFonts w:hint="eastAsia" w:asciiTheme="minorEastAsia" w:hAnsiTheme="minorEastAsia"/>
          <w:szCs w:val="21"/>
        </w:rPr>
        <w:t>投标报价超出预算控制金额上限，或超过招标文件规定的最高投标限价</w:t>
      </w:r>
      <w:r>
        <w:rPr>
          <w:rFonts w:hint="eastAsia" w:cs="宋体" w:asciiTheme="minorEastAsia" w:hAnsiTheme="minorEastAsia"/>
          <w:szCs w:val="21"/>
        </w:rPr>
        <w:t>②</w:t>
      </w:r>
      <w:r>
        <w:rPr>
          <w:rFonts w:hint="eastAsia" w:asciiTheme="minorEastAsia" w:hAnsiTheme="minorEastAsia"/>
          <w:szCs w:val="21"/>
        </w:rPr>
        <w:t>选择性报价或可变动报价</w:t>
      </w:r>
      <w:r>
        <w:rPr>
          <w:rFonts w:hint="eastAsia" w:cs="宋体" w:asciiTheme="minorEastAsia" w:hAnsiTheme="minorEastAsia"/>
          <w:szCs w:val="21"/>
        </w:rPr>
        <w:t>③</w:t>
      </w:r>
      <w:r>
        <w:rPr>
          <w:rFonts w:asciiTheme="minorEastAsia" w:hAnsiTheme="minorEastAsia"/>
          <w:szCs w:val="21"/>
        </w:rPr>
        <w:t>投标人低于成本报价竞标的</w:t>
      </w:r>
    </w:p>
    <w:p w14:paraId="1594AEF1">
      <w:pPr>
        <w:spacing w:line="360" w:lineRule="auto"/>
        <w:ind w:firstLine="422" w:firstLineChars="200"/>
        <w:rPr>
          <w:rFonts w:asciiTheme="minorEastAsia" w:hAnsiTheme="minorEastAsia"/>
          <w:b/>
          <w:bCs/>
          <w:szCs w:val="21"/>
        </w:rPr>
      </w:pPr>
      <w:r>
        <w:rPr>
          <w:rFonts w:hint="eastAsia" w:asciiTheme="minorEastAsia" w:hAnsiTheme="minorEastAsia"/>
          <w:b/>
          <w:bCs/>
          <w:szCs w:val="21"/>
        </w:rPr>
        <w:t>6</w:t>
      </w:r>
      <w:r>
        <w:rPr>
          <w:rFonts w:asciiTheme="minorEastAsia" w:hAnsiTheme="minorEastAsia"/>
          <w:b/>
          <w:bCs/>
          <w:szCs w:val="21"/>
        </w:rPr>
        <w:t>）法律法规及招标文件中规定的其它情形。</w:t>
      </w:r>
    </w:p>
    <w:p w14:paraId="6C2695C9">
      <w:pPr>
        <w:spacing w:line="360" w:lineRule="auto"/>
        <w:ind w:firstLine="420" w:firstLineChars="200"/>
        <w:rPr>
          <w:rFonts w:asciiTheme="minorEastAsia" w:hAnsiTheme="minorEastAsia"/>
          <w:szCs w:val="21"/>
        </w:rPr>
      </w:pPr>
      <w:r>
        <w:rPr>
          <w:rFonts w:asciiTheme="minorEastAsia" w:hAnsiTheme="minorEastAsia"/>
          <w:szCs w:val="21"/>
        </w:rPr>
        <w:t>根据项目情况，评标委员会有权决定招标文件中“可能导致</w:t>
      </w:r>
      <w:r>
        <w:rPr>
          <w:rFonts w:hint="eastAsia" w:asciiTheme="minorEastAsia" w:hAnsiTheme="minorEastAsia"/>
          <w:szCs w:val="21"/>
        </w:rPr>
        <w:t>投标无效</w:t>
      </w:r>
      <w:r>
        <w:rPr>
          <w:rFonts w:asciiTheme="minorEastAsia" w:hAnsiTheme="minorEastAsia"/>
          <w:szCs w:val="21"/>
        </w:rPr>
        <w:t>”或“可能导致其投标被拒绝”等具体条款是否实施“</w:t>
      </w:r>
      <w:r>
        <w:rPr>
          <w:rFonts w:hint="eastAsia" w:asciiTheme="minorEastAsia" w:hAnsiTheme="minorEastAsia"/>
          <w:szCs w:val="21"/>
        </w:rPr>
        <w:t>投标无效</w:t>
      </w:r>
      <w:r>
        <w:rPr>
          <w:rFonts w:asciiTheme="minorEastAsia" w:hAnsiTheme="minorEastAsia"/>
          <w:szCs w:val="21"/>
        </w:rPr>
        <w:t>”或“投标被拒绝”，但对同一条款的裁决应适用于每个投标人。</w:t>
      </w:r>
    </w:p>
    <w:p w14:paraId="2BF7210E">
      <w:pPr>
        <w:pStyle w:val="4"/>
        <w:spacing w:line="360" w:lineRule="auto"/>
        <w:ind w:firstLine="482"/>
      </w:pPr>
      <w:bookmarkStart w:id="128" w:name="_Toc55548525"/>
      <w:bookmarkStart w:id="129" w:name="_Toc7255"/>
      <w:r>
        <w:rPr>
          <w:rFonts w:hint="eastAsia"/>
        </w:rPr>
        <w:t>评标方法和定标原则</w:t>
      </w:r>
      <w:bookmarkEnd w:id="128"/>
      <w:bookmarkEnd w:id="129"/>
    </w:p>
    <w:p w14:paraId="7BD5E8A2">
      <w:pPr>
        <w:spacing w:line="360" w:lineRule="auto"/>
        <w:ind w:firstLine="420" w:firstLineChars="200"/>
        <w:rPr>
          <w:rFonts w:asciiTheme="minorEastAsia" w:hAnsiTheme="minorEastAsia"/>
          <w:szCs w:val="21"/>
        </w:rPr>
      </w:pPr>
      <w:r>
        <w:rPr>
          <w:rFonts w:asciiTheme="minorEastAsia" w:hAnsiTheme="minorEastAsia"/>
          <w:szCs w:val="21"/>
        </w:rPr>
        <w:t>最低评标价法</w:t>
      </w:r>
    </w:p>
    <w:p w14:paraId="1AA0D591">
      <w:pPr>
        <w:spacing w:line="360" w:lineRule="auto"/>
        <w:ind w:firstLine="420" w:firstLineChars="200"/>
        <w:rPr>
          <w:rFonts w:asciiTheme="minorEastAsia" w:hAnsiTheme="minorEastAsia"/>
          <w:szCs w:val="21"/>
        </w:rPr>
      </w:pPr>
      <w:r>
        <w:rPr>
          <w:rFonts w:asciiTheme="minorEastAsia" w:hAnsiTheme="minorEastAsia"/>
          <w:szCs w:val="21"/>
        </w:rPr>
        <w:t>最低评标价法，是指以价格因素确定中标候选人的评标方法，即在满足招标文件实质性要求前提下，以报价最低的投标供应商作为中标候选人或中标人。完全满足招标文件的实质性要求，按照报价由低到高的顺序，依据招标文件中规定的数量或者比例推荐候选中标供应商。</w:t>
      </w:r>
    </w:p>
    <w:p w14:paraId="7D439942">
      <w:pPr>
        <w:spacing w:line="360" w:lineRule="auto"/>
        <w:ind w:firstLine="420" w:firstLineChars="200"/>
        <w:rPr>
          <w:rFonts w:asciiTheme="minorEastAsia" w:hAnsiTheme="minorEastAsia"/>
          <w:szCs w:val="21"/>
        </w:rPr>
      </w:pPr>
      <w:r>
        <w:rPr>
          <w:rFonts w:asciiTheme="minorEastAsia" w:hAnsiTheme="minorEastAsia"/>
          <w:szCs w:val="21"/>
        </w:rPr>
        <w:t>中标人的投标应当符合招标文件规定的资质、技术要求和标准，但评标委员会无需对投标文件的技术部分进行价格折算。</w:t>
      </w:r>
    </w:p>
    <w:p w14:paraId="53B5BAB2">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B39133D">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36E01C64">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67E84CF8">
      <w:pPr>
        <w:spacing w:line="360" w:lineRule="auto"/>
        <w:ind w:firstLine="420" w:firstLineChars="200"/>
        <w:rPr>
          <w:rFonts w:asciiTheme="minorEastAsia" w:hAnsiTheme="minorEastAsia"/>
          <w:szCs w:val="21"/>
        </w:rPr>
      </w:pPr>
      <w:r>
        <w:rPr>
          <w:rFonts w:asciiTheme="minorEastAsia" w:hAnsiTheme="minorEastAsia"/>
          <w:szCs w:val="21"/>
        </w:rPr>
        <w:t>通过资格性检查和符合性审查且报价不超过预算控制金额并同时具备以下条件的投标人应当确定为中标候选供应商或中标供应商：</w:t>
      </w:r>
    </w:p>
    <w:p w14:paraId="5D456E9A">
      <w:pPr>
        <w:spacing w:line="360" w:lineRule="auto"/>
        <w:ind w:firstLine="420" w:firstLineChars="200"/>
        <w:rPr>
          <w:rFonts w:asciiTheme="minorEastAsia" w:hAnsiTheme="minorEastAsia"/>
          <w:szCs w:val="21"/>
        </w:rPr>
      </w:pPr>
      <w:r>
        <w:rPr>
          <w:rFonts w:asciiTheme="minorEastAsia" w:hAnsiTheme="minorEastAsia"/>
          <w:szCs w:val="21"/>
        </w:rPr>
        <w:t>（一）满足招标文件实质性要求；</w:t>
      </w:r>
    </w:p>
    <w:p w14:paraId="75B3ADAB">
      <w:pPr>
        <w:spacing w:line="360" w:lineRule="auto"/>
        <w:ind w:firstLine="420" w:firstLineChars="200"/>
        <w:rPr>
          <w:rFonts w:asciiTheme="minorEastAsia" w:hAnsiTheme="minorEastAsia"/>
          <w:szCs w:val="21"/>
        </w:rPr>
      </w:pPr>
      <w:r>
        <w:rPr>
          <w:rFonts w:asciiTheme="minorEastAsia" w:hAnsiTheme="minorEastAsia"/>
          <w:szCs w:val="21"/>
        </w:rPr>
        <w:t>（二）投标的价格最低。</w:t>
      </w:r>
    </w:p>
    <w:p w14:paraId="3C4F5D0C">
      <w:pPr>
        <w:spacing w:line="360" w:lineRule="auto"/>
        <w:ind w:firstLine="420" w:firstLineChars="200"/>
        <w:rPr>
          <w:rFonts w:asciiTheme="minorEastAsia" w:hAnsiTheme="minorEastAsia"/>
          <w:szCs w:val="21"/>
        </w:rPr>
      </w:pPr>
      <w:r>
        <w:rPr>
          <w:rFonts w:asciiTheme="minorEastAsia" w:hAnsiTheme="minorEastAsia"/>
          <w:szCs w:val="21"/>
        </w:rPr>
        <w:t>按投标报价由低到高顺序排列。投标报价相同的，按技术指标优劣顺序排列。评标委员会认为，排在前面的供应商的最低投标报价或者某些分项报价明显不合理或者低于成本，有可能影响商品质量和不能诚信履约的，评标委员会应当要求其在规定的期限内提供书面文件予以解释说明，并提交相关证明材料；否则，评标委员会可以取消该投标供应商的中标资格，按顺序由排在后面的供应商递补，以此类推。</w:t>
      </w:r>
    </w:p>
    <w:p w14:paraId="4AC4E425">
      <w:pPr>
        <w:spacing w:line="360" w:lineRule="auto"/>
        <w:ind w:firstLine="420" w:firstLineChars="200"/>
        <w:rPr>
          <w:rFonts w:asciiTheme="minorEastAsia" w:hAnsiTheme="minorEastAsia"/>
          <w:szCs w:val="21"/>
        </w:rPr>
      </w:pPr>
      <w:r>
        <w:rPr>
          <w:rFonts w:asciiTheme="minorEastAsia" w:hAnsiTheme="minorEastAsia"/>
          <w:szCs w:val="21"/>
        </w:rPr>
        <w:t>综合评分法</w:t>
      </w:r>
    </w:p>
    <w:p w14:paraId="69390A4C">
      <w:pPr>
        <w:spacing w:line="360" w:lineRule="auto"/>
        <w:ind w:firstLine="420" w:firstLineChars="200"/>
        <w:rPr>
          <w:rFonts w:asciiTheme="minorEastAsia" w:hAnsiTheme="minorEastAsia"/>
          <w:szCs w:val="21"/>
        </w:rPr>
      </w:pPr>
      <w:r>
        <w:rPr>
          <w:rFonts w:asciiTheme="minorEastAsia" w:hAnsiTheme="minorEastAsia"/>
          <w:szCs w:val="21"/>
        </w:rPr>
        <w:t>综合评分法是指在最大限度满足招标文件实质性要求前提下，按照招标文件规定的各项评价因素进行量化打分，每个投标供应商的总得分应以全体评委评分加权汇总后的算术平均值确定，以评标总得分最高的投标供应商作为中标候选供应商或中标供应商的评标方法。除另有规定外，评标委员会在评标报告中，按照“N+2”的数量推荐中标候选供应商，其中N为需要的中标供应商数量。当有效供应商少于“N+2”时，全部推荐。</w:t>
      </w:r>
    </w:p>
    <w:p w14:paraId="42082BDF">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036CCA50">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评标委员会同时将参照本须知规定，只对确定为实质上响应招标文件要求的投标进行下一步评定。</w:t>
      </w:r>
    </w:p>
    <w:p w14:paraId="4A48A705">
      <w:pPr>
        <w:spacing w:line="360" w:lineRule="auto"/>
        <w:ind w:firstLine="420" w:firstLineChars="200"/>
        <w:rPr>
          <w:rFonts w:asciiTheme="minorEastAsia" w:hAnsiTheme="minorEastAsia"/>
          <w:szCs w:val="21"/>
        </w:rPr>
      </w:pPr>
      <w:bookmarkStart w:id="130" w:name="_Ref179621304"/>
      <w:r>
        <w:rPr>
          <w:rFonts w:asciiTheme="minorEastAsia" w:hAnsiTheme="minorEastAsia"/>
          <w:szCs w:val="21"/>
        </w:rPr>
        <w:t>综合评审：评标委员会按照下述公式对每个通过资格性检查和符合性检查且报价不超过预算控制金额的投标供应商进行评审、打分，然后汇总每个投标供应商每项评分因素的得分。综合评分的各项因素主要包括技术、价格和商务等内容，根据招标项目要求的不同，本项目的评分因素和权重分值见招标文件。</w:t>
      </w:r>
      <w:bookmarkEnd w:id="130"/>
    </w:p>
    <w:p w14:paraId="36B1A1BB">
      <w:pPr>
        <w:spacing w:line="360" w:lineRule="auto"/>
        <w:ind w:firstLine="420" w:firstLineChars="200"/>
        <w:rPr>
          <w:rFonts w:asciiTheme="minorEastAsia" w:hAnsiTheme="minorEastAsia"/>
          <w:szCs w:val="21"/>
        </w:rPr>
      </w:pPr>
      <w:r>
        <w:rPr>
          <w:rFonts w:asciiTheme="minorEastAsia" w:hAnsiTheme="minorEastAsia"/>
          <w:szCs w:val="21"/>
        </w:rPr>
        <w:t>评标总得分＝（A1×J+A2×S+…An×X）；</w:t>
      </w:r>
    </w:p>
    <w:p w14:paraId="69E478AD">
      <w:pPr>
        <w:spacing w:line="360" w:lineRule="auto"/>
        <w:ind w:firstLine="420" w:firstLineChars="200"/>
        <w:rPr>
          <w:rFonts w:asciiTheme="minorEastAsia" w:hAnsiTheme="minorEastAsia"/>
          <w:szCs w:val="21"/>
        </w:rPr>
      </w:pPr>
      <w:r>
        <w:rPr>
          <w:rFonts w:asciiTheme="minorEastAsia" w:hAnsiTheme="minorEastAsia"/>
          <w:szCs w:val="21"/>
        </w:rPr>
        <w:t>J、S、……X分别为各项评分因素，各因素满分均为100分；</w:t>
      </w:r>
    </w:p>
    <w:p w14:paraId="51ACB8AD">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582585B0">
      <w:pPr>
        <w:spacing w:line="360" w:lineRule="auto"/>
        <w:ind w:firstLine="420" w:firstLineChars="200"/>
        <w:rPr>
          <w:rFonts w:asciiTheme="minorEastAsia" w:hAnsiTheme="minorEastAsia"/>
          <w:szCs w:val="21"/>
        </w:rPr>
      </w:pPr>
      <w:r>
        <w:rPr>
          <w:rFonts w:asciiTheme="minorEastAsia" w:hAnsiTheme="minorEastAsia"/>
          <w:szCs w:val="21"/>
        </w:rPr>
        <w:t>价格分计算方法：满足招标文件要求且投标价格最低的投标报价为评标基准价，其价格分为满分。其他投标人的价格分统一按照下列公式计算：</w:t>
      </w:r>
    </w:p>
    <w:p w14:paraId="1465C800">
      <w:pPr>
        <w:spacing w:line="360" w:lineRule="auto"/>
        <w:ind w:firstLine="420" w:firstLineChars="200"/>
        <w:rPr>
          <w:rFonts w:asciiTheme="minorEastAsia" w:hAnsiTheme="minorEastAsia"/>
          <w:szCs w:val="21"/>
        </w:rPr>
      </w:pPr>
      <w:r>
        <w:rPr>
          <w:rFonts w:asciiTheme="minorEastAsia" w:hAnsiTheme="minorEastAsia"/>
          <w:szCs w:val="21"/>
        </w:rPr>
        <w:t>投标报价得分=(评标基准价／投标报价)×价格权重×100</w:t>
      </w:r>
    </w:p>
    <w:p w14:paraId="4190DCBC">
      <w:pPr>
        <w:spacing w:line="360" w:lineRule="auto"/>
        <w:ind w:firstLine="420" w:firstLineChars="200"/>
        <w:rPr>
          <w:rFonts w:asciiTheme="minorEastAsia" w:hAnsiTheme="minorEastAsia"/>
          <w:szCs w:val="21"/>
        </w:rPr>
      </w:pPr>
      <w:r>
        <w:rPr>
          <w:rFonts w:asciiTheme="minorEastAsia" w:hAnsiTheme="minorEastAsia"/>
          <w:szCs w:val="21"/>
        </w:rPr>
        <w:t>定标原则：按评审后得分由高到低顺序排序。得分最高的投标供应商作为中标候选供应商或中标供应商。得分相同的，按投标报价由低到高排列。得分且投标报价相同的，按技术指标优劣顺序排列。</w:t>
      </w:r>
    </w:p>
    <w:p w14:paraId="1BFE9F2A">
      <w:pPr>
        <w:spacing w:line="360" w:lineRule="auto"/>
        <w:ind w:firstLine="420" w:firstLineChars="200"/>
        <w:rPr>
          <w:rFonts w:asciiTheme="minorEastAsia" w:hAnsiTheme="minorEastAsia"/>
          <w:szCs w:val="21"/>
        </w:rPr>
      </w:pPr>
      <w:r>
        <w:rPr>
          <w:rFonts w:asciiTheme="minorEastAsia" w:hAnsiTheme="minorEastAsia"/>
          <w:szCs w:val="21"/>
        </w:rPr>
        <w:t>性价比法</w:t>
      </w:r>
    </w:p>
    <w:p w14:paraId="18228A62">
      <w:pPr>
        <w:spacing w:line="360" w:lineRule="auto"/>
        <w:ind w:firstLine="420" w:firstLineChars="200"/>
        <w:rPr>
          <w:rFonts w:asciiTheme="minorEastAsia" w:hAnsiTheme="minorEastAsia"/>
          <w:szCs w:val="21"/>
        </w:rPr>
      </w:pPr>
      <w:r>
        <w:rPr>
          <w:rFonts w:asciiTheme="minorEastAsia" w:hAnsiTheme="minorEastAsia"/>
          <w:szCs w:val="21"/>
        </w:rPr>
        <w:t>性价比法，是指除价格因素外，经对投标文件进行评审，计算出各评分因素的总分，除以投标报价，以商数最高的投标供应商作为中标候选供应商或中标供应商的评标方法。</w:t>
      </w:r>
    </w:p>
    <w:p w14:paraId="2599C3F8">
      <w:pPr>
        <w:spacing w:line="360" w:lineRule="auto"/>
        <w:ind w:firstLine="420" w:firstLineChars="200"/>
        <w:rPr>
          <w:rFonts w:asciiTheme="minorEastAsia" w:hAnsiTheme="minorEastAsia"/>
          <w:szCs w:val="21"/>
        </w:rPr>
      </w:pPr>
      <w:r>
        <w:rPr>
          <w:rFonts w:asciiTheme="minorEastAsia" w:hAnsiTheme="minorEastAsia"/>
          <w:szCs w:val="21"/>
        </w:rPr>
        <w:t>评标委员会将依据委托招标金额作为授予合同价格的上限。</w:t>
      </w:r>
    </w:p>
    <w:p w14:paraId="71ADABAD">
      <w:pPr>
        <w:spacing w:line="360" w:lineRule="auto"/>
        <w:ind w:firstLine="420" w:firstLineChars="200"/>
        <w:rPr>
          <w:rFonts w:asciiTheme="minorEastAsia" w:hAnsiTheme="minorEastAsia"/>
          <w:szCs w:val="21"/>
        </w:rPr>
      </w:pPr>
      <w:r>
        <w:rPr>
          <w:rFonts w:asciiTheme="minorEastAsia" w:hAnsiTheme="minorEastAsia"/>
          <w:szCs w:val="21"/>
        </w:rPr>
        <w:t>评标委员会同时将参照本须知第</w:t>
      </w:r>
      <w:r>
        <w:rPr>
          <w:rFonts w:asciiTheme="minorEastAsia" w:hAnsiTheme="minorEastAsia"/>
          <w:szCs w:val="21"/>
        </w:rPr>
        <w:fldChar w:fldCharType="begin"/>
      </w:r>
      <w:r>
        <w:rPr>
          <w:rFonts w:asciiTheme="minorEastAsia" w:hAnsiTheme="minorEastAsia"/>
          <w:szCs w:val="21"/>
        </w:rPr>
        <w:instrText xml:space="preserve"> REF _Ref179619330 \r \h  \* MERGEFORMAT </w:instrText>
      </w:r>
      <w:r>
        <w:rPr>
          <w:rFonts w:asciiTheme="minorEastAsia" w:hAnsiTheme="minorEastAsia"/>
          <w:szCs w:val="21"/>
        </w:rPr>
        <w:fldChar w:fldCharType="separate"/>
      </w:r>
      <w:r>
        <w:rPr>
          <w:rFonts w:asciiTheme="minorEastAsia" w:hAnsiTheme="minorEastAsia"/>
          <w:b/>
          <w:szCs w:val="21"/>
        </w:rPr>
        <w:t>29.6</w:t>
      </w:r>
      <w:r>
        <w:rPr>
          <w:rFonts w:asciiTheme="minorEastAsia" w:hAnsiTheme="minorEastAsia"/>
          <w:szCs w:val="21"/>
        </w:rPr>
        <w:fldChar w:fldCharType="end"/>
      </w:r>
      <w:r>
        <w:rPr>
          <w:rFonts w:asciiTheme="minorEastAsia" w:hAnsiTheme="minorEastAsia"/>
          <w:szCs w:val="21"/>
        </w:rPr>
        <w:t>条规定，只对确定为实质上响应招标文件要求的投标进行下一步评定。</w:t>
      </w:r>
    </w:p>
    <w:p w14:paraId="51F59C7A">
      <w:pPr>
        <w:spacing w:line="360" w:lineRule="auto"/>
        <w:ind w:firstLine="420" w:firstLineChars="200"/>
        <w:rPr>
          <w:rFonts w:asciiTheme="minorEastAsia" w:hAnsiTheme="minorEastAsia"/>
          <w:szCs w:val="21"/>
        </w:rPr>
      </w:pPr>
      <w:bookmarkStart w:id="131" w:name="_Ref179621588"/>
      <w:r>
        <w:rPr>
          <w:rFonts w:asciiTheme="minorEastAsia" w:hAnsiTheme="minorEastAsia"/>
          <w:szCs w:val="21"/>
        </w:rPr>
        <w:t>综合评审：评标委员会对每个通过资格性检查和符合性检查且报价不超过预算控制金额的投标供应商进行评审、打分。综合评分的各项因素主要包括技术和商务等内容，根据招标项目要求的不同，本项目的评分因素和权重分值见招标文件。</w:t>
      </w:r>
      <w:bookmarkEnd w:id="131"/>
    </w:p>
    <w:p w14:paraId="2D2ACF37">
      <w:pPr>
        <w:spacing w:line="360" w:lineRule="auto"/>
        <w:ind w:firstLine="420" w:firstLineChars="200"/>
        <w:rPr>
          <w:rFonts w:asciiTheme="minorEastAsia" w:hAnsiTheme="minorEastAsia"/>
          <w:szCs w:val="21"/>
        </w:rPr>
      </w:pPr>
      <w:r>
        <w:rPr>
          <w:rFonts w:asciiTheme="minorEastAsia" w:hAnsiTheme="minorEastAsia"/>
          <w:szCs w:val="21"/>
        </w:rPr>
        <w:t>计算</w:t>
      </w:r>
    </w:p>
    <w:p w14:paraId="039D6323">
      <w:pPr>
        <w:spacing w:line="360" w:lineRule="auto"/>
        <w:ind w:firstLine="420" w:firstLineChars="200"/>
        <w:rPr>
          <w:rFonts w:asciiTheme="minorEastAsia" w:hAnsiTheme="minorEastAsia"/>
          <w:szCs w:val="21"/>
        </w:rPr>
      </w:pPr>
      <w:r>
        <w:rPr>
          <w:rFonts w:asciiTheme="minorEastAsia" w:hAnsiTheme="minorEastAsia"/>
          <w:szCs w:val="21"/>
        </w:rPr>
        <w:t>评标总得分=Bi/Ni</w:t>
      </w:r>
    </w:p>
    <w:p w14:paraId="1BB03F8A">
      <w:pPr>
        <w:spacing w:line="360" w:lineRule="auto"/>
        <w:ind w:firstLine="420" w:firstLineChars="200"/>
        <w:rPr>
          <w:rFonts w:asciiTheme="minorEastAsia" w:hAnsiTheme="minorEastAsia"/>
          <w:szCs w:val="21"/>
        </w:rPr>
      </w:pPr>
      <w:r>
        <w:rPr>
          <w:rFonts w:asciiTheme="minorEastAsia" w:hAnsiTheme="minorEastAsia"/>
          <w:szCs w:val="21"/>
        </w:rPr>
        <w:t>Ni——为投标供应商的投标报价；</w:t>
      </w:r>
    </w:p>
    <w:p w14:paraId="6BC6A5A1">
      <w:pPr>
        <w:spacing w:line="360" w:lineRule="auto"/>
        <w:ind w:firstLine="420" w:firstLineChars="200"/>
        <w:rPr>
          <w:rFonts w:asciiTheme="minorEastAsia" w:hAnsiTheme="minorEastAsia"/>
          <w:szCs w:val="21"/>
        </w:rPr>
      </w:pPr>
      <w:r>
        <w:rPr>
          <w:rFonts w:asciiTheme="minorEastAsia" w:hAnsiTheme="minorEastAsia"/>
          <w:szCs w:val="21"/>
        </w:rPr>
        <w:t>Bi——为投标供应商的综合得分，其中Bi＝（A1×J+A2×C+…+An×F）；</w:t>
      </w:r>
    </w:p>
    <w:p w14:paraId="51525D91">
      <w:pPr>
        <w:spacing w:line="360" w:lineRule="auto"/>
        <w:ind w:firstLine="420" w:firstLineChars="200"/>
        <w:rPr>
          <w:rFonts w:asciiTheme="minorEastAsia" w:hAnsiTheme="minorEastAsia"/>
          <w:szCs w:val="21"/>
        </w:rPr>
      </w:pPr>
      <w:r>
        <w:rPr>
          <w:rFonts w:asciiTheme="minorEastAsia" w:hAnsiTheme="minorEastAsia"/>
          <w:szCs w:val="21"/>
        </w:rPr>
        <w:t>J、C、……F分别为各项评分因素（技术、信誉、业绩、服务等因素），投标报价除外；各因素满分均为100分；</w:t>
      </w:r>
    </w:p>
    <w:p w14:paraId="0BC1D985">
      <w:pPr>
        <w:spacing w:line="360" w:lineRule="auto"/>
        <w:ind w:firstLine="420" w:firstLineChars="200"/>
        <w:rPr>
          <w:rFonts w:asciiTheme="minorEastAsia" w:hAnsiTheme="minorEastAsia"/>
          <w:szCs w:val="21"/>
        </w:rPr>
      </w:pPr>
      <w:r>
        <w:rPr>
          <w:rFonts w:asciiTheme="minorEastAsia" w:hAnsiTheme="minorEastAsia"/>
          <w:szCs w:val="21"/>
        </w:rPr>
        <w:t>A1 、A2、A3、...An分别是各项评分因素所占的权重（A1＋A2＋A3＋…＋An＝1）；</w:t>
      </w:r>
    </w:p>
    <w:p w14:paraId="1A9FECBC">
      <w:pPr>
        <w:spacing w:line="360" w:lineRule="auto"/>
        <w:ind w:firstLine="420" w:firstLineChars="200"/>
        <w:rPr>
          <w:rFonts w:asciiTheme="minorEastAsia" w:hAnsiTheme="minorEastAsia"/>
          <w:szCs w:val="21"/>
        </w:rPr>
      </w:pPr>
      <w:r>
        <w:rPr>
          <w:rFonts w:asciiTheme="minorEastAsia" w:hAnsiTheme="minorEastAsia"/>
          <w:szCs w:val="21"/>
        </w:rPr>
        <w:t>定标原则</w:t>
      </w:r>
    </w:p>
    <w:p w14:paraId="4A3DCE81">
      <w:pPr>
        <w:spacing w:line="360" w:lineRule="auto"/>
        <w:ind w:firstLine="420" w:firstLineChars="200"/>
        <w:rPr>
          <w:rFonts w:asciiTheme="minorEastAsia" w:hAnsiTheme="minorEastAsia"/>
          <w:szCs w:val="21"/>
        </w:rPr>
      </w:pPr>
      <w:r>
        <w:rPr>
          <w:rFonts w:asciiTheme="minorEastAsia" w:hAnsiTheme="minorEastAsia"/>
          <w:szCs w:val="21"/>
        </w:rPr>
        <w:t>按商数得分由高到低顺序排列，以商数最高的投标供应商作为中标侯选供应商或中标供应商。商数得分相同的，按投标报价由低到高顺序排列。商数得分且投标报价相同的，按技术指标优劣顺序排列。</w:t>
      </w:r>
    </w:p>
    <w:p w14:paraId="6D7A8266">
      <w:pPr>
        <w:pStyle w:val="5"/>
        <w:ind w:firstLine="482"/>
      </w:pPr>
      <w:bookmarkStart w:id="132" w:name="_Toc55548528"/>
      <w:bookmarkStart w:id="133" w:name="_Toc12447"/>
      <w:bookmarkStart w:id="134" w:name="_Toc31060"/>
      <w:r>
        <w:t>六、授予合同</w:t>
      </w:r>
      <w:bookmarkEnd w:id="132"/>
      <w:bookmarkEnd w:id="133"/>
      <w:bookmarkEnd w:id="134"/>
    </w:p>
    <w:p w14:paraId="0698C45D">
      <w:pPr>
        <w:pStyle w:val="4"/>
        <w:spacing w:line="360" w:lineRule="auto"/>
        <w:ind w:firstLine="482"/>
      </w:pPr>
      <w:bookmarkStart w:id="135" w:name="_Toc4551"/>
      <w:bookmarkStart w:id="136" w:name="_Toc55548529"/>
      <w:r>
        <w:rPr>
          <w:rFonts w:hint="eastAsia"/>
        </w:rPr>
        <w:t>最终审查</w:t>
      </w:r>
      <w:bookmarkEnd w:id="135"/>
      <w:bookmarkEnd w:id="136"/>
    </w:p>
    <w:p w14:paraId="54B8A170">
      <w:pPr>
        <w:spacing w:line="360" w:lineRule="auto"/>
        <w:ind w:firstLine="420" w:firstLineChars="200"/>
        <w:rPr>
          <w:rFonts w:asciiTheme="minorEastAsia" w:hAnsiTheme="minorEastAsia"/>
          <w:szCs w:val="21"/>
        </w:rPr>
      </w:pPr>
      <w:r>
        <w:rPr>
          <w:rFonts w:asciiTheme="minorEastAsia" w:hAnsiTheme="minorEastAsia"/>
          <w:szCs w:val="21"/>
        </w:rPr>
        <w:t>评标委员会将根据本须知列出的标准审查第一中标候选人是否有能力圆满地履行合同。</w:t>
      </w:r>
    </w:p>
    <w:p w14:paraId="3EC2361C">
      <w:pPr>
        <w:spacing w:line="360" w:lineRule="auto"/>
        <w:ind w:firstLine="420" w:firstLineChars="200"/>
        <w:rPr>
          <w:rFonts w:asciiTheme="minorEastAsia" w:hAnsiTheme="minorEastAsia"/>
          <w:szCs w:val="21"/>
        </w:rPr>
      </w:pPr>
      <w:r>
        <w:rPr>
          <w:rFonts w:asciiTheme="minorEastAsia" w:hAnsiTheme="minorEastAsia"/>
          <w:szCs w:val="21"/>
        </w:rPr>
        <w:t>授标决定时还将考虑投标人的财务、技术和生产能力在招标期间是否有实质性变化。其基础是审查投标人按照本须知规定提交的资格证明文件和评标委员会认为必要的、合适的其它资料。</w:t>
      </w:r>
    </w:p>
    <w:p w14:paraId="14BC5942">
      <w:pPr>
        <w:spacing w:line="360" w:lineRule="auto"/>
        <w:ind w:firstLine="420" w:firstLineChars="200"/>
        <w:rPr>
          <w:rFonts w:asciiTheme="minorEastAsia" w:hAnsiTheme="minorEastAsia"/>
          <w:szCs w:val="21"/>
        </w:rPr>
      </w:pPr>
      <w:r>
        <w:rPr>
          <w:rFonts w:asciiTheme="minorEastAsia" w:hAnsiTheme="minorEastAsia"/>
          <w:szCs w:val="21"/>
        </w:rPr>
        <w:t>如果审查通过，评标委员会将把合同授予该投标人；如果审查没有通过，评标委员会将拒绝其投标，并对下一个中标候选人能否令人满意地履行合同作类似的审查。</w:t>
      </w:r>
    </w:p>
    <w:p w14:paraId="1A760232">
      <w:pPr>
        <w:pStyle w:val="4"/>
        <w:spacing w:line="360" w:lineRule="auto"/>
        <w:ind w:firstLine="482"/>
      </w:pPr>
      <w:bookmarkStart w:id="137" w:name="_Toc55548530"/>
      <w:bookmarkStart w:id="138" w:name="_Toc9998"/>
      <w:r>
        <w:rPr>
          <w:rFonts w:hint="eastAsia"/>
        </w:rPr>
        <w:t>合同授予标准</w:t>
      </w:r>
      <w:bookmarkEnd w:id="137"/>
      <w:bookmarkEnd w:id="138"/>
    </w:p>
    <w:p w14:paraId="7CBFA2A0">
      <w:pPr>
        <w:spacing w:line="360" w:lineRule="auto"/>
        <w:ind w:firstLine="420" w:firstLineChars="200"/>
        <w:rPr>
          <w:rFonts w:asciiTheme="minorEastAsia" w:hAnsiTheme="minorEastAsia"/>
          <w:szCs w:val="21"/>
        </w:rPr>
      </w:pPr>
      <w:r>
        <w:rPr>
          <w:rFonts w:asciiTheme="minorEastAsia" w:hAnsiTheme="minorEastAsia"/>
          <w:szCs w:val="21"/>
        </w:rPr>
        <w:t>评标委员会将把合同授予被确定为实质上响应招标文件的要求并有履行合同能力的最低评标价的投标人或综合评价得分最高的投标人或评标总商数最高的投标人。</w:t>
      </w:r>
    </w:p>
    <w:p w14:paraId="5868B1A6">
      <w:pPr>
        <w:pStyle w:val="4"/>
        <w:spacing w:line="360" w:lineRule="auto"/>
        <w:ind w:firstLine="482"/>
      </w:pPr>
      <w:bookmarkStart w:id="139" w:name="_Toc55548532"/>
      <w:bookmarkStart w:id="140" w:name="_Toc29853"/>
      <w:r>
        <w:rPr>
          <w:rFonts w:hint="eastAsia"/>
        </w:rPr>
        <w:t>中标结果公示</w:t>
      </w:r>
      <w:bookmarkEnd w:id="139"/>
      <w:bookmarkEnd w:id="140"/>
    </w:p>
    <w:p w14:paraId="56CC9369">
      <w:pPr>
        <w:spacing w:line="360" w:lineRule="auto"/>
        <w:ind w:firstLine="420" w:firstLineChars="200"/>
        <w:rPr>
          <w:rFonts w:asciiTheme="minorEastAsia" w:hAnsiTheme="minorEastAsia"/>
          <w:szCs w:val="21"/>
        </w:rPr>
      </w:pPr>
      <w:r>
        <w:rPr>
          <w:rFonts w:asciiTheme="minorEastAsia" w:hAnsiTheme="minorEastAsia"/>
          <w:szCs w:val="21"/>
        </w:rPr>
        <w:t>为体现“公开、公平、公正”的原则，评标结束后，将在</w:t>
      </w:r>
      <w:r>
        <w:rPr>
          <w:rFonts w:hint="eastAsia" w:asciiTheme="minorEastAsia" w:hAnsiTheme="minorEastAsia"/>
          <w:szCs w:val="21"/>
        </w:rPr>
        <w:t>http://www.bawjxt.net/bacdc/ (深圳市宝安区疾病预防控制中心官网)</w:t>
      </w:r>
      <w:r>
        <w:rPr>
          <w:rFonts w:asciiTheme="minorEastAsia" w:hAnsiTheme="minorEastAsia"/>
          <w:szCs w:val="21"/>
        </w:rPr>
        <w:t>进行中标结果公示，公示期为三日。投标人如对评标结果有异议，应于公示期内以书面形式提出。若在公示期内未提出异议，则视为无异议或放弃异议权。</w:t>
      </w:r>
    </w:p>
    <w:p w14:paraId="52491639">
      <w:pPr>
        <w:spacing w:line="360" w:lineRule="auto"/>
        <w:ind w:firstLine="420" w:firstLineChars="200"/>
        <w:rPr>
          <w:rFonts w:asciiTheme="minorEastAsia" w:hAnsiTheme="minorEastAsia"/>
          <w:szCs w:val="21"/>
        </w:rPr>
      </w:pPr>
      <w:r>
        <w:rPr>
          <w:rFonts w:asciiTheme="minorEastAsia" w:hAnsiTheme="minorEastAsia"/>
          <w:szCs w:val="21"/>
        </w:rPr>
        <w:t>提出质疑的投标人应保证提出质疑内容及相应证明材料的真实性及来源的合法性，并承担相应的法律责任。提供虚假情况恶意质疑投诉，情节严重的，将可能导致暂停或取消其投标资格或者投标保证金被罚没。</w:t>
      </w:r>
    </w:p>
    <w:p w14:paraId="6AA1C628">
      <w:pPr>
        <w:pStyle w:val="4"/>
        <w:spacing w:line="360" w:lineRule="auto"/>
        <w:ind w:firstLine="482"/>
      </w:pPr>
      <w:bookmarkStart w:id="141" w:name="_Ref179619923"/>
      <w:bookmarkStart w:id="142" w:name="_Toc5257"/>
      <w:bookmarkStart w:id="143" w:name="_Toc55548533"/>
      <w:r>
        <w:rPr>
          <w:rFonts w:hint="eastAsia"/>
        </w:rPr>
        <w:t>接受和拒绝任何或所有投标的权力</w:t>
      </w:r>
      <w:bookmarkEnd w:id="141"/>
      <w:bookmarkEnd w:id="142"/>
      <w:bookmarkEnd w:id="143"/>
    </w:p>
    <w:p w14:paraId="07B07AAF">
      <w:pPr>
        <w:spacing w:line="360" w:lineRule="auto"/>
        <w:ind w:firstLine="420" w:firstLineChars="200"/>
        <w:rPr>
          <w:rFonts w:asciiTheme="minorEastAsia" w:hAnsiTheme="minorEastAsia"/>
          <w:szCs w:val="21"/>
        </w:rPr>
      </w:pPr>
      <w:r>
        <w:rPr>
          <w:rFonts w:asciiTheme="minorEastAsia" w:hAnsiTheme="minorEastAsia"/>
          <w:szCs w:val="21"/>
        </w:rPr>
        <w:t>在特殊情况下，招标人保留在授标之前拒绝任何投标以及宣布招标程序无效或拒绝所有投标的权力，且对受影响的投标人不承担任何责任，也无义务向受影响的投标人解释采取这一行动的理由。</w:t>
      </w:r>
    </w:p>
    <w:p w14:paraId="3461AECB">
      <w:pPr>
        <w:pStyle w:val="4"/>
        <w:spacing w:line="360" w:lineRule="auto"/>
        <w:ind w:firstLine="482"/>
      </w:pPr>
      <w:bookmarkStart w:id="144" w:name="_Toc55548534"/>
      <w:bookmarkStart w:id="145" w:name="_Toc1842"/>
      <w:r>
        <w:rPr>
          <w:rFonts w:hint="eastAsia"/>
        </w:rPr>
        <w:t>中标通知书</w:t>
      </w:r>
      <w:bookmarkEnd w:id="144"/>
      <w:bookmarkEnd w:id="145"/>
    </w:p>
    <w:p w14:paraId="11C83F21">
      <w:pPr>
        <w:spacing w:line="360" w:lineRule="auto"/>
        <w:ind w:firstLine="420" w:firstLineChars="200"/>
        <w:rPr>
          <w:rFonts w:asciiTheme="minorEastAsia" w:hAnsiTheme="minorEastAsia"/>
          <w:szCs w:val="21"/>
        </w:rPr>
      </w:pPr>
      <w:r>
        <w:rPr>
          <w:rFonts w:asciiTheme="minorEastAsia" w:hAnsiTheme="minorEastAsia"/>
          <w:szCs w:val="21"/>
        </w:rPr>
        <w:t>中标人确定后，</w:t>
      </w:r>
      <w:r>
        <w:rPr>
          <w:rFonts w:hint="eastAsia" w:asciiTheme="minorEastAsia" w:hAnsiTheme="minorEastAsia"/>
          <w:szCs w:val="21"/>
        </w:rPr>
        <w:t>本中心</w:t>
      </w:r>
      <w:r>
        <w:rPr>
          <w:rFonts w:asciiTheme="minorEastAsia" w:hAnsiTheme="minorEastAsia"/>
          <w:szCs w:val="21"/>
        </w:rPr>
        <w:t>将向中标人发出《中标通知书》。</w:t>
      </w:r>
    </w:p>
    <w:p w14:paraId="3C8C3F75">
      <w:pPr>
        <w:spacing w:line="360" w:lineRule="auto"/>
        <w:ind w:firstLine="420" w:firstLineChars="200"/>
        <w:rPr>
          <w:rFonts w:asciiTheme="minorEastAsia" w:hAnsiTheme="minorEastAsia"/>
          <w:szCs w:val="21"/>
        </w:rPr>
      </w:pPr>
      <w:r>
        <w:rPr>
          <w:rFonts w:asciiTheme="minorEastAsia" w:hAnsiTheme="minorEastAsia"/>
          <w:szCs w:val="21"/>
        </w:rPr>
        <w:t>《中标通知书》是合同的一个组成部分。</w:t>
      </w:r>
    </w:p>
    <w:p w14:paraId="12C5A2CB">
      <w:pPr>
        <w:pStyle w:val="4"/>
        <w:spacing w:line="360" w:lineRule="auto"/>
        <w:ind w:firstLine="482"/>
      </w:pPr>
      <w:bookmarkStart w:id="146" w:name="_Ref179619520"/>
      <w:bookmarkStart w:id="147" w:name="_Toc11931"/>
      <w:bookmarkStart w:id="148" w:name="_Toc55548535"/>
      <w:r>
        <w:rPr>
          <w:rFonts w:hint="eastAsia"/>
        </w:rPr>
        <w:t>签订合同</w:t>
      </w:r>
      <w:bookmarkEnd w:id="146"/>
      <w:bookmarkEnd w:id="147"/>
      <w:bookmarkEnd w:id="148"/>
    </w:p>
    <w:p w14:paraId="7DE79787">
      <w:pPr>
        <w:spacing w:line="360" w:lineRule="auto"/>
        <w:ind w:firstLine="420" w:firstLineChars="200"/>
        <w:rPr>
          <w:rFonts w:asciiTheme="minorEastAsia" w:hAnsiTheme="minorEastAsia"/>
          <w:szCs w:val="21"/>
        </w:rPr>
      </w:pPr>
      <w:r>
        <w:rPr>
          <w:rFonts w:asciiTheme="minorEastAsia" w:hAnsiTheme="minorEastAsia"/>
          <w:szCs w:val="21"/>
        </w:rPr>
        <w:t>《中标通知书》发出后10个工作日内，中标人应按照招标文件和中标人的投标文件订立书面合同。中标人不得与招标人再订立背离合同实质性内容的其他协议。</w:t>
      </w:r>
    </w:p>
    <w:p w14:paraId="0D5AC70F">
      <w:pPr>
        <w:spacing w:line="360" w:lineRule="auto"/>
        <w:ind w:firstLine="420" w:firstLineChars="200"/>
        <w:rPr>
          <w:rFonts w:asciiTheme="minorEastAsia" w:hAnsiTheme="minorEastAsia"/>
          <w:szCs w:val="21"/>
        </w:rPr>
      </w:pPr>
      <w:r>
        <w:rPr>
          <w:rFonts w:asciiTheme="minorEastAsia" w:hAnsiTheme="minorEastAsia"/>
          <w:szCs w:val="21"/>
        </w:rPr>
        <w:t>招标文件、中标人的投标文件及其澄清文件等，均为签订合同的依据。</w:t>
      </w:r>
    </w:p>
    <w:p w14:paraId="0864DEE5">
      <w:pPr>
        <w:spacing w:line="360" w:lineRule="auto"/>
        <w:ind w:firstLine="420" w:firstLineChars="200"/>
        <w:rPr>
          <w:rFonts w:asciiTheme="minorEastAsia" w:hAnsiTheme="minorEastAsia"/>
          <w:szCs w:val="21"/>
        </w:rPr>
      </w:pPr>
      <w:r>
        <w:rPr>
          <w:rFonts w:asciiTheme="minorEastAsia" w:hAnsiTheme="minorEastAsia"/>
          <w:szCs w:val="21"/>
        </w:rPr>
        <w:t>合同签订后5个工作日内，中标人须将合同副本(合同复印件加盖中标人公章，原件核验)送</w:t>
      </w:r>
      <w:r>
        <w:rPr>
          <w:rFonts w:hint="eastAsia" w:asciiTheme="minorEastAsia" w:hAnsiTheme="minorEastAsia"/>
          <w:szCs w:val="21"/>
        </w:rPr>
        <w:t>本中心</w:t>
      </w:r>
      <w:r>
        <w:rPr>
          <w:rFonts w:asciiTheme="minorEastAsia" w:hAnsiTheme="minorEastAsia"/>
          <w:szCs w:val="21"/>
        </w:rPr>
        <w:t>存档备案。</w:t>
      </w:r>
    </w:p>
    <w:p w14:paraId="3CE15B38">
      <w:pPr>
        <w:spacing w:line="360" w:lineRule="auto"/>
        <w:ind w:firstLine="420" w:firstLineChars="200"/>
        <w:sectPr>
          <w:pgSz w:w="11906" w:h="16838"/>
          <w:pgMar w:top="1418" w:right="1474" w:bottom="1418" w:left="1474" w:header="851" w:footer="992" w:gutter="0"/>
          <w:cols w:space="425" w:num="1"/>
          <w:docGrid w:type="lines" w:linePitch="312" w:charSpace="0"/>
        </w:sectPr>
      </w:pPr>
    </w:p>
    <w:p w14:paraId="630E0531">
      <w:pPr>
        <w:pStyle w:val="3"/>
      </w:pPr>
      <w:bookmarkStart w:id="149" w:name="_Toc61539111"/>
      <w:bookmarkStart w:id="150" w:name="_Toc69570651"/>
      <w:r>
        <w:rPr>
          <w:rFonts w:hint="eastAsia"/>
        </w:rPr>
        <w:t>第四章  附件－投标文件格式</w:t>
      </w:r>
      <w:bookmarkEnd w:id="149"/>
      <w:bookmarkEnd w:id="150"/>
      <w:bookmarkStart w:id="151" w:name="_Hlk69570247"/>
    </w:p>
    <w:p w14:paraId="605FAF98">
      <w:pPr>
        <w:rPr>
          <w:rFonts w:asciiTheme="minorEastAsia" w:hAnsiTheme="minorEastAsia"/>
          <w:szCs w:val="21"/>
        </w:rPr>
      </w:pPr>
    </w:p>
    <w:p w14:paraId="7B707A40">
      <w:pPr>
        <w:spacing w:line="360" w:lineRule="auto"/>
        <w:ind w:firstLine="420" w:firstLineChars="200"/>
        <w:jc w:val="center"/>
        <w:rPr>
          <w:rFonts w:asciiTheme="minorEastAsia" w:hAnsiTheme="minorEastAsia"/>
          <w:b/>
          <w:bCs/>
          <w:szCs w:val="21"/>
        </w:rPr>
      </w:pPr>
      <w:r>
        <w:rPr>
          <w:rFonts w:asciiTheme="minorEastAsia" w:hAnsiTheme="minorEastAsia"/>
          <w:szCs w:val="21"/>
        </w:rPr>
        <w:tab/>
      </w:r>
      <w:r>
        <w:rPr>
          <w:rFonts w:hint="eastAsia" w:asciiTheme="minorEastAsia" w:hAnsiTheme="minorEastAsia"/>
          <w:b/>
          <w:bCs/>
          <w:szCs w:val="21"/>
        </w:rPr>
        <w:t>投标人资质情况（格式自拟）</w:t>
      </w:r>
    </w:p>
    <w:p w14:paraId="045CC9B9">
      <w:pPr>
        <w:tabs>
          <w:tab w:val="left" w:pos="660"/>
        </w:tabs>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r>
        <w:rPr>
          <w:rFonts w:asciiTheme="minorEastAsia" w:hAnsiTheme="minorEastAsia"/>
          <w:szCs w:val="21"/>
        </w:rPr>
        <w:tab/>
      </w:r>
    </w:p>
    <w:p w14:paraId="1A25C5F7">
      <w:pPr>
        <w:spacing w:line="360" w:lineRule="auto"/>
        <w:ind w:firstLine="420" w:firstLineChars="200"/>
        <w:rPr>
          <w:rFonts w:asciiTheme="minorEastAsia" w:hAnsiTheme="minorEastAsia"/>
          <w:szCs w:val="21"/>
        </w:rPr>
      </w:pPr>
      <w:r>
        <w:rPr>
          <w:rFonts w:hint="eastAsia" w:asciiTheme="minorEastAsia" w:hAnsiTheme="minorEastAsia"/>
          <w:szCs w:val="21"/>
        </w:rPr>
        <w:t>附件1：投标函格式</w:t>
      </w:r>
    </w:p>
    <w:p w14:paraId="21E0054B">
      <w:pPr>
        <w:keepNext/>
        <w:keepLines/>
        <w:spacing w:before="160" w:after="170"/>
        <w:ind w:firstLine="602" w:firstLineChars="200"/>
        <w:jc w:val="center"/>
        <w:outlineLvl w:val="4"/>
        <w:rPr>
          <w:b/>
          <w:bCs/>
          <w:sz w:val="30"/>
          <w:szCs w:val="28"/>
        </w:rPr>
      </w:pPr>
      <w:bookmarkStart w:id="152" w:name="_Toc55548538"/>
      <w:r>
        <w:rPr>
          <w:rFonts w:hint="eastAsia"/>
          <w:b/>
          <w:bCs/>
          <w:sz w:val="30"/>
          <w:szCs w:val="28"/>
        </w:rPr>
        <w:t>投标函</w:t>
      </w:r>
      <w:bookmarkEnd w:id="152"/>
    </w:p>
    <w:p w14:paraId="2FD2D7A5">
      <w:pPr>
        <w:spacing w:line="360" w:lineRule="auto"/>
        <w:ind w:firstLine="420" w:firstLineChars="200"/>
        <w:rPr>
          <w:rFonts w:asciiTheme="minorEastAsia" w:hAnsiTheme="minorEastAsia"/>
          <w:color w:val="000000"/>
          <w:szCs w:val="21"/>
          <w:u w:val="single"/>
        </w:rPr>
      </w:pPr>
      <w:r>
        <w:rPr>
          <w:rFonts w:hint="eastAsia" w:asciiTheme="minorEastAsia" w:hAnsiTheme="minorEastAsia"/>
          <w:color w:val="000000"/>
          <w:szCs w:val="21"/>
        </w:rPr>
        <w:t>致：</w:t>
      </w:r>
      <w:r>
        <w:rPr>
          <w:rFonts w:hint="eastAsia" w:asciiTheme="minorEastAsia" w:hAnsiTheme="minorEastAsia"/>
          <w:szCs w:val="21"/>
          <w:u w:val="single"/>
        </w:rPr>
        <w:t>深圳市宝安区疾病预防控制中心（深圳市宝安区卫生监督所）</w:t>
      </w:r>
    </w:p>
    <w:p w14:paraId="77520A4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我们收到你们组织的</w:t>
      </w:r>
      <w:r>
        <w:rPr>
          <w:rFonts w:hint="eastAsia" w:asciiTheme="minorEastAsia" w:hAnsiTheme="minorEastAsia"/>
          <w:color w:val="000000"/>
          <w:szCs w:val="21"/>
          <w:u w:val="single"/>
        </w:rPr>
        <w:t xml:space="preserve"> （项目名称） </w:t>
      </w:r>
      <w:r>
        <w:rPr>
          <w:rFonts w:hint="eastAsia" w:asciiTheme="minorEastAsia" w:hAnsiTheme="minorEastAsia"/>
          <w:color w:val="000000"/>
          <w:szCs w:val="21"/>
        </w:rPr>
        <w:t xml:space="preserve">招标文件，经详细研究，我们决定参加该项目 </w:t>
      </w:r>
      <w:r>
        <w:rPr>
          <w:rFonts w:hint="eastAsia" w:asciiTheme="minorEastAsia" w:hAnsiTheme="minorEastAsia"/>
          <w:color w:val="000000"/>
          <w:szCs w:val="21"/>
          <w:u w:val="single"/>
        </w:rPr>
        <w:t xml:space="preserve">（项目编号） </w:t>
      </w:r>
      <w:r>
        <w:rPr>
          <w:rFonts w:hint="eastAsia" w:asciiTheme="minorEastAsia" w:hAnsiTheme="minorEastAsia"/>
          <w:color w:val="000000"/>
          <w:szCs w:val="21"/>
        </w:rPr>
        <w:t xml:space="preserve"> 招标的有关活动，并投标。为此，我方谨郑重声明以下诸点，并对之负法律责任。</w:t>
      </w:r>
    </w:p>
    <w:p w14:paraId="45F199EC">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1、我方愿以《开标一览表》中填写的投标总价并按照招标文件中的一切要求，承担上述项目的全部工作。</w:t>
      </w:r>
    </w:p>
    <w:p w14:paraId="507AFDED">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2、我方提交的投标文件为：投标书正本一份，副本二份，电子档文件一份。</w:t>
      </w:r>
    </w:p>
    <w:p w14:paraId="7CD1667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3、如果我们投标书被接受，我们将履行招标文件中规定的每一项要求，按期、按质、按量完成任务。</w:t>
      </w:r>
    </w:p>
    <w:p w14:paraId="56FE29FC">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4、我们愿意提供招标文件中要求的所有资料，且所递交的投标文件在投标有效期（即90天）内有效，在此期间内我方的投标有可能中标，我方将受此约束。</w:t>
      </w:r>
    </w:p>
    <w:p w14:paraId="1730E1D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5、我们理解，最低报价不是中标的唯一条件。我们认为你们有选择或拒绝任何投标者中标的权利。</w:t>
      </w:r>
    </w:p>
    <w:p w14:paraId="330F8828">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6、我方愿按《中华人民共和国合同法》履行自己的全部责任。</w:t>
      </w:r>
    </w:p>
    <w:p w14:paraId="1A9FDF1F">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7、我们同意招标文件之规定，遵守有关招标的各项规定。</w:t>
      </w:r>
    </w:p>
    <w:p w14:paraId="0813F0D4">
      <w:pPr>
        <w:spacing w:line="360" w:lineRule="auto"/>
        <w:ind w:firstLine="420" w:firstLineChars="200"/>
        <w:rPr>
          <w:rFonts w:asciiTheme="minorEastAsia" w:hAnsiTheme="minorEastAsia"/>
          <w:color w:val="000000"/>
          <w:szCs w:val="21"/>
        </w:rPr>
      </w:pPr>
      <w:r>
        <w:rPr>
          <w:rFonts w:asciiTheme="minorEastAsia" w:hAnsiTheme="minorEastAsia"/>
          <w:color w:val="000000"/>
          <w:szCs w:val="21"/>
        </w:rPr>
        <w:t>8</w:t>
      </w:r>
      <w:r>
        <w:rPr>
          <w:rFonts w:hint="eastAsia" w:asciiTheme="minorEastAsia" w:hAnsiTheme="minorEastAsia"/>
          <w:color w:val="000000"/>
          <w:szCs w:val="21"/>
        </w:rPr>
        <w:t>、所有有关本标书的函电，请按下列地址联系：</w:t>
      </w:r>
    </w:p>
    <w:p w14:paraId="6380887D">
      <w:pPr>
        <w:spacing w:line="360" w:lineRule="auto"/>
        <w:ind w:firstLine="420" w:firstLineChars="200"/>
        <w:rPr>
          <w:rFonts w:asciiTheme="minorEastAsia" w:hAnsiTheme="minorEastAsia"/>
          <w:color w:val="000000"/>
          <w:szCs w:val="21"/>
        </w:rPr>
      </w:pPr>
    </w:p>
    <w:p w14:paraId="30606183">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单    位： （盖章）</w:t>
      </w:r>
    </w:p>
    <w:p w14:paraId="6280CCF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授权代表或法人代表： （签字）</w:t>
      </w:r>
    </w:p>
    <w:p w14:paraId="45DF306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地    址： </w:t>
      </w:r>
    </w:p>
    <w:p w14:paraId="7EF729F5">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 xml:space="preserve">电    话：     </w:t>
      </w:r>
    </w:p>
    <w:p w14:paraId="1199B763">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传    真：</w:t>
      </w:r>
    </w:p>
    <w:p w14:paraId="089FF12D">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邮    编：</w:t>
      </w:r>
    </w:p>
    <w:p w14:paraId="178EDFD8">
      <w:pPr>
        <w:spacing w:line="360" w:lineRule="auto"/>
        <w:ind w:firstLine="420" w:firstLineChars="200"/>
        <w:rPr>
          <w:rFonts w:asciiTheme="minorEastAsia" w:hAnsiTheme="minorEastAsia"/>
          <w:szCs w:val="21"/>
        </w:rPr>
      </w:pPr>
      <w:r>
        <w:rPr>
          <w:rFonts w:asciiTheme="minorEastAsia" w:hAnsiTheme="minorEastAsia"/>
          <w:szCs w:val="21"/>
        </w:rPr>
        <w:br w:type="page"/>
      </w:r>
      <w:r>
        <w:rPr>
          <w:rFonts w:hint="eastAsia" w:asciiTheme="minorEastAsia" w:hAnsiTheme="minorEastAsia"/>
          <w:szCs w:val="21"/>
        </w:rPr>
        <w:t>附件2：政府采购投标及履约承诺函</w:t>
      </w:r>
    </w:p>
    <w:p w14:paraId="3062B029">
      <w:pPr>
        <w:keepNext/>
        <w:keepLines/>
        <w:spacing w:before="160" w:after="170"/>
        <w:ind w:firstLine="602" w:firstLineChars="200"/>
        <w:jc w:val="center"/>
        <w:outlineLvl w:val="4"/>
        <w:rPr>
          <w:b/>
          <w:bCs/>
          <w:sz w:val="30"/>
          <w:szCs w:val="28"/>
        </w:rPr>
      </w:pPr>
      <w:bookmarkStart w:id="153" w:name="_Toc55548539"/>
      <w:bookmarkStart w:id="154" w:name="_Toc30545"/>
      <w:r>
        <w:rPr>
          <w:rFonts w:hint="eastAsia"/>
          <w:b/>
          <w:bCs/>
          <w:sz w:val="30"/>
          <w:szCs w:val="28"/>
        </w:rPr>
        <w:t>政府采购投标及履约承诺函</w:t>
      </w:r>
      <w:bookmarkEnd w:id="153"/>
    </w:p>
    <w:p w14:paraId="6ACDE2E5">
      <w:pPr>
        <w:spacing w:line="360" w:lineRule="auto"/>
        <w:ind w:firstLine="420" w:firstLineChars="200"/>
        <w:rPr>
          <w:rFonts w:asciiTheme="minorEastAsia" w:hAnsiTheme="minorEastAsia"/>
          <w:szCs w:val="21"/>
        </w:rPr>
      </w:pPr>
      <w:r>
        <w:rPr>
          <w:rFonts w:hint="eastAsia" w:asciiTheme="minorEastAsia" w:hAnsiTheme="minorEastAsia"/>
          <w:szCs w:val="21"/>
        </w:rPr>
        <w:t>致：宝安区疾病预防控制中心</w:t>
      </w:r>
    </w:p>
    <w:p w14:paraId="7360B4C8">
      <w:pPr>
        <w:spacing w:line="360" w:lineRule="auto"/>
        <w:ind w:right="-815" w:firstLine="420" w:firstLineChars="200"/>
        <w:rPr>
          <w:rFonts w:asciiTheme="minorEastAsia" w:hAnsiTheme="minorEastAsia"/>
          <w:szCs w:val="21"/>
        </w:rPr>
      </w:pPr>
      <w:r>
        <w:rPr>
          <w:rFonts w:hint="eastAsia" w:asciiTheme="minorEastAsia" w:hAnsiTheme="minorEastAsia"/>
          <w:szCs w:val="21"/>
        </w:rPr>
        <w:t>我公司承诺：</w:t>
      </w:r>
    </w:p>
    <w:p w14:paraId="463AA78E">
      <w:pPr>
        <w:spacing w:line="360" w:lineRule="auto"/>
        <w:ind w:firstLine="420" w:firstLineChars="200"/>
        <w:rPr>
          <w:rFonts w:asciiTheme="minorEastAsia" w:hAnsiTheme="minorEastAsia"/>
          <w:szCs w:val="21"/>
        </w:rPr>
      </w:pPr>
      <w:r>
        <w:rPr>
          <w:rFonts w:hint="eastAsia" w:asciiTheme="minorEastAsia" w:hAnsiTheme="minorEastAsia"/>
          <w:szCs w:val="21"/>
        </w:rPr>
        <w:t>1.我公司本招标项目所提供的货物或服务未侵犯知识产权。</w:t>
      </w:r>
    </w:p>
    <w:p w14:paraId="7A96A6FE">
      <w:pPr>
        <w:spacing w:line="360" w:lineRule="auto"/>
        <w:ind w:firstLine="420" w:firstLineChars="200"/>
        <w:rPr>
          <w:rFonts w:asciiTheme="minorEastAsia" w:hAnsiTheme="minorEastAsia"/>
          <w:szCs w:val="21"/>
        </w:rPr>
      </w:pPr>
      <w:r>
        <w:rPr>
          <w:rFonts w:hint="eastAsia" w:asciiTheme="minorEastAsia" w:hAnsiTheme="minorEastAsia"/>
          <w:szCs w:val="21"/>
        </w:rPr>
        <w:t>2.我公司近三年内(成立不足三年的从成立之日起算)无行贿犯罪记录。</w:t>
      </w:r>
    </w:p>
    <w:p w14:paraId="435DC534">
      <w:pPr>
        <w:spacing w:line="360" w:lineRule="auto"/>
        <w:ind w:firstLine="420" w:firstLineChars="200"/>
        <w:rPr>
          <w:rFonts w:asciiTheme="minorEastAsia" w:hAnsiTheme="minorEastAsia"/>
          <w:szCs w:val="21"/>
        </w:rPr>
      </w:pPr>
      <w:r>
        <w:rPr>
          <w:rFonts w:hint="eastAsia" w:asciiTheme="minorEastAsia" w:hAnsiTheme="minorEastAsia"/>
          <w:szCs w:val="21"/>
        </w:rPr>
        <w:t>3.我公司参与本项目政府采购活动时不存在被有关部门禁止参与政府采购活动且在有效期内的情况。</w:t>
      </w:r>
    </w:p>
    <w:p w14:paraId="6145E10A">
      <w:pPr>
        <w:spacing w:line="360" w:lineRule="auto"/>
        <w:ind w:firstLine="420" w:firstLineChars="200"/>
        <w:rPr>
          <w:rFonts w:asciiTheme="minorEastAsia" w:hAnsiTheme="minorEastAsia"/>
          <w:szCs w:val="21"/>
        </w:rPr>
      </w:pPr>
      <w:r>
        <w:rPr>
          <w:rFonts w:hint="eastAsia" w:asciiTheme="minorEastAsia" w:hAnsiTheme="minorEastAsia"/>
          <w:szCs w:val="21"/>
        </w:rPr>
        <w:t>4.我公司具备《中华人民共和国政府采购法》第二十二条第一款规定的资质。</w:t>
      </w:r>
    </w:p>
    <w:p w14:paraId="1AE3F8A0">
      <w:pPr>
        <w:spacing w:line="360" w:lineRule="auto"/>
        <w:ind w:firstLine="420" w:firstLineChars="200"/>
        <w:rPr>
          <w:rFonts w:asciiTheme="minorEastAsia" w:hAnsiTheme="minorEastAsia"/>
          <w:szCs w:val="21"/>
        </w:rPr>
      </w:pPr>
      <w:r>
        <w:rPr>
          <w:rFonts w:hint="eastAsia" w:asciiTheme="minorEastAsia" w:hAnsiTheme="minorEastAsia"/>
          <w:szCs w:val="21"/>
        </w:rPr>
        <w:t>5.我公司与其他投标供应商不存在单位负责人为同一人或者存在直接控股、管理关系，未对本次采购项目提供整体设计、规范编制或者项目管理、监理、检测等服务。</w:t>
      </w:r>
    </w:p>
    <w:p w14:paraId="38B9601E">
      <w:pPr>
        <w:spacing w:line="360" w:lineRule="auto"/>
        <w:ind w:firstLine="420" w:firstLineChars="200"/>
        <w:rPr>
          <w:rFonts w:asciiTheme="minorEastAsia" w:hAnsiTheme="minorEastAsia"/>
          <w:szCs w:val="21"/>
        </w:rPr>
      </w:pPr>
      <w:r>
        <w:rPr>
          <w:rFonts w:hint="eastAsia" w:asciiTheme="minorEastAsia" w:hAnsiTheme="minorEastAsia"/>
          <w:szCs w:val="21"/>
        </w:rPr>
        <w:t>6.我公司未被列入失信被执行人、重大税收违法案件当事人名单、政府采购严重违法失信行为记录名单。</w:t>
      </w:r>
    </w:p>
    <w:p w14:paraId="3E6E3B2A">
      <w:pPr>
        <w:spacing w:line="360" w:lineRule="auto"/>
        <w:ind w:firstLine="420" w:firstLineChars="200"/>
        <w:rPr>
          <w:rFonts w:asciiTheme="minorEastAsia" w:hAnsiTheme="minorEastAsia"/>
          <w:szCs w:val="21"/>
        </w:rPr>
      </w:pPr>
      <w:r>
        <w:rPr>
          <w:rFonts w:hint="eastAsia" w:asciiTheme="minorEastAsia" w:hAnsiTheme="minorEastAsia"/>
          <w:szCs w:val="21"/>
        </w:rPr>
        <w:t>7.我公司参与该项目投标，严格遵守政府采购相关法律，投标做到诚实，不造假，不围标、串标、陪标。我公司已清楚，如违反上述要求，其投标将作废，被没收投标保证金，被列入不良记录名单并在网上曝光，同时将被提请政府采购监督管理部门给予一定年限内禁止参与政府采购活动或其他处罚。</w:t>
      </w:r>
    </w:p>
    <w:p w14:paraId="7667B2B9">
      <w:pPr>
        <w:spacing w:line="360" w:lineRule="auto"/>
        <w:ind w:firstLine="420" w:firstLineChars="200"/>
        <w:rPr>
          <w:rFonts w:asciiTheme="minorEastAsia" w:hAnsiTheme="minorEastAsia"/>
          <w:szCs w:val="21"/>
        </w:rPr>
      </w:pPr>
      <w:r>
        <w:rPr>
          <w:rFonts w:hint="eastAsia" w:asciiTheme="minorEastAsia" w:hAnsiTheme="minorEastAsia"/>
          <w:szCs w:val="21"/>
        </w:rPr>
        <w:t>8.我公司如果中标，做到守信，不偷工减料，依照本项目招标文件需求内容、签署的采购合同及本公司在投标中所作的一切承诺履约。项目验收达到全部指标合格，力争优良。</w:t>
      </w:r>
    </w:p>
    <w:p w14:paraId="40C8640F">
      <w:pPr>
        <w:spacing w:line="360" w:lineRule="auto"/>
        <w:ind w:firstLine="420" w:firstLineChars="200"/>
        <w:rPr>
          <w:rFonts w:asciiTheme="minorEastAsia" w:hAnsiTheme="minorEastAsia"/>
          <w:szCs w:val="21"/>
        </w:rPr>
      </w:pPr>
      <w:r>
        <w:rPr>
          <w:rFonts w:hint="eastAsia" w:asciiTheme="minorEastAsia" w:hAnsiTheme="minorEastAsia"/>
          <w:szCs w:val="21"/>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投标保证金将不被退还，且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5D37C109">
      <w:pPr>
        <w:spacing w:line="360" w:lineRule="auto"/>
        <w:ind w:firstLine="420" w:firstLineChars="200"/>
        <w:rPr>
          <w:rFonts w:asciiTheme="minorEastAsia" w:hAnsiTheme="minorEastAsia"/>
          <w:szCs w:val="21"/>
        </w:rPr>
      </w:pPr>
      <w:r>
        <w:rPr>
          <w:rFonts w:hint="eastAsia" w:asciiTheme="minorEastAsia" w:hAnsiTheme="minorEastAsia"/>
          <w:szCs w:val="21"/>
        </w:rPr>
        <w:t>10.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20D2838B">
      <w:pPr>
        <w:spacing w:line="360" w:lineRule="auto"/>
        <w:ind w:firstLine="420" w:firstLineChars="200"/>
        <w:rPr>
          <w:rFonts w:asciiTheme="minorEastAsia" w:hAnsiTheme="minorEastAsia"/>
          <w:szCs w:val="21"/>
        </w:rPr>
      </w:pPr>
      <w:r>
        <w:rPr>
          <w:rFonts w:hint="eastAsia" w:asciiTheme="minorEastAsia" w:hAnsiTheme="minorEastAsia"/>
          <w:szCs w:val="21"/>
        </w:rPr>
        <w:t>11.我公司承诺本项目非联合体投标，不非法转包、分包。</w:t>
      </w:r>
    </w:p>
    <w:p w14:paraId="2D38FA16">
      <w:pPr>
        <w:spacing w:line="360" w:lineRule="auto"/>
        <w:ind w:firstLine="420" w:firstLineChars="200"/>
        <w:rPr>
          <w:rFonts w:asciiTheme="minorEastAsia" w:hAnsiTheme="minorEastAsia"/>
          <w:szCs w:val="21"/>
        </w:rPr>
      </w:pPr>
      <w:r>
        <w:rPr>
          <w:rFonts w:hint="eastAsia" w:asciiTheme="minorEastAsia" w:hAnsiTheme="minorEastAsia"/>
          <w:szCs w:val="21"/>
        </w:rPr>
        <w:t>以上承诺，如有违反，愿依照国家相关法律处理，并承担由此给采购人带来的损失。</w:t>
      </w:r>
    </w:p>
    <w:p w14:paraId="7D075D2F">
      <w:pPr>
        <w:adjustRightInd w:val="0"/>
        <w:snapToGrid w:val="0"/>
        <w:spacing w:line="360" w:lineRule="auto"/>
        <w:ind w:firstLine="422" w:firstLineChars="200"/>
        <w:rPr>
          <w:rFonts w:asciiTheme="minorEastAsia" w:hAnsiTheme="minorEastAsia"/>
          <w:b/>
          <w:snapToGrid w:val="0"/>
          <w:kern w:val="0"/>
          <w:szCs w:val="21"/>
        </w:rPr>
      </w:pPr>
    </w:p>
    <w:p w14:paraId="12ED2498">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3079EA9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4EC1ED4E">
      <w:pPr>
        <w:spacing w:line="360" w:lineRule="auto"/>
        <w:ind w:firstLine="420" w:firstLineChars="200"/>
        <w:rPr>
          <w:rFonts w:asciiTheme="minorEastAsia" w:hAnsiTheme="minorEastAsia"/>
          <w:color w:val="000000"/>
          <w:szCs w:val="21"/>
        </w:rPr>
        <w:sectPr>
          <w:pgSz w:w="11906" w:h="16838"/>
          <w:pgMar w:top="1440" w:right="1080" w:bottom="1440" w:left="1080" w:header="851" w:footer="992" w:gutter="0"/>
          <w:cols w:space="720" w:num="1"/>
          <w:titlePg/>
          <w:docGrid w:type="lines" w:linePitch="312" w:charSpace="0"/>
        </w:sectPr>
      </w:pPr>
      <w:r>
        <w:rPr>
          <w:rFonts w:hint="eastAsia" w:asciiTheme="minorEastAsia" w:hAnsiTheme="minorEastAsia"/>
          <w:color w:val="000000"/>
          <w:szCs w:val="21"/>
        </w:rPr>
        <w:t>日期：</w:t>
      </w:r>
    </w:p>
    <w:p w14:paraId="559CDB2B">
      <w:pPr>
        <w:spacing w:line="360" w:lineRule="auto"/>
        <w:ind w:firstLine="420" w:firstLineChars="200"/>
        <w:rPr>
          <w:rFonts w:asciiTheme="minorEastAsia" w:hAnsiTheme="minorEastAsia"/>
          <w:szCs w:val="21"/>
        </w:rPr>
      </w:pPr>
      <w:r>
        <w:rPr>
          <w:rFonts w:hint="eastAsia" w:asciiTheme="minorEastAsia" w:hAnsiTheme="minorEastAsia"/>
          <w:szCs w:val="21"/>
        </w:rPr>
        <w:t>附件3：诚信承诺函格式</w:t>
      </w:r>
      <w:bookmarkEnd w:id="154"/>
    </w:p>
    <w:p w14:paraId="194DE01E">
      <w:pPr>
        <w:keepNext/>
        <w:keepLines/>
        <w:spacing w:before="160" w:after="170"/>
        <w:ind w:firstLine="602" w:firstLineChars="200"/>
        <w:jc w:val="center"/>
        <w:outlineLvl w:val="4"/>
        <w:rPr>
          <w:b/>
          <w:bCs/>
          <w:snapToGrid w:val="0"/>
          <w:sz w:val="30"/>
          <w:szCs w:val="28"/>
        </w:rPr>
      </w:pPr>
      <w:bookmarkStart w:id="155" w:name="_Toc55548540"/>
      <w:r>
        <w:rPr>
          <w:rFonts w:hint="eastAsia"/>
          <w:b/>
          <w:bCs/>
          <w:snapToGrid w:val="0"/>
          <w:sz w:val="30"/>
          <w:szCs w:val="28"/>
        </w:rPr>
        <w:t>诚信承诺函</w:t>
      </w:r>
      <w:bookmarkEnd w:id="155"/>
    </w:p>
    <w:p w14:paraId="05BD1E6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宝安区疾病预防控制中心：</w:t>
      </w:r>
    </w:p>
    <w:p w14:paraId="1E64C44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根据《深圳市政府采购供应商诚信管理暂行办法》相关规定，在参与政府采购活动中不存在出现诚信相关问题且在相关主管部门处理措施实施期限内，如若投标文件与事实情况不符，我司自愿承担“隐瞒真实情况，提供虚假资料”以及其他一切不利的法律后果。</w:t>
      </w:r>
    </w:p>
    <w:p w14:paraId="5E982E98">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我公司承诺，在参加政府采购活动中没有出现下列行为之一：</w:t>
      </w:r>
    </w:p>
    <w:p w14:paraId="4EC05ECB">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（一）投标截止后，无正当理由撤销其投标行为，导致项目无法正常开评标的；</w:t>
      </w:r>
    </w:p>
    <w:p w14:paraId="6FC75B26">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（二）未按《采购条例》规定签订、履行采购合同，严重影响采购人日常工作的；</w:t>
      </w:r>
    </w:p>
    <w:p w14:paraId="05A44D4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（三）在投标文件中未说明且未经采购人同意，将中标项目分包给他人，情节严重的；</w:t>
      </w:r>
    </w:p>
    <w:p w14:paraId="635AE983">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（四）严重违反合同约定，擅自降低货物质量等次和售后服务，货物、工程或者服务存在严重质量问题的；</w:t>
      </w:r>
    </w:p>
    <w:p w14:paraId="291C212E">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（五）严重违反合同约定，未能完成全部货物、服务或工程项目，中途停止配送或者变相增加费用的；</w:t>
      </w:r>
    </w:p>
    <w:p w14:paraId="093997AC">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（六）捏造事实、提供虚假材料进行质疑的；</w:t>
      </w:r>
    </w:p>
    <w:p w14:paraId="20495A40">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（七）假冒他人名义质疑的；</w:t>
      </w:r>
    </w:p>
    <w:p w14:paraId="4FFDC8DC">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（八）无正当理由拒不配合进行质疑调查的。</w:t>
      </w:r>
    </w:p>
    <w:p w14:paraId="698CBECF">
      <w:pPr>
        <w:spacing w:line="360" w:lineRule="auto"/>
        <w:ind w:firstLine="420" w:firstLineChars="200"/>
        <w:rPr>
          <w:rFonts w:cs="Courier New" w:asciiTheme="minorEastAsia" w:hAnsiTheme="minorEastAsia"/>
          <w:snapToGrid w:val="0"/>
          <w:szCs w:val="21"/>
        </w:rPr>
      </w:pPr>
      <w:r>
        <w:rPr>
          <w:rFonts w:hint="eastAsia" w:cs="Courier New" w:asciiTheme="minorEastAsia" w:hAnsiTheme="minorEastAsia"/>
          <w:snapToGrid w:val="0"/>
          <w:szCs w:val="21"/>
        </w:rPr>
        <w:t>特此承诺。</w:t>
      </w:r>
    </w:p>
    <w:p w14:paraId="4CE4302A">
      <w:pPr>
        <w:spacing w:line="360" w:lineRule="auto"/>
        <w:ind w:firstLine="420" w:firstLineChars="200"/>
        <w:rPr>
          <w:rFonts w:asciiTheme="minorEastAsia" w:hAnsiTheme="minorEastAsia"/>
          <w:szCs w:val="21"/>
        </w:rPr>
      </w:pPr>
    </w:p>
    <w:p w14:paraId="015281A9">
      <w:pPr>
        <w:spacing w:line="360" w:lineRule="auto"/>
        <w:ind w:firstLine="420" w:firstLineChars="200"/>
        <w:rPr>
          <w:rFonts w:asciiTheme="minorEastAsia" w:hAnsiTheme="minorEastAsia"/>
          <w:szCs w:val="21"/>
        </w:rPr>
      </w:pPr>
    </w:p>
    <w:p w14:paraId="2448EA9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22766A36">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CE71C81">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1B6AA012">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4B15D8D8">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4</w:t>
      </w:r>
      <w:r>
        <w:rPr>
          <w:rFonts w:hint="eastAsia" w:asciiTheme="minorEastAsia" w:hAnsiTheme="minorEastAsia"/>
          <w:szCs w:val="21"/>
        </w:rPr>
        <w:t>：法定代表人证明书格式</w:t>
      </w:r>
    </w:p>
    <w:p w14:paraId="28297B1D">
      <w:pPr>
        <w:keepNext/>
        <w:keepLines/>
        <w:spacing w:before="160" w:after="170"/>
        <w:ind w:firstLine="602" w:firstLineChars="200"/>
        <w:jc w:val="center"/>
        <w:outlineLvl w:val="4"/>
        <w:rPr>
          <w:b/>
          <w:bCs/>
          <w:sz w:val="30"/>
          <w:szCs w:val="28"/>
        </w:rPr>
      </w:pPr>
      <w:bookmarkStart w:id="156" w:name="_Toc55548545"/>
      <w:bookmarkStart w:id="157" w:name="_Toc2383"/>
      <w:r>
        <w:rPr>
          <w:rFonts w:hint="eastAsia"/>
          <w:b/>
          <w:bCs/>
          <w:sz w:val="30"/>
          <w:szCs w:val="28"/>
        </w:rPr>
        <w:t>法定代表人证明书</w:t>
      </w:r>
      <w:bookmarkEnd w:id="156"/>
    </w:p>
    <w:p w14:paraId="68497E1D">
      <w:pPr>
        <w:tabs>
          <w:tab w:val="left" w:pos="900"/>
        </w:tabs>
        <w:spacing w:line="360" w:lineRule="auto"/>
        <w:ind w:firstLine="420" w:firstLineChars="200"/>
        <w:rPr>
          <w:rFonts w:asciiTheme="minorEastAsia" w:hAnsiTheme="minorEastAsia"/>
          <w:szCs w:val="21"/>
        </w:rPr>
      </w:pPr>
      <w:r>
        <w:rPr>
          <w:rFonts w:hint="eastAsia" w:asciiTheme="minorEastAsia" w:hAnsiTheme="minorEastAsia"/>
          <w:szCs w:val="21"/>
        </w:rPr>
        <w:t>______________同志，现任我单位</w:t>
      </w:r>
      <w:r>
        <w:rPr>
          <w:rFonts w:asciiTheme="minorEastAsia" w:hAnsiTheme="minorEastAsia"/>
          <w:szCs w:val="21"/>
          <w:u w:val="single"/>
        </w:rPr>
        <w:t xml:space="preserve">         </w:t>
      </w:r>
      <w:r>
        <w:rPr>
          <w:rFonts w:hint="eastAsia" w:asciiTheme="minorEastAsia" w:hAnsiTheme="minorEastAsia"/>
          <w:szCs w:val="21"/>
        </w:rPr>
        <w:t>职务，为法定代表人，特此证明。</w:t>
      </w:r>
    </w:p>
    <w:p w14:paraId="282BF304">
      <w:pPr>
        <w:spacing w:line="360" w:lineRule="auto"/>
        <w:ind w:firstLine="420" w:firstLineChars="200"/>
        <w:rPr>
          <w:rFonts w:asciiTheme="minorEastAsia" w:hAnsiTheme="minorEastAsia"/>
          <w:szCs w:val="21"/>
        </w:rPr>
      </w:pPr>
      <w:r>
        <w:rPr>
          <w:rFonts w:hint="eastAsia" w:asciiTheme="minorEastAsia" w:hAnsiTheme="minorEastAsia"/>
          <w:szCs w:val="21"/>
        </w:rPr>
        <w:t>有效日期与本公司投标文件中标注的投标有效期相同。</w:t>
      </w:r>
      <w:r>
        <w:rPr>
          <w:rFonts w:asciiTheme="minorEastAsia" w:hAnsiTheme="minorEastAsia"/>
          <w:szCs w:val="21"/>
        </w:rPr>
        <w:t xml:space="preserve">  </w:t>
      </w:r>
    </w:p>
    <w:p w14:paraId="0BF7758A">
      <w:pPr>
        <w:spacing w:line="360" w:lineRule="auto"/>
        <w:ind w:firstLine="420" w:firstLineChars="200"/>
        <w:rPr>
          <w:rFonts w:asciiTheme="minorEastAsia" w:hAnsiTheme="minorEastAsia"/>
          <w:szCs w:val="21"/>
        </w:rPr>
      </w:pPr>
      <w:r>
        <w:rPr>
          <w:rFonts w:hint="eastAsia" w:asciiTheme="minorEastAsia" w:hAnsiTheme="minorEastAsia"/>
          <w:szCs w:val="21"/>
        </w:rPr>
        <w:t>签发日期：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asciiTheme="minorEastAsia" w:hAnsiTheme="minorEastAsia"/>
          <w:szCs w:val="21"/>
        </w:rPr>
        <w:t xml:space="preserve">             </w:t>
      </w:r>
    </w:p>
    <w:p w14:paraId="22679A2B">
      <w:pPr>
        <w:spacing w:line="360" w:lineRule="auto"/>
        <w:ind w:firstLine="420" w:firstLineChars="200"/>
        <w:rPr>
          <w:rFonts w:asciiTheme="minorEastAsia" w:hAnsiTheme="minorEastAsia"/>
          <w:szCs w:val="21"/>
        </w:rPr>
      </w:pPr>
      <w:r>
        <w:rPr>
          <w:rFonts w:hint="eastAsia" w:asciiTheme="minorEastAsia" w:hAnsiTheme="minorEastAsia"/>
          <w:szCs w:val="21"/>
        </w:rPr>
        <w:t>附：</w:t>
      </w:r>
    </w:p>
    <w:p w14:paraId="2CB968D7">
      <w:pPr>
        <w:spacing w:line="360" w:lineRule="auto"/>
        <w:ind w:firstLine="420" w:firstLineChars="200"/>
        <w:rPr>
          <w:rFonts w:asciiTheme="minorEastAsia" w:hAnsiTheme="minorEastAsia"/>
          <w:szCs w:val="21"/>
        </w:rPr>
      </w:pPr>
      <w:r>
        <w:rPr>
          <w:rFonts w:hint="eastAsia" w:asciiTheme="minorEastAsia" w:hAnsiTheme="minorEastAsia"/>
          <w:szCs w:val="21"/>
        </w:rPr>
        <w:t xml:space="preserve">营业执照（注册号）：                       </w:t>
      </w:r>
    </w:p>
    <w:p w14:paraId="5D79D300">
      <w:pPr>
        <w:spacing w:line="360" w:lineRule="auto"/>
        <w:ind w:firstLine="420" w:firstLineChars="200"/>
        <w:rPr>
          <w:rFonts w:asciiTheme="minorEastAsia" w:hAnsiTheme="minorEastAsia"/>
          <w:szCs w:val="21"/>
        </w:rPr>
      </w:pPr>
      <w:r>
        <w:rPr>
          <w:rFonts w:hint="eastAsia" w:asciiTheme="minorEastAsia" w:hAnsiTheme="minorEastAsia"/>
          <w:szCs w:val="21"/>
        </w:rPr>
        <w:t>经济性质：</w:t>
      </w:r>
    </w:p>
    <w:p w14:paraId="23E5A824">
      <w:pPr>
        <w:spacing w:line="360" w:lineRule="auto"/>
        <w:ind w:firstLine="420" w:firstLineChars="200"/>
        <w:rPr>
          <w:rFonts w:asciiTheme="minorEastAsia" w:hAnsiTheme="minorEastAsia"/>
          <w:szCs w:val="21"/>
        </w:rPr>
      </w:pPr>
      <w:r>
        <w:rPr>
          <w:rFonts w:hint="eastAsia" w:asciiTheme="minorEastAsia" w:hAnsiTheme="minorEastAsia"/>
          <w:szCs w:val="21"/>
        </w:rPr>
        <w:t>主营（产）：</w:t>
      </w:r>
    </w:p>
    <w:p w14:paraId="54F45000">
      <w:pPr>
        <w:spacing w:line="360" w:lineRule="auto"/>
        <w:ind w:firstLine="420" w:firstLineChars="200"/>
        <w:rPr>
          <w:rFonts w:asciiTheme="minorEastAsia" w:hAnsiTheme="minorEastAsia"/>
          <w:szCs w:val="21"/>
        </w:rPr>
      </w:pPr>
      <w:r>
        <w:rPr>
          <w:rFonts w:hint="eastAsia" w:asciiTheme="minorEastAsia" w:hAnsiTheme="minorEastAsia"/>
          <w:szCs w:val="21"/>
        </w:rPr>
        <w:t>兼营（产）：</w:t>
      </w:r>
    </w:p>
    <w:p w14:paraId="5B49F1AB">
      <w:pPr>
        <w:spacing w:line="360" w:lineRule="auto"/>
        <w:ind w:firstLine="420" w:firstLineChars="200"/>
        <w:rPr>
          <w:rFonts w:asciiTheme="minorEastAsia" w:hAnsiTheme="minorEastAsia"/>
          <w:szCs w:val="21"/>
        </w:rPr>
      </w:pPr>
    </w:p>
    <w:p w14:paraId="08A689C9">
      <w:pPr>
        <w:spacing w:line="360" w:lineRule="auto"/>
        <w:ind w:firstLine="420" w:firstLineChars="200"/>
        <w:rPr>
          <w:rFonts w:asciiTheme="minorEastAsia" w:hAnsiTheme="minorEastAsia"/>
          <w:b/>
          <w:bCs/>
          <w:szCs w:val="21"/>
        </w:rPr>
      </w:pPr>
      <w:r>
        <mc:AlternateContent>
          <mc:Choice Requires="wps">
            <w:drawing>
              <wp:anchor distT="0" distB="0" distL="114300" distR="114300" simplePos="0" relativeHeight="251660288" behindDoc="0" locked="0" layoutInCell="1" allowOverlap="1">
                <wp:simplePos x="0" y="0"/>
                <wp:positionH relativeFrom="column">
                  <wp:posOffset>3211830</wp:posOffset>
                </wp:positionH>
                <wp:positionV relativeFrom="paragraph">
                  <wp:posOffset>231775</wp:posOffset>
                </wp:positionV>
                <wp:extent cx="2705100" cy="1981200"/>
                <wp:effectExtent l="4445" t="5080" r="8255" b="7620"/>
                <wp:wrapNone/>
                <wp:docPr id="69" name="矩形 69"/>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a:effectLst/>
                      </wps:spPr>
                      <wps:txbx>
                        <w:txbxContent>
                          <w:p w14:paraId="7B574CBA">
                            <w:pPr>
                              <w:spacing w:line="360" w:lineRule="auto"/>
                              <w:ind w:firstLine="1680" w:firstLineChars="800"/>
                            </w:pPr>
                          </w:p>
                          <w:p w14:paraId="309F59C7">
                            <w:pPr>
                              <w:spacing w:line="360" w:lineRule="auto"/>
                              <w:ind w:firstLine="1680" w:firstLineChars="800"/>
                            </w:pPr>
                            <w:r>
                              <w:rPr>
                                <w:rFonts w:hint="eastAsia"/>
                              </w:rPr>
                              <w:t>法定代表人</w:t>
                            </w:r>
                          </w:p>
                          <w:p w14:paraId="6B70FFEB">
                            <w:pPr>
                              <w:spacing w:line="360" w:lineRule="auto"/>
                              <w:ind w:firstLine="1155" w:firstLineChars="550"/>
                            </w:pPr>
                            <w:r>
                              <w:rPr>
                                <w:rFonts w:hint="eastAsia"/>
                              </w:rPr>
                              <w:t>居民身份证复印件粘贴处</w:t>
                            </w:r>
                          </w:p>
                          <w:p w14:paraId="40A2887A">
                            <w:pPr>
                              <w:spacing w:line="360" w:lineRule="auto"/>
                              <w:ind w:firstLine="1785" w:firstLineChars="850"/>
                            </w:pPr>
                            <w:r>
                              <w:rPr>
                                <w:rFonts w:hint="eastAsia"/>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2.9pt;margin-top:18.25pt;height:156pt;width:213pt;z-index:251660288;mso-width-relative:page;mso-height-relative:page;" fillcolor="#FFFFFF" filled="t" stroked="t" coordsize="21600,21600" o:gfxdata="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&#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5HhRx2AAAAAoBAAAPAAAAAAAAAAEAIAAAACIAAABk&#10;cnMvZG93bnJldi54bWxQSwECFAAUAAAACACHTuJAQUHpTT8CAACLBAAADgAAAAAAAAABACAAAAAn&#10;AQAAZHJzL2Uyb0RvYy54bWxQSwUGAAAAAAYABgBZAQAA2AUAAAAA&#10;">
                <v:fill on="t" focussize="0,0"/>
                <v:stroke color="#000000" miterlimit="8" joinstyle="miter"/>
                <v:imagedata o:title=""/>
                <o:lock v:ext="edit" aspectratio="f"/>
                <v:textbox>
                  <w:txbxContent>
                    <w:p w14:paraId="7B574CBA">
                      <w:pPr>
                        <w:spacing w:line="360" w:lineRule="auto"/>
                        <w:ind w:firstLine="1680" w:firstLineChars="800"/>
                      </w:pPr>
                    </w:p>
                    <w:p w14:paraId="309F59C7">
                      <w:pPr>
                        <w:spacing w:line="360" w:lineRule="auto"/>
                        <w:ind w:firstLine="1680" w:firstLineChars="800"/>
                      </w:pPr>
                      <w:r>
                        <w:rPr>
                          <w:rFonts w:hint="eastAsia"/>
                        </w:rPr>
                        <w:t>法定代表人</w:t>
                      </w:r>
                    </w:p>
                    <w:p w14:paraId="6B70FFEB">
                      <w:pPr>
                        <w:spacing w:line="360" w:lineRule="auto"/>
                        <w:ind w:firstLine="1155" w:firstLineChars="550"/>
                      </w:pPr>
                      <w:r>
                        <w:rPr>
                          <w:rFonts w:hint="eastAsia"/>
                        </w:rPr>
                        <w:t>居民身份证复印件粘贴处</w:t>
                      </w:r>
                    </w:p>
                    <w:p w14:paraId="40A2887A">
                      <w:pPr>
                        <w:spacing w:line="360" w:lineRule="auto"/>
                        <w:ind w:firstLine="1785" w:firstLineChars="850"/>
                      </w:pPr>
                      <w:r>
                        <w:rPr>
                          <w:rFonts w:hint="eastAsia"/>
                        </w:rPr>
                        <w:t>（反面）</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268605</wp:posOffset>
                </wp:positionH>
                <wp:positionV relativeFrom="paragraph">
                  <wp:posOffset>194310</wp:posOffset>
                </wp:positionV>
                <wp:extent cx="2705100" cy="1981200"/>
                <wp:effectExtent l="4445" t="5080" r="8255" b="7620"/>
                <wp:wrapNone/>
                <wp:docPr id="68" name="矩形 68"/>
                <wp:cNvGraphicFramePr/>
                <a:graphic xmlns:a="http://schemas.openxmlformats.org/drawingml/2006/main">
                  <a:graphicData uri="http://schemas.microsoft.com/office/word/2010/wordprocessingShape">
                    <wps:wsp>
                      <wps:cNvSpPr>
                        <a:spLocks noChangeArrowheads="1"/>
                      </wps:cNvSpPr>
                      <wps:spPr bwMode="auto">
                        <a:xfrm>
                          <a:off x="0" y="0"/>
                          <a:ext cx="2705100" cy="1981200"/>
                        </a:xfrm>
                        <a:prstGeom prst="rect">
                          <a:avLst/>
                        </a:prstGeom>
                        <a:solidFill>
                          <a:srgbClr val="FFFFFF"/>
                        </a:solidFill>
                        <a:ln w="9525">
                          <a:solidFill>
                            <a:srgbClr val="000000"/>
                          </a:solidFill>
                          <a:miter lim="800000"/>
                        </a:ln>
                        <a:effectLst/>
                      </wps:spPr>
                      <wps:txbx>
                        <w:txbxContent>
                          <w:p w14:paraId="2E3BD6AB">
                            <w:pPr>
                              <w:spacing w:line="360" w:lineRule="auto"/>
                              <w:jc w:val="center"/>
                            </w:pPr>
                          </w:p>
                          <w:p w14:paraId="1A824A84">
                            <w:pPr>
                              <w:spacing w:line="360" w:lineRule="auto"/>
                              <w:jc w:val="center"/>
                            </w:pPr>
                            <w:r>
                              <w:rPr>
                                <w:rFonts w:hint="eastAsia"/>
                              </w:rPr>
                              <w:t>法定代表人</w:t>
                            </w:r>
                          </w:p>
                          <w:p w14:paraId="626FEAEE">
                            <w:pPr>
                              <w:spacing w:line="360" w:lineRule="auto"/>
                              <w:jc w:val="center"/>
                            </w:pPr>
                            <w:r>
                              <w:rPr>
                                <w:rFonts w:hint="eastAsia"/>
                              </w:rPr>
                              <w:t>居民身份证复印件粘贴处</w:t>
                            </w:r>
                          </w:p>
                          <w:p w14:paraId="13F4D6A1">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15pt;margin-top:15.3pt;height:156pt;width:213pt;z-index:251659264;mso-width-relative:page;mso-height-relative:page;" fillcolor="#FFFFFF" filled="t" stroked="t" coordsize="21600,21600" o:gfxdata="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UGpRjXAAAACQEAAA8AAAAAAAAAAQAgAAAAIgAAAGRy&#10;cy9kb3ducmV2LnhtbFBLAQIUABQAAAAIAIdO4kDBQLe2PwIAAIsEAAAOAAAAAAAAAAEAIAAAACYB&#10;AABkcnMvZTJvRG9jLnhtbFBLBQYAAAAABgAGAFkBAADXBQAAAAA=&#10;">
                <v:fill on="t" focussize="0,0"/>
                <v:stroke color="#000000" miterlimit="8" joinstyle="miter"/>
                <v:imagedata o:title=""/>
                <o:lock v:ext="edit" aspectratio="f"/>
                <v:textbox>
                  <w:txbxContent>
                    <w:p w14:paraId="2E3BD6AB">
                      <w:pPr>
                        <w:spacing w:line="360" w:lineRule="auto"/>
                        <w:jc w:val="center"/>
                      </w:pPr>
                    </w:p>
                    <w:p w14:paraId="1A824A84">
                      <w:pPr>
                        <w:spacing w:line="360" w:lineRule="auto"/>
                        <w:jc w:val="center"/>
                      </w:pPr>
                      <w:r>
                        <w:rPr>
                          <w:rFonts w:hint="eastAsia"/>
                        </w:rPr>
                        <w:t>法定代表人</w:t>
                      </w:r>
                    </w:p>
                    <w:p w14:paraId="626FEAEE">
                      <w:pPr>
                        <w:spacing w:line="360" w:lineRule="auto"/>
                        <w:jc w:val="center"/>
                      </w:pPr>
                      <w:r>
                        <w:rPr>
                          <w:rFonts w:hint="eastAsia"/>
                        </w:rPr>
                        <w:t>居民身份证复印件粘贴处</w:t>
                      </w:r>
                    </w:p>
                    <w:p w14:paraId="13F4D6A1">
                      <w:pPr>
                        <w:spacing w:line="360" w:lineRule="auto"/>
                        <w:jc w:val="center"/>
                      </w:pPr>
                      <w:r>
                        <w:rPr>
                          <w:rFonts w:hint="eastAsia"/>
                        </w:rPr>
                        <w:t>（正面）</w:t>
                      </w:r>
                    </w:p>
                  </w:txbxContent>
                </v:textbox>
              </v:rect>
            </w:pict>
          </mc:Fallback>
        </mc:AlternateContent>
      </w:r>
    </w:p>
    <w:p w14:paraId="6DC06200">
      <w:pPr>
        <w:spacing w:line="360" w:lineRule="auto"/>
        <w:ind w:firstLine="422" w:firstLineChars="200"/>
        <w:rPr>
          <w:rFonts w:asciiTheme="minorEastAsia" w:hAnsiTheme="minorEastAsia"/>
          <w:b/>
          <w:bCs/>
          <w:szCs w:val="21"/>
        </w:rPr>
      </w:pPr>
    </w:p>
    <w:p w14:paraId="17F7B26A">
      <w:pPr>
        <w:spacing w:line="360" w:lineRule="auto"/>
        <w:ind w:firstLine="422" w:firstLineChars="200"/>
        <w:rPr>
          <w:rFonts w:asciiTheme="minorEastAsia" w:hAnsiTheme="minorEastAsia"/>
          <w:b/>
          <w:bCs/>
          <w:szCs w:val="21"/>
        </w:rPr>
      </w:pPr>
    </w:p>
    <w:p w14:paraId="0912697A">
      <w:pPr>
        <w:spacing w:line="360" w:lineRule="auto"/>
        <w:ind w:firstLine="422" w:firstLineChars="200"/>
        <w:rPr>
          <w:rFonts w:asciiTheme="minorEastAsia" w:hAnsiTheme="minorEastAsia"/>
          <w:b/>
          <w:bCs/>
          <w:szCs w:val="21"/>
        </w:rPr>
      </w:pPr>
    </w:p>
    <w:p w14:paraId="27A60007">
      <w:pPr>
        <w:spacing w:line="360" w:lineRule="auto"/>
        <w:ind w:firstLine="422" w:firstLineChars="200"/>
        <w:rPr>
          <w:rFonts w:asciiTheme="minorEastAsia" w:hAnsiTheme="minorEastAsia"/>
          <w:b/>
          <w:bCs/>
          <w:szCs w:val="21"/>
        </w:rPr>
      </w:pPr>
    </w:p>
    <w:p w14:paraId="644A152F">
      <w:pPr>
        <w:spacing w:line="360" w:lineRule="auto"/>
        <w:ind w:firstLine="422" w:firstLineChars="200"/>
        <w:rPr>
          <w:rFonts w:asciiTheme="minorEastAsia" w:hAnsiTheme="minorEastAsia"/>
          <w:b/>
          <w:bCs/>
          <w:szCs w:val="21"/>
        </w:rPr>
      </w:pPr>
    </w:p>
    <w:p w14:paraId="5F049040">
      <w:pPr>
        <w:spacing w:line="360" w:lineRule="auto"/>
        <w:ind w:firstLine="422" w:firstLineChars="200"/>
        <w:rPr>
          <w:rFonts w:asciiTheme="minorEastAsia" w:hAnsiTheme="minorEastAsia"/>
          <w:b/>
          <w:bCs/>
          <w:szCs w:val="21"/>
        </w:rPr>
      </w:pPr>
      <w:r>
        <w:rPr>
          <w:rFonts w:hint="eastAsia" w:asciiTheme="minorEastAsia" w:hAnsiTheme="minorEastAsia"/>
          <w:b/>
          <w:bCs/>
          <w:szCs w:val="21"/>
        </w:rPr>
        <w:t xml:space="preserve">                         </w:t>
      </w:r>
    </w:p>
    <w:p w14:paraId="4A69F06A">
      <w:pPr>
        <w:spacing w:line="360" w:lineRule="auto"/>
        <w:ind w:firstLine="420" w:firstLineChars="200"/>
        <w:rPr>
          <w:rFonts w:asciiTheme="minorEastAsia" w:hAnsiTheme="minorEastAsia"/>
          <w:szCs w:val="21"/>
        </w:rPr>
      </w:pPr>
    </w:p>
    <w:p w14:paraId="32884022">
      <w:pPr>
        <w:spacing w:line="360" w:lineRule="auto"/>
        <w:ind w:firstLine="420" w:firstLineChars="200"/>
        <w:rPr>
          <w:rFonts w:asciiTheme="minorEastAsia" w:hAnsiTheme="minorEastAsia"/>
          <w:szCs w:val="21"/>
        </w:rPr>
      </w:pPr>
    </w:p>
    <w:p w14:paraId="5AF63CF0">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r>
        <w:rPr>
          <w:rFonts w:hint="eastAsia" w:asciiTheme="minorEastAsia" w:hAnsiTheme="minorEastAsia"/>
          <w:szCs w:val="21"/>
          <w:u w:val="single"/>
        </w:rPr>
        <w:t xml:space="preserve">             </w:t>
      </w:r>
    </w:p>
    <w:p w14:paraId="49D9A621">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 xml:space="preserve">月 </w:t>
      </w:r>
      <w:r>
        <w:rPr>
          <w:rFonts w:hint="eastAsia" w:asciiTheme="minorEastAsia" w:hAnsiTheme="minorEastAsia"/>
          <w:szCs w:val="21"/>
          <w:u w:val="single"/>
        </w:rPr>
        <w:t xml:space="preserve">      </w:t>
      </w:r>
      <w:r>
        <w:rPr>
          <w:rFonts w:hint="eastAsia" w:asciiTheme="minorEastAsia" w:hAnsiTheme="minorEastAsia"/>
          <w:szCs w:val="21"/>
        </w:rPr>
        <w:t>日</w:t>
      </w:r>
    </w:p>
    <w:p w14:paraId="5C05EC41">
      <w:pPr>
        <w:ind w:firstLine="420" w:firstLineChars="200"/>
      </w:pPr>
    </w:p>
    <w:p w14:paraId="3EF26A4F">
      <w:pPr>
        <w:adjustRightInd w:val="0"/>
        <w:snapToGrid w:val="0"/>
        <w:spacing w:line="360" w:lineRule="auto"/>
        <w:ind w:firstLine="422" w:firstLineChars="200"/>
        <w:rPr>
          <w:rFonts w:asciiTheme="minorEastAsia" w:hAnsiTheme="minorEastAsia"/>
          <w:b/>
          <w:snapToGrid w:val="0"/>
          <w:kern w:val="0"/>
          <w:szCs w:val="21"/>
        </w:rPr>
      </w:pPr>
    </w:p>
    <w:p w14:paraId="65A6D774">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2DFF2CF6">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5</w:t>
      </w:r>
      <w:r>
        <w:rPr>
          <w:rFonts w:hint="eastAsia" w:asciiTheme="minorEastAsia" w:hAnsiTheme="minorEastAsia"/>
          <w:szCs w:val="21"/>
        </w:rPr>
        <w:t>：</w:t>
      </w:r>
      <w:bookmarkEnd w:id="157"/>
      <w:r>
        <w:rPr>
          <w:rFonts w:hint="eastAsia" w:asciiTheme="minorEastAsia" w:hAnsiTheme="minorEastAsia"/>
          <w:szCs w:val="21"/>
        </w:rPr>
        <w:t>法定代表人授权委托证明书</w:t>
      </w:r>
    </w:p>
    <w:p w14:paraId="547559BF">
      <w:pPr>
        <w:keepNext/>
        <w:keepLines/>
        <w:spacing w:before="160" w:after="170"/>
        <w:ind w:firstLine="602" w:firstLineChars="200"/>
        <w:jc w:val="center"/>
        <w:outlineLvl w:val="4"/>
        <w:rPr>
          <w:b/>
          <w:bCs/>
          <w:sz w:val="30"/>
          <w:szCs w:val="28"/>
        </w:rPr>
      </w:pPr>
      <w:bookmarkStart w:id="158" w:name="_Toc55548546"/>
      <w:r>
        <w:rPr>
          <w:rFonts w:hint="eastAsia"/>
          <w:b/>
          <w:bCs/>
          <w:sz w:val="30"/>
          <w:szCs w:val="28"/>
        </w:rPr>
        <w:t>法定代表人授权委托书</w:t>
      </w:r>
      <w:bookmarkEnd w:id="158"/>
    </w:p>
    <w:p w14:paraId="148EBCE7">
      <w:pPr>
        <w:spacing w:line="360" w:lineRule="auto"/>
        <w:ind w:firstLine="420" w:firstLineChars="200"/>
        <w:rPr>
          <w:rFonts w:asciiTheme="minorEastAsia" w:hAnsiTheme="minorEastAsia"/>
          <w:b/>
          <w:bCs/>
          <w:szCs w:val="21"/>
        </w:rPr>
      </w:pPr>
      <w:r>
        <w:rPr>
          <w:rFonts w:hint="eastAsia" w:asciiTheme="minorEastAsia" w:hAnsiTheme="minorEastAsia"/>
          <w:szCs w:val="21"/>
        </w:rPr>
        <w:t>深圳市宝安区疾病预防控制中心</w:t>
      </w:r>
      <w:r>
        <w:rPr>
          <w:rFonts w:hint="eastAsia" w:asciiTheme="minorEastAsia" w:hAnsiTheme="minorEastAsia"/>
          <w:szCs w:val="21"/>
          <w:lang w:eastAsia="zh-CN"/>
        </w:rPr>
        <w:t>（</w:t>
      </w:r>
      <w:r>
        <w:rPr>
          <w:rFonts w:hint="eastAsia" w:asciiTheme="minorEastAsia" w:hAnsiTheme="minorEastAsia"/>
          <w:szCs w:val="21"/>
          <w:lang w:val="en-US" w:eastAsia="zh-CN"/>
        </w:rPr>
        <w:t>深圳市宝安区卫生监督所</w:t>
      </w:r>
      <w:r>
        <w:rPr>
          <w:rFonts w:hint="eastAsia" w:asciiTheme="minorEastAsia" w:hAnsiTheme="minorEastAsia"/>
          <w:szCs w:val="21"/>
          <w:lang w:eastAsia="zh-CN"/>
        </w:rPr>
        <w:t>）</w:t>
      </w:r>
      <w:r>
        <w:rPr>
          <w:rFonts w:hint="eastAsia" w:asciiTheme="minorEastAsia" w:hAnsiTheme="minorEastAsia"/>
          <w:b/>
          <w:bCs/>
          <w:szCs w:val="21"/>
        </w:rPr>
        <w:t>：</w:t>
      </w:r>
    </w:p>
    <w:p w14:paraId="4805C8B6">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现委派</w:t>
      </w:r>
      <w:r>
        <w:rPr>
          <w:rFonts w:hint="eastAsia" w:asciiTheme="minorEastAsia" w:hAnsiTheme="minorEastAsia"/>
          <w:szCs w:val="21"/>
          <w:u w:val="single"/>
        </w:rPr>
        <w:t xml:space="preserve">  （姓名、职务） </w:t>
      </w:r>
      <w:r>
        <w:rPr>
          <w:rFonts w:hint="eastAsia" w:asciiTheme="minorEastAsia" w:hAnsiTheme="minorEastAsia"/>
          <w:szCs w:val="21"/>
        </w:rPr>
        <w:t>参加贵公司组织的</w:t>
      </w:r>
      <w:r>
        <w:rPr>
          <w:rFonts w:hint="eastAsia" w:asciiTheme="minorEastAsia" w:hAnsiTheme="minorEastAsia"/>
          <w:b/>
          <w:bCs/>
          <w:szCs w:val="21"/>
          <w:u w:val="single"/>
        </w:rPr>
        <w:t xml:space="preserve">  </w:t>
      </w:r>
      <w:r>
        <w:rPr>
          <w:rFonts w:hint="eastAsia" w:asciiTheme="minorEastAsia" w:hAnsiTheme="minorEastAsia"/>
          <w:szCs w:val="21"/>
          <w:u w:val="single"/>
        </w:rPr>
        <w:t xml:space="preserve">（招标项目名称、编号） </w:t>
      </w:r>
      <w:r>
        <w:rPr>
          <w:rFonts w:hint="eastAsia" w:asciiTheme="minorEastAsia" w:hAnsiTheme="minorEastAsia"/>
          <w:szCs w:val="21"/>
        </w:rPr>
        <w:t>招标活动，全权代表我单位处理投标的有关事宜。</w:t>
      </w:r>
    </w:p>
    <w:p w14:paraId="711B3BD5">
      <w:pPr>
        <w:spacing w:line="360" w:lineRule="auto"/>
        <w:ind w:firstLine="420" w:firstLineChars="200"/>
        <w:rPr>
          <w:rFonts w:asciiTheme="minorEastAsia" w:hAnsiTheme="minorEastAsia"/>
          <w:szCs w:val="21"/>
        </w:rPr>
      </w:pPr>
    </w:p>
    <w:p w14:paraId="7FF0A468">
      <w:pPr>
        <w:adjustRightInd w:val="0"/>
        <w:snapToGrid w:val="0"/>
        <w:spacing w:line="360" w:lineRule="auto"/>
        <w:ind w:firstLine="422" w:firstLineChars="200"/>
        <w:rPr>
          <w:rFonts w:asciiTheme="minorEastAsia" w:hAnsiTheme="minorEastAsia"/>
          <w:b/>
          <w:bCs/>
          <w:szCs w:val="21"/>
        </w:rPr>
      </w:pPr>
      <w:r>
        <w:rPr>
          <w:rFonts w:hint="eastAsia" w:asciiTheme="minorEastAsia" w:hAnsiTheme="minorEastAsia"/>
          <w:b/>
          <w:bCs/>
          <w:szCs w:val="21"/>
        </w:rPr>
        <w:t>附授权代表情况：</w:t>
      </w:r>
    </w:p>
    <w:p w14:paraId="7BE3FD32">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姓名：</w:t>
      </w:r>
      <w:r>
        <w:rPr>
          <w:rFonts w:hint="eastAsia" w:asciiTheme="minorEastAsia" w:hAnsiTheme="minorEastAsia"/>
          <w:b/>
          <w:bCs/>
          <w:szCs w:val="21"/>
        </w:rPr>
        <w:t xml:space="preserve">    </w:t>
      </w:r>
      <w:r>
        <w:rPr>
          <w:rFonts w:hint="eastAsia" w:asciiTheme="minorEastAsia" w:hAnsiTheme="minorEastAsia"/>
          <w:szCs w:val="21"/>
        </w:rPr>
        <w:t xml:space="preserve">            性别：</w:t>
      </w:r>
      <w:r>
        <w:rPr>
          <w:rFonts w:hint="eastAsia" w:asciiTheme="minorEastAsia" w:hAnsiTheme="minorEastAsia"/>
          <w:b/>
          <w:bCs/>
          <w:szCs w:val="21"/>
        </w:rPr>
        <w:t xml:space="preserve"> </w:t>
      </w:r>
    </w:p>
    <w:p w14:paraId="63BC99DE">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年龄：</w:t>
      </w:r>
      <w:r>
        <w:rPr>
          <w:rFonts w:hint="eastAsia" w:asciiTheme="minorEastAsia" w:hAnsiTheme="minorEastAsia"/>
          <w:b/>
          <w:bCs/>
          <w:szCs w:val="21"/>
        </w:rPr>
        <w:t xml:space="preserve"> </w:t>
      </w:r>
      <w:r>
        <w:rPr>
          <w:rFonts w:hint="eastAsia" w:asciiTheme="minorEastAsia" w:hAnsiTheme="minorEastAsia"/>
          <w:szCs w:val="21"/>
        </w:rPr>
        <w:t xml:space="preserve">            </w:t>
      </w:r>
    </w:p>
    <w:p w14:paraId="2C65DCF1">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职务：</w:t>
      </w:r>
    </w:p>
    <w:p w14:paraId="0E3ABFB2">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身份证号码：</w:t>
      </w:r>
    </w:p>
    <w:p w14:paraId="4156A433">
      <w:pPr>
        <w:adjustRightInd w:val="0"/>
        <w:snapToGrid w:val="0"/>
        <w:spacing w:line="360" w:lineRule="auto"/>
        <w:ind w:firstLine="420" w:firstLineChars="200"/>
        <w:rPr>
          <w:rFonts w:asciiTheme="minorEastAsia" w:hAnsiTheme="minorEastAsia"/>
          <w:b/>
          <w:bCs/>
          <w:szCs w:val="21"/>
        </w:rPr>
      </w:pPr>
      <w:r>
        <w:rPr>
          <w:rFonts w:hint="eastAsia" w:asciiTheme="minorEastAsia" w:hAnsiTheme="minorEastAsia"/>
          <w:szCs w:val="21"/>
        </w:rPr>
        <w:t>邮编：</w:t>
      </w:r>
      <w:r>
        <w:rPr>
          <w:rFonts w:hint="eastAsia" w:asciiTheme="minorEastAsia" w:hAnsiTheme="minorEastAsia"/>
          <w:b/>
          <w:bCs/>
          <w:szCs w:val="21"/>
        </w:rPr>
        <w:t xml:space="preserve"> </w:t>
      </w:r>
    </w:p>
    <w:p w14:paraId="7B9A4584">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通讯地址：</w:t>
      </w:r>
      <w:r>
        <w:rPr>
          <w:rFonts w:hint="eastAsia" w:asciiTheme="minorEastAsia" w:hAnsiTheme="minorEastAsia"/>
          <w:b/>
          <w:bCs/>
          <w:szCs w:val="21"/>
        </w:rPr>
        <w:t xml:space="preserve"> </w:t>
      </w:r>
    </w:p>
    <w:p w14:paraId="25D6D664">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 xml:space="preserve">电话： </w:t>
      </w:r>
    </w:p>
    <w:p w14:paraId="161CA1E2">
      <w:pPr>
        <w:spacing w:line="360" w:lineRule="auto"/>
        <w:ind w:firstLine="420" w:firstLineChars="200"/>
        <w:rPr>
          <w:rFonts w:asciiTheme="minorEastAsia" w:hAnsiTheme="minorEastAsia"/>
          <w:szCs w:val="21"/>
        </w:rPr>
      </w:pPr>
      <w:r>
        <w:rPr>
          <w:rFonts w:hint="eastAsia" w:asciiTheme="minorEastAsia" w:hAnsiTheme="minorEastAsia"/>
          <w:szCs w:val="21"/>
        </w:rPr>
        <w:t>单位名称：（公章）</w:t>
      </w:r>
    </w:p>
    <w:p w14:paraId="32A4833F">
      <w:pPr>
        <w:spacing w:line="360" w:lineRule="auto"/>
        <w:ind w:firstLine="420" w:firstLineChars="200"/>
        <w:rPr>
          <w:rFonts w:asciiTheme="minorEastAsia" w:hAnsiTheme="minorEastAsia"/>
          <w:szCs w:val="21"/>
        </w:rPr>
      </w:pPr>
    </w:p>
    <w:p w14:paraId="151488EF">
      <w:pPr>
        <w:spacing w:line="360" w:lineRule="auto"/>
        <w:ind w:firstLine="420" w:firstLineChars="200"/>
        <w:rPr>
          <w:rFonts w:asciiTheme="minorEastAsia" w:hAnsiTheme="minorEastAsia"/>
          <w:szCs w:val="21"/>
        </w:rPr>
      </w:pPr>
      <w:r>
        <w:rPr>
          <w:rFonts w:hint="eastAsia" w:asciiTheme="minorEastAsia" w:hAnsiTheme="minorEastAsia"/>
          <w:szCs w:val="21"/>
        </w:rPr>
        <w:t>法人代表：（签章）</w:t>
      </w:r>
    </w:p>
    <w:p w14:paraId="4781FE90">
      <w:pPr>
        <w:adjustRightInd w:val="0"/>
        <w:snapToGrid w:val="0"/>
        <w:spacing w:line="360" w:lineRule="auto"/>
        <w:ind w:firstLine="420" w:firstLineChars="200"/>
        <w:rPr>
          <w:rFonts w:asciiTheme="minorEastAsia" w:hAnsiTheme="minorEastAsia"/>
          <w:szCs w:val="21"/>
        </w:rPr>
      </w:pPr>
      <w:r>
        <w:rPr>
          <w:rFonts w:hint="eastAsia" w:asciiTheme="minorEastAsia" w:hAnsiTheme="minorEastAsia"/>
          <w:szCs w:val="21"/>
        </w:rPr>
        <w:t>年</w:t>
      </w:r>
      <w:r>
        <w:rPr>
          <w:rFonts w:hint="eastAsia" w:asciiTheme="minorEastAsia" w:hAnsiTheme="minorEastAsia"/>
          <w:b/>
          <w:bCs/>
          <w:szCs w:val="21"/>
        </w:rPr>
        <w:t xml:space="preserve">    </w:t>
      </w:r>
      <w:r>
        <w:rPr>
          <w:rFonts w:hint="eastAsia" w:asciiTheme="minorEastAsia" w:hAnsiTheme="minorEastAsia"/>
          <w:szCs w:val="21"/>
        </w:rPr>
        <w:t>月</w:t>
      </w:r>
      <w:r>
        <w:rPr>
          <w:rFonts w:hint="eastAsia" w:asciiTheme="minorEastAsia" w:hAnsiTheme="minorEastAsia"/>
          <w:b/>
          <w:bCs/>
          <w:szCs w:val="21"/>
        </w:rPr>
        <w:t xml:space="preserve">   </w:t>
      </w:r>
      <w:r>
        <w:rPr>
          <w:rFonts w:hint="eastAsia" w:asciiTheme="minorEastAsia" w:hAnsiTheme="minorEastAsia"/>
          <w:szCs w:val="21"/>
        </w:rPr>
        <w:t>日</w:t>
      </w:r>
    </w:p>
    <w:p w14:paraId="09B7B204">
      <w:pPr>
        <w:spacing w:line="360" w:lineRule="auto"/>
        <w:ind w:firstLine="420" w:firstLineChars="200"/>
        <w:rPr>
          <w:rFonts w:asciiTheme="minorEastAsia" w:hAnsiTheme="minorEastAsia"/>
          <w:szCs w:val="21"/>
        </w:rPr>
      </w:pPr>
      <w:bookmarkStart w:id="159" w:name="_Toc226217114"/>
      <w:r>
        <mc:AlternateContent>
          <mc:Choice Requires="wps">
            <w:drawing>
              <wp:anchor distT="0" distB="0" distL="114300" distR="114300" simplePos="0" relativeHeight="251662336" behindDoc="0" locked="0" layoutInCell="1" allowOverlap="1">
                <wp:simplePos x="0" y="0"/>
                <wp:positionH relativeFrom="column">
                  <wp:posOffset>3173730</wp:posOffset>
                </wp:positionH>
                <wp:positionV relativeFrom="paragraph">
                  <wp:posOffset>34290</wp:posOffset>
                </wp:positionV>
                <wp:extent cx="2533650" cy="1722755"/>
                <wp:effectExtent l="4445" t="4445" r="14605" b="12700"/>
                <wp:wrapNone/>
                <wp:docPr id="66" name="矩形 66"/>
                <wp:cNvGraphicFramePr/>
                <a:graphic xmlns:a="http://schemas.openxmlformats.org/drawingml/2006/main">
                  <a:graphicData uri="http://schemas.microsoft.com/office/word/2010/wordprocessingShape">
                    <wps:wsp>
                      <wps:cNvSpPr>
                        <a:spLocks noChangeArrowheads="1"/>
                      </wps:cNvSpPr>
                      <wps:spPr bwMode="auto">
                        <a:xfrm>
                          <a:off x="0" y="0"/>
                          <a:ext cx="2533650" cy="1722755"/>
                        </a:xfrm>
                        <a:prstGeom prst="rect">
                          <a:avLst/>
                        </a:prstGeom>
                        <a:solidFill>
                          <a:srgbClr val="FFFFFF"/>
                        </a:solidFill>
                        <a:ln w="9525">
                          <a:solidFill>
                            <a:srgbClr val="000000"/>
                          </a:solidFill>
                          <a:miter lim="800000"/>
                        </a:ln>
                        <a:effectLst/>
                      </wps:spPr>
                      <wps:txbx>
                        <w:txbxContent>
                          <w:p w14:paraId="630CF2DB">
                            <w:pPr>
                              <w:spacing w:line="360" w:lineRule="auto"/>
                              <w:jc w:val="center"/>
                            </w:pPr>
                          </w:p>
                          <w:p w14:paraId="145A1CD9">
                            <w:pPr>
                              <w:spacing w:line="360" w:lineRule="auto"/>
                              <w:jc w:val="center"/>
                            </w:pPr>
                            <w:r>
                              <w:rPr>
                                <w:rFonts w:hint="eastAsia"/>
                              </w:rPr>
                              <w:t>被授权人（授权代表）</w:t>
                            </w:r>
                          </w:p>
                          <w:p w14:paraId="599788CF">
                            <w:pPr>
                              <w:spacing w:line="360" w:lineRule="auto"/>
                              <w:jc w:val="center"/>
                            </w:pPr>
                            <w:r>
                              <w:rPr>
                                <w:rFonts w:hint="eastAsia"/>
                              </w:rPr>
                              <w:t>居民身份证复印件粘贴处</w:t>
                            </w:r>
                          </w:p>
                          <w:p w14:paraId="59D1D6EE">
                            <w:pPr>
                              <w:spacing w:line="360" w:lineRule="auto"/>
                              <w:jc w:val="center"/>
                            </w:pPr>
                            <w:r>
                              <w:rPr>
                                <w:rFonts w:hint="eastAsia"/>
                              </w:rPr>
                              <w:t>（反面）</w:t>
                            </w:r>
                          </w:p>
                          <w:p w14:paraId="6683062A"/>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9.9pt;margin-top:2.7pt;height:135.65pt;width:199.5pt;z-index:251662336;mso-width-relative:page;mso-height-relative:page;" fillcolor="#FFFFFF" filled="t" stroked="t" coordsize="21600,21600" o:gfxdata="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lt+MtgAAAAJAQAADwAAAAAAAAABACAAAAAiAAAA&#10;ZHJzL2Rvd25yZXYueG1sUEsBAhQAFAAAAAgAh07iQEO4LOxAAgAAiwQAAA4AAAAAAAAAAQAgAAAA&#10;JwEAAGRycy9lMm9Eb2MueG1sUEsFBgAAAAAGAAYAWQEAANkFAAAAAA==&#10;">
                <v:fill on="t" focussize="0,0"/>
                <v:stroke color="#000000" miterlimit="8" joinstyle="miter"/>
                <v:imagedata o:title=""/>
                <o:lock v:ext="edit" aspectratio="f"/>
                <v:textbox>
                  <w:txbxContent>
                    <w:p w14:paraId="630CF2DB">
                      <w:pPr>
                        <w:spacing w:line="360" w:lineRule="auto"/>
                        <w:jc w:val="center"/>
                      </w:pPr>
                    </w:p>
                    <w:p w14:paraId="145A1CD9">
                      <w:pPr>
                        <w:spacing w:line="360" w:lineRule="auto"/>
                        <w:jc w:val="center"/>
                      </w:pPr>
                      <w:r>
                        <w:rPr>
                          <w:rFonts w:hint="eastAsia"/>
                        </w:rPr>
                        <w:t>被授权人（授权代表）</w:t>
                      </w:r>
                    </w:p>
                    <w:p w14:paraId="599788CF">
                      <w:pPr>
                        <w:spacing w:line="360" w:lineRule="auto"/>
                        <w:jc w:val="center"/>
                      </w:pPr>
                      <w:r>
                        <w:rPr>
                          <w:rFonts w:hint="eastAsia"/>
                        </w:rPr>
                        <w:t>居民身份证复印件粘贴处</w:t>
                      </w:r>
                    </w:p>
                    <w:p w14:paraId="59D1D6EE">
                      <w:pPr>
                        <w:spacing w:line="360" w:lineRule="auto"/>
                        <w:jc w:val="center"/>
                      </w:pPr>
                      <w:r>
                        <w:rPr>
                          <w:rFonts w:hint="eastAsia"/>
                        </w:rPr>
                        <w:t>（反面）</w:t>
                      </w:r>
                    </w:p>
                    <w:p w14:paraId="6683062A"/>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316230</wp:posOffset>
                </wp:positionH>
                <wp:positionV relativeFrom="paragraph">
                  <wp:posOffset>24765</wp:posOffset>
                </wp:positionV>
                <wp:extent cx="2619375" cy="1722755"/>
                <wp:effectExtent l="4445" t="4445" r="5080" b="12700"/>
                <wp:wrapNone/>
                <wp:docPr id="67" name="矩形 67"/>
                <wp:cNvGraphicFramePr/>
                <a:graphic xmlns:a="http://schemas.openxmlformats.org/drawingml/2006/main">
                  <a:graphicData uri="http://schemas.microsoft.com/office/word/2010/wordprocessingShape">
                    <wps:wsp>
                      <wps:cNvSpPr>
                        <a:spLocks noChangeArrowheads="1"/>
                      </wps:cNvSpPr>
                      <wps:spPr bwMode="auto">
                        <a:xfrm>
                          <a:off x="0" y="0"/>
                          <a:ext cx="2619375" cy="1722755"/>
                        </a:xfrm>
                        <a:prstGeom prst="rect">
                          <a:avLst/>
                        </a:prstGeom>
                        <a:solidFill>
                          <a:srgbClr val="FFFFFF"/>
                        </a:solidFill>
                        <a:ln w="9525">
                          <a:solidFill>
                            <a:srgbClr val="000000"/>
                          </a:solidFill>
                          <a:miter lim="800000"/>
                        </a:ln>
                        <a:effectLst/>
                      </wps:spPr>
                      <wps:txbx>
                        <w:txbxContent>
                          <w:p w14:paraId="7883A9AF">
                            <w:pPr>
                              <w:spacing w:line="360" w:lineRule="auto"/>
                              <w:ind w:firstLine="1260" w:firstLineChars="600"/>
                            </w:pPr>
                          </w:p>
                          <w:p w14:paraId="17174E24">
                            <w:pPr>
                              <w:spacing w:line="360" w:lineRule="auto"/>
                              <w:ind w:firstLine="1260" w:firstLineChars="600"/>
                            </w:pPr>
                            <w:r>
                              <w:rPr>
                                <w:rFonts w:hint="eastAsia"/>
                              </w:rPr>
                              <w:t>被授权人（授权代表）</w:t>
                            </w:r>
                          </w:p>
                          <w:p w14:paraId="1510D035">
                            <w:pPr>
                              <w:spacing w:line="360" w:lineRule="auto"/>
                              <w:ind w:firstLine="1050" w:firstLineChars="500"/>
                            </w:pPr>
                            <w:r>
                              <w:rPr>
                                <w:rFonts w:hint="eastAsia"/>
                              </w:rPr>
                              <w:t>居民身份证复印件粘贴处</w:t>
                            </w:r>
                          </w:p>
                          <w:p w14:paraId="71E38DE7">
                            <w:pPr>
                              <w:spacing w:line="360" w:lineRule="auto"/>
                              <w:jc w:val="center"/>
                            </w:pPr>
                            <w:r>
                              <w:rPr>
                                <w:rFonts w:hint="eastAsia"/>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9pt;margin-top:1.95pt;height:135.65pt;width:206.25pt;z-index:251661312;mso-width-relative:page;mso-height-relative:page;" fillcolor="#FFFFFF" filled="t" stroked="t" coordsize="21600,21600" o:gfxdata="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&#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EwBOW1wAAAAgBAAAPAAAAAAAAAAEAIAAAACIAAABk&#10;cnMvZG93bnJldi54bWxQSwECFAAUAAAACACHTuJA5/W1tUACAACLBAAADgAAAAAAAAABACAAAAAm&#10;AQAAZHJzL2Uyb0RvYy54bWxQSwUGAAAAAAYABgBZAQAA2AUAAAAA&#10;">
                <v:fill on="t" focussize="0,0"/>
                <v:stroke color="#000000" miterlimit="8" joinstyle="miter"/>
                <v:imagedata o:title=""/>
                <o:lock v:ext="edit" aspectratio="f"/>
                <v:textbox>
                  <w:txbxContent>
                    <w:p w14:paraId="7883A9AF">
                      <w:pPr>
                        <w:spacing w:line="360" w:lineRule="auto"/>
                        <w:ind w:firstLine="1260" w:firstLineChars="600"/>
                      </w:pPr>
                    </w:p>
                    <w:p w14:paraId="17174E24">
                      <w:pPr>
                        <w:spacing w:line="360" w:lineRule="auto"/>
                        <w:ind w:firstLine="1260" w:firstLineChars="600"/>
                      </w:pPr>
                      <w:r>
                        <w:rPr>
                          <w:rFonts w:hint="eastAsia"/>
                        </w:rPr>
                        <w:t>被授权人（授权代表）</w:t>
                      </w:r>
                    </w:p>
                    <w:p w14:paraId="1510D035">
                      <w:pPr>
                        <w:spacing w:line="360" w:lineRule="auto"/>
                        <w:ind w:firstLine="1050" w:firstLineChars="500"/>
                      </w:pPr>
                      <w:r>
                        <w:rPr>
                          <w:rFonts w:hint="eastAsia"/>
                        </w:rPr>
                        <w:t>居民身份证复印件粘贴处</w:t>
                      </w:r>
                    </w:p>
                    <w:p w14:paraId="71E38DE7">
                      <w:pPr>
                        <w:spacing w:line="360" w:lineRule="auto"/>
                        <w:jc w:val="center"/>
                      </w:pPr>
                      <w:r>
                        <w:rPr>
                          <w:rFonts w:hint="eastAsia"/>
                        </w:rPr>
                        <w:t>（正面）</w:t>
                      </w:r>
                    </w:p>
                  </w:txbxContent>
                </v:textbox>
              </v:rect>
            </w:pict>
          </mc:Fallback>
        </mc:AlternateContent>
      </w:r>
      <w:bookmarkEnd w:id="159"/>
    </w:p>
    <w:p w14:paraId="37BA76F4">
      <w:pPr>
        <w:spacing w:line="360" w:lineRule="auto"/>
        <w:ind w:firstLine="420" w:firstLineChars="200"/>
        <w:rPr>
          <w:rFonts w:asciiTheme="minorEastAsia" w:hAnsiTheme="minorEastAsia"/>
          <w:szCs w:val="21"/>
        </w:rPr>
      </w:pPr>
    </w:p>
    <w:p w14:paraId="5A6A6B2E">
      <w:pPr>
        <w:spacing w:line="360" w:lineRule="auto"/>
        <w:ind w:firstLine="420" w:firstLineChars="200"/>
        <w:rPr>
          <w:rFonts w:asciiTheme="minorEastAsia" w:hAnsiTheme="minorEastAsia"/>
          <w:szCs w:val="21"/>
        </w:rPr>
      </w:pPr>
    </w:p>
    <w:p w14:paraId="44F735B9">
      <w:pPr>
        <w:spacing w:line="360" w:lineRule="auto"/>
        <w:ind w:firstLine="420" w:firstLineChars="200"/>
        <w:rPr>
          <w:rFonts w:asciiTheme="minorEastAsia" w:hAnsiTheme="minorEastAsia"/>
          <w:szCs w:val="21"/>
        </w:rPr>
      </w:pPr>
    </w:p>
    <w:p w14:paraId="344532D8">
      <w:pPr>
        <w:spacing w:line="360" w:lineRule="auto"/>
        <w:ind w:firstLine="420" w:firstLineChars="200"/>
        <w:rPr>
          <w:rFonts w:asciiTheme="minorEastAsia" w:hAnsiTheme="minorEastAsia"/>
          <w:szCs w:val="21"/>
        </w:rPr>
      </w:pPr>
    </w:p>
    <w:p w14:paraId="743685AA">
      <w:pPr>
        <w:tabs>
          <w:tab w:val="left" w:pos="5115"/>
        </w:tabs>
        <w:spacing w:line="360" w:lineRule="auto"/>
        <w:ind w:firstLine="420" w:firstLineChars="200"/>
        <w:rPr>
          <w:rFonts w:asciiTheme="minorEastAsia" w:hAnsiTheme="minorEastAsia"/>
          <w:szCs w:val="21"/>
        </w:rPr>
      </w:pPr>
      <w:r>
        <w:rPr>
          <w:rFonts w:asciiTheme="minorEastAsia" w:hAnsiTheme="minorEastAsia"/>
          <w:szCs w:val="21"/>
        </w:rPr>
        <w:tab/>
      </w:r>
    </w:p>
    <w:p w14:paraId="71FF2D32">
      <w:pPr>
        <w:spacing w:line="360" w:lineRule="auto"/>
        <w:ind w:firstLine="420" w:firstLineChars="200"/>
        <w:rPr>
          <w:rFonts w:asciiTheme="minorEastAsia" w:hAnsiTheme="minorEastAsia"/>
          <w:szCs w:val="21"/>
        </w:rPr>
      </w:pPr>
    </w:p>
    <w:p w14:paraId="023ECFD3">
      <w:pPr>
        <w:adjustRightInd w:val="0"/>
        <w:snapToGrid w:val="0"/>
        <w:spacing w:line="360" w:lineRule="auto"/>
        <w:ind w:firstLine="422" w:firstLineChars="200"/>
        <w:rPr>
          <w:rFonts w:asciiTheme="minorEastAsia" w:hAnsiTheme="minorEastAsia"/>
          <w:b/>
          <w:snapToGrid w:val="0"/>
          <w:kern w:val="0"/>
          <w:szCs w:val="21"/>
        </w:rPr>
      </w:pPr>
    </w:p>
    <w:p w14:paraId="0733D805">
      <w:pPr>
        <w:spacing w:line="360" w:lineRule="auto"/>
        <w:ind w:firstLine="422" w:firstLineChars="200"/>
        <w:rPr>
          <w:rFonts w:asciiTheme="minorEastAsia" w:hAnsiTheme="minorEastAsia"/>
          <w:b/>
          <w:szCs w:val="21"/>
        </w:rPr>
      </w:pPr>
    </w:p>
    <w:p w14:paraId="2F9EFE1B">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0" w:name="_Toc6706"/>
      <w:r>
        <w:rPr>
          <w:rFonts w:hint="eastAsia" w:asciiTheme="minorEastAsia" w:hAnsiTheme="minorEastAsia"/>
          <w:szCs w:val="21"/>
        </w:rPr>
        <w:t>附件</w:t>
      </w:r>
      <w:r>
        <w:rPr>
          <w:rFonts w:asciiTheme="minorEastAsia" w:hAnsiTheme="minorEastAsia"/>
          <w:szCs w:val="21"/>
        </w:rPr>
        <w:t>6</w:t>
      </w:r>
      <w:r>
        <w:rPr>
          <w:rFonts w:hint="eastAsia" w:asciiTheme="minorEastAsia" w:hAnsiTheme="minorEastAsia"/>
          <w:szCs w:val="21"/>
        </w:rPr>
        <w:t>：开标一览表格式</w:t>
      </w:r>
      <w:bookmarkEnd w:id="160"/>
    </w:p>
    <w:p w14:paraId="176A3CAA">
      <w:pPr>
        <w:keepNext/>
        <w:keepLines/>
        <w:spacing w:before="160" w:after="170"/>
        <w:ind w:firstLine="602" w:firstLineChars="200"/>
        <w:jc w:val="center"/>
        <w:outlineLvl w:val="4"/>
        <w:rPr>
          <w:b/>
          <w:bCs/>
          <w:sz w:val="30"/>
          <w:szCs w:val="28"/>
        </w:rPr>
      </w:pPr>
      <w:bookmarkStart w:id="161" w:name="_Toc55548541"/>
      <w:r>
        <w:rPr>
          <w:rFonts w:hint="eastAsia"/>
          <w:b/>
          <w:bCs/>
          <w:sz w:val="30"/>
          <w:szCs w:val="28"/>
        </w:rPr>
        <w:t>开标一览表</w:t>
      </w:r>
      <w:bookmarkEnd w:id="161"/>
    </w:p>
    <w:p w14:paraId="139DDC09">
      <w:pPr>
        <w:spacing w:line="360" w:lineRule="auto"/>
        <w:ind w:firstLine="420" w:firstLineChars="200"/>
        <w:rPr>
          <w:rFonts w:asciiTheme="minorEastAsia" w:hAnsiTheme="minorEastAsia"/>
          <w:szCs w:val="21"/>
        </w:rPr>
      </w:pPr>
      <w:r>
        <w:rPr>
          <w:rFonts w:hint="eastAsia" w:asciiTheme="minorEastAsia" w:hAnsiTheme="minorEastAsia"/>
          <w:szCs w:val="21"/>
        </w:rPr>
        <w:t>项目名称：</w:t>
      </w:r>
      <w:r>
        <w:rPr>
          <w:rFonts w:hint="eastAsia" w:asciiTheme="minorEastAsia" w:hAnsiTheme="minorEastAsia"/>
          <w:szCs w:val="21"/>
          <w:u w:val="single"/>
        </w:rPr>
        <w:t xml:space="preserve">                          </w:t>
      </w:r>
      <w:r>
        <w:rPr>
          <w:rFonts w:hint="eastAsia" w:asciiTheme="minorEastAsia" w:hAnsiTheme="minorEastAsia"/>
          <w:szCs w:val="21"/>
        </w:rPr>
        <w:t xml:space="preserve"> </w:t>
      </w:r>
    </w:p>
    <w:p w14:paraId="583A9168">
      <w:pPr>
        <w:spacing w:line="360" w:lineRule="auto"/>
        <w:ind w:firstLine="420" w:firstLineChars="200"/>
        <w:rPr>
          <w:rFonts w:asciiTheme="minorEastAsia" w:hAnsiTheme="minorEastAsia"/>
          <w:szCs w:val="21"/>
        </w:rPr>
      </w:pPr>
      <w:r>
        <w:rPr>
          <w:rFonts w:hint="eastAsia" w:asciiTheme="minorEastAsia" w:hAnsiTheme="minorEastAsia"/>
          <w:szCs w:val="21"/>
        </w:rPr>
        <w:t>项目编号：</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u w:val="single"/>
        </w:rPr>
        <w:t xml:space="preserve">         </w:t>
      </w:r>
      <w:r>
        <w:rPr>
          <w:rFonts w:hint="eastAsia" w:asciiTheme="minorEastAsia" w:hAnsiTheme="minorEastAsia"/>
          <w:szCs w:val="21"/>
        </w:rPr>
        <w:t xml:space="preserve"> </w:t>
      </w:r>
    </w:p>
    <w:tbl>
      <w:tblPr>
        <w:tblStyle w:val="15"/>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8"/>
        <w:gridCol w:w="2562"/>
        <w:gridCol w:w="2694"/>
        <w:gridCol w:w="1493"/>
      </w:tblGrid>
      <w:tr w14:paraId="2D5B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7" w:hRule="atLeast"/>
          <w:jc w:val="center"/>
        </w:trPr>
        <w:tc>
          <w:tcPr>
            <w:tcW w:w="2888" w:type="dxa"/>
            <w:vAlign w:val="bottom"/>
          </w:tcPr>
          <w:p w14:paraId="6D7B728A">
            <w:pPr>
              <w:spacing w:line="360" w:lineRule="auto"/>
              <w:ind w:firstLine="420" w:firstLineChars="200"/>
              <w:rPr>
                <w:rFonts w:asciiTheme="minorEastAsia" w:hAnsiTheme="minorEastAsia"/>
                <w:szCs w:val="21"/>
              </w:rPr>
            </w:pPr>
            <w:r>
              <w:rPr>
                <w:rFonts w:hint="eastAsia" w:asciiTheme="minorEastAsia" w:hAnsiTheme="minorEastAsia"/>
                <w:szCs w:val="21"/>
              </w:rPr>
              <w:t>项目名称/包号</w:t>
            </w:r>
          </w:p>
        </w:tc>
        <w:tc>
          <w:tcPr>
            <w:tcW w:w="2562" w:type="dxa"/>
            <w:vAlign w:val="bottom"/>
          </w:tcPr>
          <w:p w14:paraId="26ECDF64">
            <w:pPr>
              <w:spacing w:line="360" w:lineRule="auto"/>
              <w:ind w:firstLine="420" w:firstLineChars="200"/>
              <w:rPr>
                <w:rFonts w:asciiTheme="minorEastAsia" w:hAnsiTheme="minorEastAsia"/>
                <w:szCs w:val="21"/>
              </w:rPr>
            </w:pPr>
            <w:r>
              <w:rPr>
                <w:rFonts w:hint="eastAsia" w:asciiTheme="minorEastAsia" w:hAnsiTheme="minorEastAsia"/>
                <w:szCs w:val="21"/>
              </w:rPr>
              <w:t>投标总价</w:t>
            </w:r>
          </w:p>
          <w:p w14:paraId="54B501C6">
            <w:pPr>
              <w:spacing w:line="360" w:lineRule="auto"/>
              <w:ind w:firstLine="420" w:firstLineChars="200"/>
              <w:rPr>
                <w:rFonts w:asciiTheme="minorEastAsia" w:hAnsiTheme="minorEastAsia"/>
                <w:szCs w:val="21"/>
              </w:rPr>
            </w:pPr>
            <w:r>
              <w:rPr>
                <w:rFonts w:hint="eastAsia" w:asciiTheme="minorEastAsia" w:hAnsiTheme="minorEastAsia"/>
                <w:szCs w:val="21"/>
              </w:rPr>
              <w:t>（人民币元）</w:t>
            </w:r>
          </w:p>
        </w:tc>
        <w:tc>
          <w:tcPr>
            <w:tcW w:w="2694" w:type="dxa"/>
            <w:vAlign w:val="bottom"/>
          </w:tcPr>
          <w:p w14:paraId="00354F98">
            <w:pPr>
              <w:spacing w:line="360" w:lineRule="auto"/>
              <w:ind w:firstLine="420" w:firstLineChars="200"/>
              <w:rPr>
                <w:rFonts w:asciiTheme="minorEastAsia" w:hAnsiTheme="minorEastAsia"/>
                <w:szCs w:val="21"/>
              </w:rPr>
            </w:pPr>
            <w:r>
              <w:rPr>
                <w:rFonts w:hint="eastAsia" w:asciiTheme="minorEastAsia" w:hAnsiTheme="minorEastAsia"/>
                <w:szCs w:val="21"/>
              </w:rPr>
              <w:t>交货期/服务期</w:t>
            </w:r>
          </w:p>
        </w:tc>
        <w:tc>
          <w:tcPr>
            <w:tcW w:w="1493" w:type="dxa"/>
            <w:vAlign w:val="bottom"/>
          </w:tcPr>
          <w:p w14:paraId="1276C85C">
            <w:pPr>
              <w:spacing w:line="360" w:lineRule="auto"/>
              <w:ind w:firstLine="420" w:firstLineChars="200"/>
              <w:rPr>
                <w:rFonts w:asciiTheme="minorEastAsia" w:hAnsiTheme="minorEastAsia"/>
                <w:szCs w:val="21"/>
              </w:rPr>
            </w:pPr>
            <w:r>
              <w:rPr>
                <w:rFonts w:hint="eastAsia" w:asciiTheme="minorEastAsia" w:hAnsiTheme="minorEastAsia"/>
                <w:szCs w:val="21"/>
              </w:rPr>
              <w:t>备注</w:t>
            </w:r>
          </w:p>
        </w:tc>
      </w:tr>
      <w:tr w14:paraId="2562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9" w:hRule="atLeast"/>
          <w:jc w:val="center"/>
        </w:trPr>
        <w:tc>
          <w:tcPr>
            <w:tcW w:w="2888" w:type="dxa"/>
          </w:tcPr>
          <w:p w14:paraId="5090566E">
            <w:pPr>
              <w:spacing w:line="360" w:lineRule="auto"/>
              <w:ind w:firstLine="420" w:firstLineChars="200"/>
              <w:rPr>
                <w:rFonts w:asciiTheme="minorEastAsia" w:hAnsiTheme="minorEastAsia"/>
                <w:szCs w:val="21"/>
              </w:rPr>
            </w:pPr>
          </w:p>
        </w:tc>
        <w:tc>
          <w:tcPr>
            <w:tcW w:w="2562" w:type="dxa"/>
          </w:tcPr>
          <w:p w14:paraId="084D6C9F">
            <w:pPr>
              <w:spacing w:line="360" w:lineRule="auto"/>
              <w:ind w:firstLine="420" w:firstLineChars="200"/>
              <w:rPr>
                <w:rFonts w:asciiTheme="minorEastAsia" w:hAnsiTheme="minorEastAsia"/>
                <w:szCs w:val="21"/>
              </w:rPr>
            </w:pPr>
          </w:p>
          <w:p w14:paraId="18CAD2BA">
            <w:pPr>
              <w:spacing w:line="360" w:lineRule="auto"/>
              <w:ind w:firstLine="420" w:firstLineChars="200"/>
              <w:rPr>
                <w:rFonts w:asciiTheme="minorEastAsia" w:hAnsiTheme="minorEastAsia"/>
                <w:szCs w:val="21"/>
              </w:rPr>
            </w:pPr>
            <w:r>
              <w:rPr>
                <w:rFonts w:hint="eastAsia" w:asciiTheme="minorEastAsia" w:hAnsiTheme="minorEastAsia"/>
                <w:szCs w:val="21"/>
              </w:rPr>
              <w:t>大写：</w:t>
            </w:r>
            <w:r>
              <w:rPr>
                <w:rFonts w:hint="eastAsia" w:asciiTheme="minorEastAsia" w:hAnsiTheme="minorEastAsia"/>
                <w:szCs w:val="21"/>
                <w:u w:val="single"/>
              </w:rPr>
              <w:t xml:space="preserve">        </w:t>
            </w:r>
          </w:p>
          <w:p w14:paraId="34F0C95E">
            <w:pPr>
              <w:spacing w:line="360" w:lineRule="auto"/>
              <w:ind w:firstLine="420" w:firstLineChars="200"/>
              <w:rPr>
                <w:rFonts w:asciiTheme="minorEastAsia" w:hAnsiTheme="minorEastAsia"/>
                <w:szCs w:val="21"/>
              </w:rPr>
            </w:pPr>
            <w:r>
              <w:rPr>
                <w:rFonts w:hint="eastAsia" w:asciiTheme="minorEastAsia" w:hAnsiTheme="minorEastAsia"/>
                <w:szCs w:val="21"/>
              </w:rPr>
              <w:t>小写：</w:t>
            </w:r>
            <w:r>
              <w:rPr>
                <w:rFonts w:hint="eastAsia" w:asciiTheme="minorEastAsia" w:hAnsiTheme="minorEastAsia"/>
                <w:szCs w:val="21"/>
                <w:u w:val="single"/>
              </w:rPr>
              <w:t xml:space="preserve">        </w:t>
            </w:r>
          </w:p>
        </w:tc>
        <w:tc>
          <w:tcPr>
            <w:tcW w:w="2694" w:type="dxa"/>
          </w:tcPr>
          <w:p w14:paraId="26E6B6AC">
            <w:pPr>
              <w:spacing w:line="360" w:lineRule="auto"/>
              <w:ind w:firstLine="420" w:firstLineChars="200"/>
              <w:rPr>
                <w:rFonts w:asciiTheme="minorEastAsia" w:hAnsiTheme="minorEastAsia"/>
                <w:szCs w:val="21"/>
              </w:rPr>
            </w:pPr>
          </w:p>
        </w:tc>
        <w:tc>
          <w:tcPr>
            <w:tcW w:w="1493" w:type="dxa"/>
          </w:tcPr>
          <w:p w14:paraId="5C8299A2">
            <w:pPr>
              <w:spacing w:line="360" w:lineRule="auto"/>
              <w:ind w:firstLine="420" w:firstLineChars="200"/>
              <w:rPr>
                <w:rFonts w:asciiTheme="minorEastAsia" w:hAnsiTheme="minorEastAsia"/>
                <w:szCs w:val="21"/>
              </w:rPr>
            </w:pPr>
          </w:p>
        </w:tc>
      </w:tr>
    </w:tbl>
    <w:p w14:paraId="2E99F3BC">
      <w:pPr>
        <w:spacing w:line="360" w:lineRule="auto"/>
        <w:ind w:firstLine="420" w:firstLineChars="200"/>
        <w:rPr>
          <w:rFonts w:asciiTheme="minorEastAsia" w:hAnsiTheme="minorEastAsia"/>
          <w:szCs w:val="21"/>
        </w:rPr>
      </w:pPr>
    </w:p>
    <w:p w14:paraId="19804AFA">
      <w:pPr>
        <w:spacing w:line="360" w:lineRule="auto"/>
        <w:ind w:firstLine="420" w:firstLineChars="200"/>
        <w:rPr>
          <w:rFonts w:asciiTheme="minorEastAsia" w:hAnsiTheme="minorEastAsia"/>
          <w:szCs w:val="21"/>
        </w:rPr>
      </w:pPr>
    </w:p>
    <w:p w14:paraId="1764C1A3">
      <w:pPr>
        <w:spacing w:line="360" w:lineRule="auto"/>
        <w:ind w:firstLine="420" w:firstLineChars="200"/>
        <w:rPr>
          <w:rFonts w:asciiTheme="minorEastAsia" w:hAnsiTheme="minorEastAsia"/>
          <w:szCs w:val="21"/>
        </w:rPr>
      </w:pPr>
      <w:r>
        <w:rPr>
          <w:rFonts w:hint="eastAsia" w:asciiTheme="minorEastAsia" w:hAnsiTheme="minorEastAsia"/>
          <w:szCs w:val="21"/>
        </w:rPr>
        <w:t>投标供应商：</w:t>
      </w:r>
    </w:p>
    <w:p w14:paraId="3FE40C47">
      <w:pPr>
        <w:spacing w:line="360" w:lineRule="auto"/>
        <w:ind w:firstLine="420" w:firstLineChars="200"/>
        <w:rPr>
          <w:rFonts w:asciiTheme="minorEastAsia" w:hAnsiTheme="minorEastAsia"/>
          <w:szCs w:val="21"/>
        </w:rPr>
      </w:pPr>
      <w:r>
        <w:rPr>
          <w:rFonts w:hint="eastAsia" w:asciiTheme="minorEastAsia" w:hAnsiTheme="minorEastAsia"/>
          <w:szCs w:val="21"/>
        </w:rPr>
        <w:t>法人</w:t>
      </w:r>
      <w:r>
        <w:rPr>
          <w:rFonts w:asciiTheme="minorEastAsia" w:hAnsiTheme="minorEastAsia"/>
          <w:szCs w:val="21"/>
        </w:rPr>
        <w:t>或</w:t>
      </w:r>
      <w:r>
        <w:rPr>
          <w:rFonts w:hint="eastAsia" w:asciiTheme="minorEastAsia" w:hAnsiTheme="minorEastAsia"/>
          <w:szCs w:val="21"/>
        </w:rPr>
        <w:t>授权</w:t>
      </w:r>
      <w:r>
        <w:rPr>
          <w:rFonts w:asciiTheme="minorEastAsia" w:hAnsiTheme="minorEastAsia"/>
          <w:szCs w:val="21"/>
        </w:rPr>
        <w:t>代表：</w:t>
      </w:r>
    </w:p>
    <w:p w14:paraId="480FACD2">
      <w:pPr>
        <w:spacing w:line="360" w:lineRule="auto"/>
        <w:ind w:firstLine="420" w:firstLineChars="200"/>
        <w:rPr>
          <w:rFonts w:asciiTheme="minorEastAsia" w:hAnsiTheme="minorEastAsia"/>
          <w:szCs w:val="21"/>
        </w:rPr>
      </w:pPr>
      <w:r>
        <w:rPr>
          <w:rFonts w:hint="eastAsia" w:asciiTheme="minorEastAsia" w:hAnsiTheme="minorEastAsia"/>
          <w:szCs w:val="21"/>
        </w:rPr>
        <w:t>日期</w:t>
      </w:r>
      <w:r>
        <w:rPr>
          <w:rFonts w:asciiTheme="minorEastAsia" w:hAnsiTheme="minorEastAsia"/>
          <w:szCs w:val="21"/>
        </w:rPr>
        <w:t>：</w:t>
      </w:r>
    </w:p>
    <w:p w14:paraId="0AC5D383">
      <w:pPr>
        <w:spacing w:line="360" w:lineRule="auto"/>
        <w:ind w:firstLine="420" w:firstLineChars="200"/>
        <w:rPr>
          <w:rFonts w:asciiTheme="minorEastAsia" w:hAnsiTheme="minorEastAsia"/>
          <w:szCs w:val="21"/>
        </w:rPr>
      </w:pPr>
    </w:p>
    <w:p w14:paraId="40A496DF">
      <w:pPr>
        <w:spacing w:line="360" w:lineRule="auto"/>
        <w:ind w:firstLine="420" w:firstLineChars="200"/>
        <w:rPr>
          <w:rFonts w:asciiTheme="minorEastAsia" w:hAnsiTheme="minorEastAsia"/>
          <w:szCs w:val="21"/>
        </w:rPr>
      </w:pPr>
    </w:p>
    <w:p w14:paraId="683460A0">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77BA7092">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、本招标文件中所称“交货期/服务期”指所有货物运抵现场安装调试完毕后交付用户验收和</w:t>
      </w:r>
      <w:r>
        <w:rPr>
          <w:rFonts w:asciiTheme="minorEastAsia" w:hAnsiTheme="minorEastAsia"/>
          <w:szCs w:val="21"/>
        </w:rPr>
        <w:t>服务过程</w:t>
      </w:r>
      <w:r>
        <w:rPr>
          <w:rFonts w:hint="eastAsia" w:asciiTheme="minorEastAsia" w:hAnsiTheme="minorEastAsia"/>
          <w:szCs w:val="21"/>
        </w:rPr>
        <w:t>的日期。</w:t>
      </w:r>
    </w:p>
    <w:p w14:paraId="606BA892">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、依据《评标委员会和评标方法暂行规定》第25条规定，“投标文件载明的招标项目完成期限超过招标文件规定的期限”的（即交货期或完工期超过招标文件要求期限），投标文件将作投标无效处理。</w:t>
      </w:r>
    </w:p>
    <w:p w14:paraId="4F727A34">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62" w:name="_Toc16795"/>
      <w:r>
        <w:rPr>
          <w:rFonts w:hint="eastAsia" w:asciiTheme="minorEastAsia" w:hAnsiTheme="minorEastAsia"/>
          <w:szCs w:val="21"/>
        </w:rPr>
        <w:t>附件</w:t>
      </w:r>
      <w:r>
        <w:rPr>
          <w:rFonts w:asciiTheme="minorEastAsia" w:hAnsiTheme="minorEastAsia"/>
          <w:szCs w:val="21"/>
        </w:rPr>
        <w:t>7</w:t>
      </w:r>
      <w:r>
        <w:rPr>
          <w:rFonts w:hint="eastAsia" w:asciiTheme="minorEastAsia" w:hAnsiTheme="minorEastAsia"/>
          <w:szCs w:val="21"/>
        </w:rPr>
        <w:t>：分项报价清单格式</w:t>
      </w:r>
      <w:bookmarkEnd w:id="162"/>
      <w:r>
        <w:rPr>
          <w:rFonts w:hint="eastAsia" w:asciiTheme="minorEastAsia" w:hAnsiTheme="minorEastAsia"/>
          <w:szCs w:val="21"/>
        </w:rPr>
        <w:t>(如有)</w:t>
      </w:r>
    </w:p>
    <w:p w14:paraId="5CC27675">
      <w:pPr>
        <w:keepNext/>
        <w:keepLines/>
        <w:spacing w:before="160" w:after="170"/>
        <w:ind w:firstLine="602" w:firstLineChars="200"/>
        <w:jc w:val="center"/>
        <w:outlineLvl w:val="4"/>
        <w:rPr>
          <w:b/>
          <w:bCs/>
          <w:sz w:val="30"/>
          <w:szCs w:val="28"/>
        </w:rPr>
      </w:pPr>
      <w:bookmarkStart w:id="163" w:name="_Toc55548542"/>
      <w:r>
        <w:rPr>
          <w:rFonts w:hint="eastAsia"/>
          <w:b/>
          <w:bCs/>
          <w:sz w:val="30"/>
          <w:szCs w:val="28"/>
        </w:rPr>
        <w:t>分项报价清单</w:t>
      </w:r>
      <w:bookmarkEnd w:id="163"/>
    </w:p>
    <w:tbl>
      <w:tblPr>
        <w:tblStyle w:val="15"/>
        <w:tblW w:w="9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902"/>
        <w:gridCol w:w="2357"/>
        <w:gridCol w:w="3148"/>
      </w:tblGrid>
      <w:tr w14:paraId="4704A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417" w:type="dxa"/>
            <w:vAlign w:val="center"/>
          </w:tcPr>
          <w:p w14:paraId="6C6F403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序号</w:t>
            </w:r>
          </w:p>
        </w:tc>
        <w:tc>
          <w:tcPr>
            <w:tcW w:w="2902" w:type="dxa"/>
            <w:vAlign w:val="center"/>
          </w:tcPr>
          <w:p w14:paraId="4A95C474">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服务项目或设备名称</w:t>
            </w:r>
          </w:p>
        </w:tc>
        <w:tc>
          <w:tcPr>
            <w:tcW w:w="2357" w:type="dxa"/>
            <w:vAlign w:val="center"/>
          </w:tcPr>
          <w:p w14:paraId="39C353BE">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单价</w:t>
            </w:r>
          </w:p>
        </w:tc>
        <w:tc>
          <w:tcPr>
            <w:tcW w:w="3148" w:type="dxa"/>
            <w:vAlign w:val="center"/>
          </w:tcPr>
          <w:p w14:paraId="48FB6731">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备注</w:t>
            </w:r>
          </w:p>
        </w:tc>
      </w:tr>
      <w:tr w14:paraId="2822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4D39CE04">
            <w:pPr>
              <w:spacing w:line="360" w:lineRule="auto"/>
              <w:ind w:firstLine="420" w:firstLineChars="200"/>
              <w:rPr>
                <w:rFonts w:asciiTheme="minorEastAsia" w:hAnsiTheme="minorEastAsia"/>
                <w:color w:val="000000"/>
                <w:szCs w:val="21"/>
              </w:rPr>
            </w:pPr>
          </w:p>
        </w:tc>
        <w:tc>
          <w:tcPr>
            <w:tcW w:w="2902" w:type="dxa"/>
            <w:vAlign w:val="center"/>
          </w:tcPr>
          <w:p w14:paraId="0943F38A">
            <w:pPr>
              <w:spacing w:line="360" w:lineRule="auto"/>
              <w:ind w:firstLine="420" w:firstLineChars="200"/>
              <w:rPr>
                <w:rFonts w:asciiTheme="minorEastAsia" w:hAnsiTheme="minorEastAsia"/>
                <w:color w:val="000000"/>
                <w:szCs w:val="21"/>
              </w:rPr>
            </w:pPr>
          </w:p>
        </w:tc>
        <w:tc>
          <w:tcPr>
            <w:tcW w:w="2357" w:type="dxa"/>
            <w:vAlign w:val="center"/>
          </w:tcPr>
          <w:p w14:paraId="767117BA">
            <w:pPr>
              <w:spacing w:line="360" w:lineRule="auto"/>
              <w:ind w:firstLine="420" w:firstLineChars="200"/>
              <w:rPr>
                <w:rFonts w:asciiTheme="minorEastAsia" w:hAnsiTheme="minorEastAsia"/>
                <w:color w:val="000000"/>
                <w:szCs w:val="21"/>
              </w:rPr>
            </w:pPr>
          </w:p>
        </w:tc>
        <w:tc>
          <w:tcPr>
            <w:tcW w:w="3148" w:type="dxa"/>
            <w:vAlign w:val="center"/>
          </w:tcPr>
          <w:p w14:paraId="3354B417">
            <w:pPr>
              <w:spacing w:line="360" w:lineRule="auto"/>
              <w:ind w:firstLine="420" w:firstLineChars="200"/>
              <w:rPr>
                <w:rFonts w:asciiTheme="minorEastAsia" w:hAnsiTheme="minorEastAsia"/>
                <w:color w:val="000000"/>
                <w:szCs w:val="21"/>
              </w:rPr>
            </w:pPr>
          </w:p>
        </w:tc>
      </w:tr>
      <w:tr w14:paraId="1AE6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6799A868">
            <w:pPr>
              <w:spacing w:line="360" w:lineRule="auto"/>
              <w:ind w:firstLine="420" w:firstLineChars="200"/>
              <w:rPr>
                <w:rFonts w:asciiTheme="minorEastAsia" w:hAnsiTheme="minorEastAsia"/>
                <w:color w:val="000000"/>
                <w:szCs w:val="21"/>
              </w:rPr>
            </w:pPr>
          </w:p>
        </w:tc>
        <w:tc>
          <w:tcPr>
            <w:tcW w:w="2902" w:type="dxa"/>
            <w:vAlign w:val="center"/>
          </w:tcPr>
          <w:p w14:paraId="71AECF12">
            <w:pPr>
              <w:spacing w:line="360" w:lineRule="auto"/>
              <w:ind w:firstLine="420" w:firstLineChars="200"/>
              <w:rPr>
                <w:rFonts w:asciiTheme="minorEastAsia" w:hAnsiTheme="minorEastAsia"/>
                <w:color w:val="000000"/>
                <w:szCs w:val="21"/>
              </w:rPr>
            </w:pPr>
          </w:p>
        </w:tc>
        <w:tc>
          <w:tcPr>
            <w:tcW w:w="2357" w:type="dxa"/>
            <w:vAlign w:val="center"/>
          </w:tcPr>
          <w:p w14:paraId="2F5B9E4D">
            <w:pPr>
              <w:spacing w:line="360" w:lineRule="auto"/>
              <w:ind w:firstLine="420" w:firstLineChars="200"/>
              <w:rPr>
                <w:rFonts w:asciiTheme="minorEastAsia" w:hAnsiTheme="minorEastAsia"/>
                <w:color w:val="000000"/>
                <w:szCs w:val="21"/>
              </w:rPr>
            </w:pPr>
          </w:p>
        </w:tc>
        <w:tc>
          <w:tcPr>
            <w:tcW w:w="3148" w:type="dxa"/>
            <w:vAlign w:val="center"/>
          </w:tcPr>
          <w:p w14:paraId="226CC5AD">
            <w:pPr>
              <w:spacing w:line="360" w:lineRule="auto"/>
              <w:ind w:firstLine="420" w:firstLineChars="200"/>
              <w:rPr>
                <w:rFonts w:asciiTheme="minorEastAsia" w:hAnsiTheme="minorEastAsia"/>
                <w:color w:val="000000"/>
                <w:szCs w:val="21"/>
              </w:rPr>
            </w:pPr>
          </w:p>
        </w:tc>
      </w:tr>
      <w:tr w14:paraId="0AA1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84288E9">
            <w:pPr>
              <w:spacing w:line="360" w:lineRule="auto"/>
              <w:ind w:firstLine="420" w:firstLineChars="200"/>
              <w:rPr>
                <w:rFonts w:asciiTheme="minorEastAsia" w:hAnsiTheme="minorEastAsia"/>
                <w:color w:val="000000"/>
                <w:szCs w:val="21"/>
              </w:rPr>
            </w:pPr>
          </w:p>
        </w:tc>
        <w:tc>
          <w:tcPr>
            <w:tcW w:w="2902" w:type="dxa"/>
            <w:vAlign w:val="center"/>
          </w:tcPr>
          <w:p w14:paraId="5140A66B">
            <w:pPr>
              <w:spacing w:line="360" w:lineRule="auto"/>
              <w:ind w:firstLine="420" w:firstLineChars="200"/>
              <w:rPr>
                <w:rFonts w:asciiTheme="minorEastAsia" w:hAnsiTheme="minorEastAsia"/>
                <w:color w:val="000000"/>
                <w:szCs w:val="21"/>
              </w:rPr>
            </w:pPr>
          </w:p>
        </w:tc>
        <w:tc>
          <w:tcPr>
            <w:tcW w:w="2357" w:type="dxa"/>
            <w:vAlign w:val="center"/>
          </w:tcPr>
          <w:p w14:paraId="33170853">
            <w:pPr>
              <w:spacing w:line="360" w:lineRule="auto"/>
              <w:ind w:firstLine="420" w:firstLineChars="200"/>
              <w:rPr>
                <w:rFonts w:asciiTheme="minorEastAsia" w:hAnsiTheme="minorEastAsia"/>
                <w:color w:val="000000"/>
                <w:szCs w:val="21"/>
              </w:rPr>
            </w:pPr>
          </w:p>
        </w:tc>
        <w:tc>
          <w:tcPr>
            <w:tcW w:w="3148" w:type="dxa"/>
            <w:vAlign w:val="center"/>
          </w:tcPr>
          <w:p w14:paraId="7ACCEB99">
            <w:pPr>
              <w:spacing w:line="360" w:lineRule="auto"/>
              <w:ind w:firstLine="420" w:firstLineChars="200"/>
              <w:rPr>
                <w:rFonts w:asciiTheme="minorEastAsia" w:hAnsiTheme="minorEastAsia"/>
                <w:color w:val="000000"/>
                <w:szCs w:val="21"/>
              </w:rPr>
            </w:pPr>
          </w:p>
        </w:tc>
      </w:tr>
      <w:tr w14:paraId="7BFAC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255F469C">
            <w:pPr>
              <w:spacing w:line="360" w:lineRule="auto"/>
              <w:ind w:firstLine="420" w:firstLineChars="200"/>
              <w:rPr>
                <w:rFonts w:asciiTheme="minorEastAsia" w:hAnsiTheme="minorEastAsia"/>
                <w:color w:val="000000"/>
                <w:szCs w:val="21"/>
              </w:rPr>
            </w:pPr>
          </w:p>
        </w:tc>
        <w:tc>
          <w:tcPr>
            <w:tcW w:w="2902" w:type="dxa"/>
            <w:vAlign w:val="center"/>
          </w:tcPr>
          <w:p w14:paraId="07844DC0">
            <w:pPr>
              <w:spacing w:line="360" w:lineRule="auto"/>
              <w:ind w:firstLine="420" w:firstLineChars="200"/>
              <w:rPr>
                <w:rFonts w:asciiTheme="minorEastAsia" w:hAnsiTheme="minorEastAsia"/>
                <w:color w:val="000000"/>
                <w:szCs w:val="21"/>
              </w:rPr>
            </w:pPr>
          </w:p>
        </w:tc>
        <w:tc>
          <w:tcPr>
            <w:tcW w:w="2357" w:type="dxa"/>
            <w:vAlign w:val="center"/>
          </w:tcPr>
          <w:p w14:paraId="72975285">
            <w:pPr>
              <w:spacing w:line="360" w:lineRule="auto"/>
              <w:ind w:firstLine="420" w:firstLineChars="200"/>
              <w:rPr>
                <w:rFonts w:asciiTheme="minorEastAsia" w:hAnsiTheme="minorEastAsia"/>
                <w:color w:val="000000"/>
                <w:szCs w:val="21"/>
              </w:rPr>
            </w:pPr>
          </w:p>
        </w:tc>
        <w:tc>
          <w:tcPr>
            <w:tcW w:w="3148" w:type="dxa"/>
            <w:vAlign w:val="center"/>
          </w:tcPr>
          <w:p w14:paraId="3EF07610">
            <w:pPr>
              <w:spacing w:line="360" w:lineRule="auto"/>
              <w:ind w:firstLine="420" w:firstLineChars="200"/>
              <w:rPr>
                <w:rFonts w:asciiTheme="minorEastAsia" w:hAnsiTheme="minorEastAsia"/>
                <w:color w:val="000000"/>
                <w:szCs w:val="21"/>
              </w:rPr>
            </w:pPr>
          </w:p>
        </w:tc>
      </w:tr>
      <w:tr w14:paraId="1F14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0B147EEE">
            <w:pPr>
              <w:spacing w:line="360" w:lineRule="auto"/>
              <w:ind w:firstLine="420" w:firstLineChars="200"/>
              <w:rPr>
                <w:rFonts w:asciiTheme="minorEastAsia" w:hAnsiTheme="minorEastAsia"/>
                <w:color w:val="000000"/>
                <w:szCs w:val="21"/>
              </w:rPr>
            </w:pPr>
          </w:p>
        </w:tc>
        <w:tc>
          <w:tcPr>
            <w:tcW w:w="2902" w:type="dxa"/>
            <w:vAlign w:val="center"/>
          </w:tcPr>
          <w:p w14:paraId="5D0B150B">
            <w:pPr>
              <w:spacing w:line="360" w:lineRule="auto"/>
              <w:ind w:firstLine="420" w:firstLineChars="200"/>
              <w:rPr>
                <w:rFonts w:asciiTheme="minorEastAsia" w:hAnsiTheme="minorEastAsia"/>
                <w:color w:val="000000"/>
                <w:szCs w:val="21"/>
              </w:rPr>
            </w:pPr>
          </w:p>
        </w:tc>
        <w:tc>
          <w:tcPr>
            <w:tcW w:w="2357" w:type="dxa"/>
            <w:vAlign w:val="center"/>
          </w:tcPr>
          <w:p w14:paraId="725838E6">
            <w:pPr>
              <w:spacing w:line="360" w:lineRule="auto"/>
              <w:ind w:firstLine="420" w:firstLineChars="200"/>
              <w:rPr>
                <w:rFonts w:asciiTheme="minorEastAsia" w:hAnsiTheme="minorEastAsia"/>
                <w:color w:val="000000"/>
                <w:szCs w:val="21"/>
              </w:rPr>
            </w:pPr>
          </w:p>
        </w:tc>
        <w:tc>
          <w:tcPr>
            <w:tcW w:w="3148" w:type="dxa"/>
            <w:vAlign w:val="center"/>
          </w:tcPr>
          <w:p w14:paraId="496A3C3B">
            <w:pPr>
              <w:spacing w:line="360" w:lineRule="auto"/>
              <w:ind w:firstLine="420" w:firstLineChars="200"/>
              <w:rPr>
                <w:rFonts w:asciiTheme="minorEastAsia" w:hAnsiTheme="minorEastAsia"/>
                <w:color w:val="000000"/>
                <w:szCs w:val="21"/>
              </w:rPr>
            </w:pPr>
          </w:p>
        </w:tc>
      </w:tr>
      <w:tr w14:paraId="1CA9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417" w:type="dxa"/>
            <w:vAlign w:val="center"/>
          </w:tcPr>
          <w:p w14:paraId="328D597E">
            <w:pPr>
              <w:spacing w:line="360" w:lineRule="auto"/>
              <w:ind w:firstLine="420" w:firstLineChars="200"/>
              <w:rPr>
                <w:rFonts w:asciiTheme="minorEastAsia" w:hAnsiTheme="minorEastAsia"/>
                <w:color w:val="000000"/>
                <w:szCs w:val="21"/>
              </w:rPr>
            </w:pPr>
          </w:p>
        </w:tc>
        <w:tc>
          <w:tcPr>
            <w:tcW w:w="2902" w:type="dxa"/>
            <w:vAlign w:val="center"/>
          </w:tcPr>
          <w:p w14:paraId="255411B0">
            <w:pPr>
              <w:spacing w:line="360" w:lineRule="auto"/>
              <w:ind w:firstLine="420" w:firstLineChars="200"/>
              <w:rPr>
                <w:rFonts w:asciiTheme="minorEastAsia" w:hAnsiTheme="minorEastAsia"/>
                <w:color w:val="000000"/>
                <w:szCs w:val="21"/>
              </w:rPr>
            </w:pPr>
          </w:p>
        </w:tc>
        <w:tc>
          <w:tcPr>
            <w:tcW w:w="2357" w:type="dxa"/>
            <w:vAlign w:val="center"/>
          </w:tcPr>
          <w:p w14:paraId="1BD900B0">
            <w:pPr>
              <w:spacing w:line="360" w:lineRule="auto"/>
              <w:ind w:firstLine="420" w:firstLineChars="200"/>
              <w:rPr>
                <w:rFonts w:asciiTheme="minorEastAsia" w:hAnsiTheme="minorEastAsia"/>
                <w:color w:val="000000"/>
                <w:szCs w:val="21"/>
              </w:rPr>
            </w:pPr>
          </w:p>
        </w:tc>
        <w:tc>
          <w:tcPr>
            <w:tcW w:w="3148" w:type="dxa"/>
            <w:vAlign w:val="center"/>
          </w:tcPr>
          <w:p w14:paraId="485D484E">
            <w:pPr>
              <w:spacing w:line="360" w:lineRule="auto"/>
              <w:ind w:firstLine="420" w:firstLineChars="200"/>
              <w:rPr>
                <w:rFonts w:asciiTheme="minorEastAsia" w:hAnsiTheme="minorEastAsia"/>
                <w:color w:val="000000"/>
                <w:szCs w:val="21"/>
              </w:rPr>
            </w:pPr>
          </w:p>
        </w:tc>
      </w:tr>
      <w:tr w14:paraId="37B8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19" w:type="dxa"/>
            <w:gridSpan w:val="2"/>
            <w:vAlign w:val="center"/>
          </w:tcPr>
          <w:p w14:paraId="7F65BF6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合计</w:t>
            </w:r>
          </w:p>
        </w:tc>
        <w:tc>
          <w:tcPr>
            <w:tcW w:w="5505" w:type="dxa"/>
            <w:gridSpan w:val="2"/>
            <w:vAlign w:val="center"/>
          </w:tcPr>
          <w:p w14:paraId="4DE54F8C">
            <w:pPr>
              <w:spacing w:line="360" w:lineRule="auto"/>
              <w:ind w:firstLine="420" w:firstLineChars="200"/>
              <w:rPr>
                <w:rFonts w:asciiTheme="minorEastAsia" w:hAnsiTheme="minorEastAsia"/>
                <w:color w:val="000000"/>
                <w:szCs w:val="21"/>
              </w:rPr>
            </w:pPr>
          </w:p>
        </w:tc>
      </w:tr>
    </w:tbl>
    <w:p w14:paraId="5876F91F">
      <w:pPr>
        <w:spacing w:line="360" w:lineRule="auto"/>
        <w:ind w:firstLine="420" w:firstLineChars="200"/>
        <w:rPr>
          <w:rFonts w:asciiTheme="minorEastAsia" w:hAnsiTheme="minorEastAsia"/>
          <w:szCs w:val="21"/>
        </w:rPr>
      </w:pPr>
      <w:r>
        <w:rPr>
          <w:rFonts w:hint="eastAsia" w:asciiTheme="minorEastAsia" w:hAnsiTheme="minorEastAsia"/>
          <w:szCs w:val="21"/>
        </w:rPr>
        <w:t>注：</w:t>
      </w:r>
    </w:p>
    <w:p w14:paraId="1E9A9655">
      <w:pPr>
        <w:spacing w:line="360" w:lineRule="auto"/>
        <w:ind w:firstLine="420" w:firstLineChars="200"/>
        <w:rPr>
          <w:rFonts w:asciiTheme="minorEastAsia" w:hAnsiTheme="minorEastAsia"/>
          <w:szCs w:val="21"/>
        </w:rPr>
      </w:pPr>
      <w:r>
        <w:rPr>
          <w:rFonts w:hint="eastAsia" w:asciiTheme="minorEastAsia" w:hAnsiTheme="minorEastAsia"/>
          <w:szCs w:val="21"/>
        </w:rPr>
        <w:t>1、所有价格应按“采购文件”中规定的货币单位填写；</w:t>
      </w:r>
    </w:p>
    <w:p w14:paraId="43EC6DA0">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、投标总价应为以上各分项价格之和；</w:t>
      </w:r>
    </w:p>
    <w:p w14:paraId="17CF635C">
      <w:pPr>
        <w:spacing w:line="360" w:lineRule="auto"/>
        <w:ind w:firstLine="420" w:firstLineChars="200"/>
        <w:rPr>
          <w:rFonts w:asciiTheme="minorEastAsia" w:hAnsiTheme="minorEastAsia"/>
          <w:szCs w:val="21"/>
        </w:rPr>
      </w:pPr>
      <w:r>
        <w:rPr>
          <w:rFonts w:hint="eastAsia" w:asciiTheme="minorEastAsia" w:hAnsiTheme="minorEastAsia"/>
          <w:szCs w:val="21"/>
          <w:highlight w:val="yellow"/>
        </w:rPr>
        <w:t>3、本表格式仅做参考，</w:t>
      </w:r>
      <w:r>
        <w:rPr>
          <w:rFonts w:asciiTheme="minorEastAsia" w:hAnsiTheme="minorEastAsia"/>
          <w:szCs w:val="21"/>
          <w:highlight w:val="yellow"/>
        </w:rPr>
        <w:t>可根据项目</w:t>
      </w:r>
      <w:r>
        <w:rPr>
          <w:rFonts w:hint="eastAsia" w:asciiTheme="minorEastAsia" w:hAnsiTheme="minorEastAsia"/>
          <w:szCs w:val="21"/>
          <w:highlight w:val="yellow"/>
        </w:rPr>
        <w:t>实际</w:t>
      </w:r>
      <w:r>
        <w:rPr>
          <w:rFonts w:asciiTheme="minorEastAsia" w:hAnsiTheme="minorEastAsia"/>
          <w:szCs w:val="21"/>
          <w:highlight w:val="yellow"/>
        </w:rPr>
        <w:t>内容进行调整</w:t>
      </w:r>
      <w:r>
        <w:rPr>
          <w:rFonts w:hint="eastAsia" w:asciiTheme="minorEastAsia" w:hAnsiTheme="minorEastAsia"/>
          <w:szCs w:val="21"/>
          <w:highlight w:val="yellow"/>
        </w:rPr>
        <w:t>；</w:t>
      </w:r>
    </w:p>
    <w:p w14:paraId="6F3F880A">
      <w:pPr>
        <w:spacing w:line="360" w:lineRule="auto"/>
        <w:ind w:firstLine="420" w:firstLineChars="200"/>
        <w:rPr>
          <w:rFonts w:asciiTheme="minorEastAsia" w:hAnsiTheme="minorEastAsia"/>
          <w:szCs w:val="21"/>
        </w:rPr>
      </w:pPr>
      <w:r>
        <w:rPr>
          <w:rFonts w:hint="eastAsia" w:asciiTheme="minorEastAsia" w:hAnsiTheme="minor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127C6416">
      <w:pPr>
        <w:spacing w:line="360" w:lineRule="auto"/>
        <w:ind w:firstLine="420" w:firstLineChars="200"/>
        <w:rPr>
          <w:rFonts w:asciiTheme="minorEastAsia" w:hAnsiTheme="minorEastAsia"/>
          <w:szCs w:val="21"/>
        </w:rPr>
      </w:pPr>
      <w:r>
        <w:rPr>
          <w:rFonts w:hint="eastAsia" w:asciiTheme="minorEastAsia" w:hAnsiTheme="minorEastAsia"/>
          <w:szCs w:val="21"/>
        </w:rPr>
        <w:t>5、投标总价和项目报价表中单个采购预算条目报价均不得超过对应的财政预算限额，否则将导致投标无效。</w:t>
      </w:r>
    </w:p>
    <w:p w14:paraId="4BCA3388">
      <w:pPr>
        <w:spacing w:line="360" w:lineRule="auto"/>
        <w:ind w:firstLine="420" w:firstLineChars="200"/>
        <w:rPr>
          <w:rFonts w:asciiTheme="minorEastAsia" w:hAnsiTheme="minorEastAsia"/>
          <w:szCs w:val="21"/>
        </w:rPr>
      </w:pPr>
      <w:r>
        <w:rPr>
          <w:rFonts w:hint="eastAsia" w:asciiTheme="minorEastAsia" w:hAnsiTheme="minorEastAsia"/>
          <w:szCs w:val="21"/>
        </w:rPr>
        <w:t>6、开标一览表的投标总价必须与项目报价表的投标总价一致。</w:t>
      </w:r>
    </w:p>
    <w:p w14:paraId="0E62BEE8">
      <w:pPr>
        <w:spacing w:line="360" w:lineRule="auto"/>
        <w:ind w:firstLine="420" w:firstLineChars="200"/>
        <w:rPr>
          <w:rFonts w:asciiTheme="minorEastAsia" w:hAnsiTheme="minorEastAsia"/>
          <w:szCs w:val="21"/>
        </w:rPr>
      </w:pPr>
      <w:r>
        <w:rPr>
          <w:rFonts w:hint="eastAsia" w:asciiTheme="minorEastAsia" w:hAnsiTheme="minorEastAsia"/>
          <w:szCs w:val="21"/>
        </w:rPr>
        <w:t>7、“原产地”是指该产品的实际生产加工地，而非品牌总公司所在地。</w:t>
      </w:r>
    </w:p>
    <w:p w14:paraId="216FA22A">
      <w:pPr>
        <w:spacing w:line="360" w:lineRule="auto"/>
        <w:ind w:firstLine="420" w:firstLineChars="200"/>
      </w:pPr>
    </w:p>
    <w:p w14:paraId="0139B92D">
      <w:pPr>
        <w:spacing w:line="360" w:lineRule="auto"/>
      </w:pPr>
    </w:p>
    <w:p w14:paraId="6817BCC5">
      <w:pPr>
        <w:spacing w:line="360" w:lineRule="auto"/>
        <w:ind w:firstLine="420" w:firstLineChars="200"/>
      </w:pPr>
    </w:p>
    <w:p w14:paraId="14616FF2">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bookmarkStart w:id="164" w:name="_Toc32280"/>
    </w:p>
    <w:p w14:paraId="4DDD1A36">
      <w:pPr>
        <w:spacing w:line="360" w:lineRule="auto"/>
        <w:rPr>
          <w:rFonts w:asciiTheme="minorEastAsia" w:hAnsiTheme="minorEastAsia"/>
          <w:szCs w:val="21"/>
        </w:rPr>
      </w:pPr>
      <w:bookmarkStart w:id="165" w:name="_Toc9882"/>
      <w:bookmarkStart w:id="166" w:name="_Toc55548544"/>
      <w:r>
        <w:rPr>
          <w:rFonts w:asciiTheme="minorEastAsia" w:hAnsiTheme="minorEastAsia"/>
          <w:szCs w:val="21"/>
        </w:rPr>
        <w:t>8</w:t>
      </w:r>
      <w:r>
        <w:rPr>
          <w:rFonts w:hint="eastAsia" w:asciiTheme="minorEastAsia" w:hAnsiTheme="minorEastAsia"/>
          <w:szCs w:val="21"/>
        </w:rPr>
        <w:t>、技术规格偏离表格式</w:t>
      </w:r>
      <w:bookmarkEnd w:id="165"/>
      <w:r>
        <w:rPr>
          <w:rFonts w:hint="eastAsia" w:asciiTheme="minorEastAsia" w:hAnsiTheme="minorEastAsia"/>
          <w:szCs w:val="21"/>
        </w:rPr>
        <w:t>（如有）</w:t>
      </w:r>
    </w:p>
    <w:p w14:paraId="595D4DD1">
      <w:pPr>
        <w:keepNext/>
        <w:keepLines/>
        <w:spacing w:before="160" w:after="170"/>
        <w:jc w:val="center"/>
        <w:outlineLvl w:val="4"/>
        <w:rPr>
          <w:b/>
          <w:bCs/>
          <w:sz w:val="30"/>
          <w:szCs w:val="28"/>
        </w:rPr>
      </w:pPr>
      <w:bookmarkStart w:id="167" w:name="_Toc55548543"/>
      <w:r>
        <w:rPr>
          <w:rFonts w:hint="eastAsia"/>
          <w:b/>
          <w:bCs/>
          <w:sz w:val="30"/>
          <w:szCs w:val="28"/>
        </w:rPr>
        <w:t>技术规格偏离表</w:t>
      </w:r>
      <w:bookmarkEnd w:id="167"/>
    </w:p>
    <w:p w14:paraId="6C21E6A0">
      <w:pPr>
        <w:spacing w:line="360" w:lineRule="auto"/>
        <w:ind w:firstLine="420" w:firstLineChars="200"/>
        <w:rPr>
          <w:rFonts w:asciiTheme="minorEastAsia" w:hAnsiTheme="minorEastAsia"/>
          <w:szCs w:val="21"/>
        </w:rPr>
      </w:pPr>
      <w:r>
        <w:rPr>
          <w:rFonts w:hint="eastAsia" w:asciiTheme="minorEastAsia" w:hAnsiTheme="minorEastAsia"/>
          <w:szCs w:val="21"/>
        </w:rPr>
        <w:t>项目名称：</w:t>
      </w:r>
      <w:r>
        <w:rPr>
          <w:rFonts w:hint="eastAsia" w:asciiTheme="minorEastAsia" w:hAnsiTheme="minorEastAsia"/>
          <w:szCs w:val="21"/>
          <w:u w:val="single"/>
        </w:rPr>
        <w:t xml:space="preserve">                          </w:t>
      </w:r>
      <w:r>
        <w:rPr>
          <w:rFonts w:hint="eastAsia" w:asciiTheme="minorEastAsia" w:hAnsiTheme="minorEastAsia"/>
          <w:szCs w:val="21"/>
        </w:rPr>
        <w:t xml:space="preserve"> </w:t>
      </w:r>
    </w:p>
    <w:p w14:paraId="3B2CFAB9">
      <w:pPr>
        <w:spacing w:line="360" w:lineRule="auto"/>
        <w:ind w:firstLine="420" w:firstLineChars="200"/>
        <w:rPr>
          <w:rFonts w:asciiTheme="minorEastAsia" w:hAnsiTheme="minorEastAsia"/>
          <w:szCs w:val="21"/>
        </w:rPr>
      </w:pPr>
      <w:r>
        <w:rPr>
          <w:rFonts w:hint="eastAsia" w:asciiTheme="minorEastAsia" w:hAnsiTheme="minorEastAsia"/>
          <w:szCs w:val="21"/>
        </w:rPr>
        <w:t>项目编号：</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u w:val="single"/>
        </w:rPr>
        <w:t xml:space="preserve">         </w:t>
      </w:r>
      <w:r>
        <w:rPr>
          <w:rFonts w:hint="eastAsia" w:asciiTheme="minorEastAsia" w:hAnsiTheme="minorEastAsia"/>
          <w:szCs w:val="21"/>
        </w:rPr>
        <w:t xml:space="preserve"> </w:t>
      </w:r>
    </w:p>
    <w:tbl>
      <w:tblPr>
        <w:tblStyle w:val="15"/>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39"/>
        <w:gridCol w:w="2693"/>
        <w:gridCol w:w="1559"/>
        <w:gridCol w:w="1560"/>
      </w:tblGrid>
      <w:tr w14:paraId="772B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675" w:type="dxa"/>
            <w:vAlign w:val="center"/>
          </w:tcPr>
          <w:p w14:paraId="0E2DF58D">
            <w:pPr>
              <w:spacing w:line="360" w:lineRule="auto"/>
              <w:rPr>
                <w:rFonts w:asciiTheme="minorEastAsia" w:hAnsiTheme="minorEastAsia"/>
                <w:szCs w:val="21"/>
              </w:rPr>
            </w:pPr>
            <w:r>
              <w:rPr>
                <w:rFonts w:hint="eastAsia" w:asciiTheme="minorEastAsia" w:hAnsiTheme="minorEastAsia"/>
                <w:szCs w:val="21"/>
              </w:rPr>
              <w:t>序号</w:t>
            </w:r>
          </w:p>
        </w:tc>
        <w:tc>
          <w:tcPr>
            <w:tcW w:w="2439" w:type="dxa"/>
            <w:vAlign w:val="center"/>
          </w:tcPr>
          <w:p w14:paraId="3D904F19">
            <w:pPr>
              <w:spacing w:line="360" w:lineRule="auto"/>
              <w:jc w:val="center"/>
              <w:rPr>
                <w:rFonts w:asciiTheme="minorEastAsia" w:hAnsiTheme="minorEastAsia"/>
                <w:szCs w:val="21"/>
              </w:rPr>
            </w:pPr>
            <w:r>
              <w:rPr>
                <w:rFonts w:hint="eastAsia" w:asciiTheme="minorEastAsia" w:hAnsiTheme="minorEastAsia"/>
                <w:szCs w:val="21"/>
              </w:rPr>
              <w:t>招标文件技术条款</w:t>
            </w:r>
          </w:p>
        </w:tc>
        <w:tc>
          <w:tcPr>
            <w:tcW w:w="2693" w:type="dxa"/>
            <w:vAlign w:val="center"/>
          </w:tcPr>
          <w:p w14:paraId="1E597AC7">
            <w:pPr>
              <w:spacing w:line="360" w:lineRule="auto"/>
              <w:jc w:val="center"/>
              <w:rPr>
                <w:rFonts w:asciiTheme="minorEastAsia" w:hAnsiTheme="minorEastAsia"/>
                <w:szCs w:val="21"/>
              </w:rPr>
            </w:pPr>
            <w:r>
              <w:rPr>
                <w:rFonts w:hint="eastAsia" w:asciiTheme="minorEastAsia" w:hAnsiTheme="minorEastAsia"/>
                <w:szCs w:val="21"/>
              </w:rPr>
              <w:t>投标文件技术条款</w:t>
            </w:r>
          </w:p>
        </w:tc>
        <w:tc>
          <w:tcPr>
            <w:tcW w:w="1559" w:type="dxa"/>
            <w:vAlign w:val="center"/>
          </w:tcPr>
          <w:p w14:paraId="7CAFA042">
            <w:pPr>
              <w:spacing w:line="360" w:lineRule="auto"/>
              <w:jc w:val="center"/>
              <w:rPr>
                <w:rFonts w:asciiTheme="minorEastAsia" w:hAnsiTheme="minorEastAsia"/>
                <w:szCs w:val="21"/>
              </w:rPr>
            </w:pPr>
            <w:r>
              <w:rPr>
                <w:rFonts w:hint="eastAsia" w:asciiTheme="minorEastAsia" w:hAnsiTheme="minorEastAsia"/>
                <w:szCs w:val="21"/>
              </w:rPr>
              <w:t>偏离</w:t>
            </w:r>
            <w:r>
              <w:rPr>
                <w:rFonts w:asciiTheme="minorEastAsia" w:hAnsiTheme="minorEastAsia"/>
                <w:szCs w:val="21"/>
              </w:rPr>
              <w:t>情况</w:t>
            </w:r>
          </w:p>
        </w:tc>
        <w:tc>
          <w:tcPr>
            <w:tcW w:w="1560" w:type="dxa"/>
            <w:vAlign w:val="center"/>
          </w:tcPr>
          <w:p w14:paraId="4A8558AD">
            <w:pPr>
              <w:spacing w:line="360" w:lineRule="auto"/>
              <w:jc w:val="center"/>
              <w:rPr>
                <w:rFonts w:asciiTheme="minorEastAsia" w:hAnsiTheme="minorEastAsia"/>
                <w:szCs w:val="21"/>
              </w:rPr>
            </w:pPr>
            <w:r>
              <w:rPr>
                <w:rFonts w:hint="eastAsia" w:asciiTheme="minorEastAsia" w:hAnsiTheme="minorEastAsia"/>
                <w:szCs w:val="21"/>
              </w:rPr>
              <w:t>说明</w:t>
            </w:r>
          </w:p>
        </w:tc>
      </w:tr>
      <w:tr w14:paraId="347C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75" w:type="dxa"/>
            <w:vAlign w:val="center"/>
          </w:tcPr>
          <w:p w14:paraId="2616E0FF">
            <w:pPr>
              <w:spacing w:line="360" w:lineRule="auto"/>
              <w:ind w:firstLine="420" w:firstLineChars="200"/>
              <w:rPr>
                <w:rFonts w:asciiTheme="minorEastAsia" w:hAnsiTheme="minorEastAsia"/>
                <w:szCs w:val="21"/>
              </w:rPr>
            </w:pPr>
          </w:p>
        </w:tc>
        <w:tc>
          <w:tcPr>
            <w:tcW w:w="2439" w:type="dxa"/>
            <w:vAlign w:val="center"/>
          </w:tcPr>
          <w:p w14:paraId="6869EE35">
            <w:pPr>
              <w:spacing w:line="360" w:lineRule="auto"/>
              <w:ind w:firstLine="420" w:firstLineChars="200"/>
              <w:rPr>
                <w:rFonts w:asciiTheme="minorEastAsia" w:hAnsiTheme="minorEastAsia"/>
                <w:szCs w:val="21"/>
              </w:rPr>
            </w:pPr>
          </w:p>
        </w:tc>
        <w:tc>
          <w:tcPr>
            <w:tcW w:w="2693" w:type="dxa"/>
            <w:vAlign w:val="center"/>
          </w:tcPr>
          <w:p w14:paraId="1E8E7CA8">
            <w:pPr>
              <w:spacing w:line="360" w:lineRule="auto"/>
              <w:ind w:firstLine="420" w:firstLineChars="200"/>
              <w:rPr>
                <w:rFonts w:asciiTheme="minorEastAsia" w:hAnsiTheme="minorEastAsia"/>
                <w:szCs w:val="21"/>
              </w:rPr>
            </w:pPr>
          </w:p>
        </w:tc>
        <w:tc>
          <w:tcPr>
            <w:tcW w:w="1559" w:type="dxa"/>
            <w:vAlign w:val="center"/>
          </w:tcPr>
          <w:p w14:paraId="28DBF359">
            <w:pPr>
              <w:spacing w:line="360" w:lineRule="auto"/>
              <w:ind w:firstLine="420" w:firstLineChars="200"/>
              <w:rPr>
                <w:rFonts w:asciiTheme="minorEastAsia" w:hAnsiTheme="minorEastAsia"/>
                <w:szCs w:val="21"/>
              </w:rPr>
            </w:pPr>
          </w:p>
        </w:tc>
        <w:tc>
          <w:tcPr>
            <w:tcW w:w="1560" w:type="dxa"/>
            <w:vAlign w:val="center"/>
          </w:tcPr>
          <w:p w14:paraId="2DAFC251">
            <w:pPr>
              <w:spacing w:line="360" w:lineRule="auto"/>
              <w:ind w:firstLine="420" w:firstLineChars="200"/>
              <w:rPr>
                <w:rFonts w:asciiTheme="minorEastAsia" w:hAnsiTheme="minorEastAsia"/>
                <w:szCs w:val="21"/>
              </w:rPr>
            </w:pPr>
          </w:p>
        </w:tc>
      </w:tr>
      <w:tr w14:paraId="12AE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75" w:type="dxa"/>
            <w:vAlign w:val="center"/>
          </w:tcPr>
          <w:p w14:paraId="6229E031">
            <w:pPr>
              <w:spacing w:line="360" w:lineRule="auto"/>
              <w:ind w:firstLine="420" w:firstLineChars="200"/>
              <w:rPr>
                <w:rFonts w:asciiTheme="minorEastAsia" w:hAnsiTheme="minorEastAsia"/>
                <w:szCs w:val="21"/>
              </w:rPr>
            </w:pPr>
          </w:p>
        </w:tc>
        <w:tc>
          <w:tcPr>
            <w:tcW w:w="2439" w:type="dxa"/>
            <w:vAlign w:val="center"/>
          </w:tcPr>
          <w:p w14:paraId="2B8573A3">
            <w:pPr>
              <w:spacing w:line="360" w:lineRule="auto"/>
              <w:ind w:firstLine="420" w:firstLineChars="200"/>
              <w:rPr>
                <w:rFonts w:asciiTheme="minorEastAsia" w:hAnsiTheme="minorEastAsia"/>
                <w:szCs w:val="21"/>
              </w:rPr>
            </w:pPr>
          </w:p>
        </w:tc>
        <w:tc>
          <w:tcPr>
            <w:tcW w:w="2693" w:type="dxa"/>
            <w:vAlign w:val="center"/>
          </w:tcPr>
          <w:p w14:paraId="70B13A06">
            <w:pPr>
              <w:spacing w:line="360" w:lineRule="auto"/>
              <w:ind w:firstLine="420" w:firstLineChars="200"/>
              <w:rPr>
                <w:rFonts w:asciiTheme="minorEastAsia" w:hAnsiTheme="minorEastAsia"/>
                <w:szCs w:val="21"/>
              </w:rPr>
            </w:pPr>
          </w:p>
        </w:tc>
        <w:tc>
          <w:tcPr>
            <w:tcW w:w="1559" w:type="dxa"/>
            <w:vAlign w:val="center"/>
          </w:tcPr>
          <w:p w14:paraId="449EE927">
            <w:pPr>
              <w:spacing w:line="360" w:lineRule="auto"/>
              <w:ind w:firstLine="420" w:firstLineChars="200"/>
              <w:rPr>
                <w:rFonts w:asciiTheme="minorEastAsia" w:hAnsiTheme="minorEastAsia"/>
                <w:szCs w:val="21"/>
              </w:rPr>
            </w:pPr>
          </w:p>
        </w:tc>
        <w:tc>
          <w:tcPr>
            <w:tcW w:w="1560" w:type="dxa"/>
            <w:vAlign w:val="center"/>
          </w:tcPr>
          <w:p w14:paraId="7FD7EF4E">
            <w:pPr>
              <w:spacing w:line="360" w:lineRule="auto"/>
              <w:ind w:firstLine="420" w:firstLineChars="200"/>
              <w:rPr>
                <w:rFonts w:asciiTheme="minorEastAsia" w:hAnsiTheme="minorEastAsia"/>
                <w:szCs w:val="21"/>
              </w:rPr>
            </w:pPr>
          </w:p>
        </w:tc>
      </w:tr>
      <w:tr w14:paraId="041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75" w:type="dxa"/>
            <w:vAlign w:val="center"/>
          </w:tcPr>
          <w:p w14:paraId="346809A3">
            <w:pPr>
              <w:spacing w:line="360" w:lineRule="auto"/>
              <w:ind w:firstLine="420" w:firstLineChars="200"/>
              <w:rPr>
                <w:rFonts w:asciiTheme="minorEastAsia" w:hAnsiTheme="minorEastAsia"/>
                <w:szCs w:val="21"/>
              </w:rPr>
            </w:pPr>
          </w:p>
        </w:tc>
        <w:tc>
          <w:tcPr>
            <w:tcW w:w="2439" w:type="dxa"/>
            <w:vAlign w:val="center"/>
          </w:tcPr>
          <w:p w14:paraId="76FBAFA0">
            <w:pPr>
              <w:spacing w:line="360" w:lineRule="auto"/>
              <w:ind w:firstLine="420" w:firstLineChars="200"/>
              <w:rPr>
                <w:rFonts w:asciiTheme="minorEastAsia" w:hAnsiTheme="minorEastAsia"/>
                <w:szCs w:val="21"/>
              </w:rPr>
            </w:pPr>
          </w:p>
        </w:tc>
        <w:tc>
          <w:tcPr>
            <w:tcW w:w="2693" w:type="dxa"/>
            <w:vAlign w:val="center"/>
          </w:tcPr>
          <w:p w14:paraId="3DA84C59">
            <w:pPr>
              <w:spacing w:line="360" w:lineRule="auto"/>
              <w:ind w:firstLine="420" w:firstLineChars="200"/>
              <w:rPr>
                <w:rFonts w:asciiTheme="minorEastAsia" w:hAnsiTheme="minorEastAsia"/>
                <w:szCs w:val="21"/>
              </w:rPr>
            </w:pPr>
          </w:p>
        </w:tc>
        <w:tc>
          <w:tcPr>
            <w:tcW w:w="1559" w:type="dxa"/>
            <w:vAlign w:val="center"/>
          </w:tcPr>
          <w:p w14:paraId="7F6EE5C9">
            <w:pPr>
              <w:spacing w:line="360" w:lineRule="auto"/>
              <w:ind w:firstLine="420" w:firstLineChars="200"/>
              <w:rPr>
                <w:rFonts w:asciiTheme="minorEastAsia" w:hAnsiTheme="minorEastAsia"/>
                <w:szCs w:val="21"/>
              </w:rPr>
            </w:pPr>
          </w:p>
        </w:tc>
        <w:tc>
          <w:tcPr>
            <w:tcW w:w="1560" w:type="dxa"/>
            <w:vAlign w:val="center"/>
          </w:tcPr>
          <w:p w14:paraId="2A1395C1">
            <w:pPr>
              <w:spacing w:line="360" w:lineRule="auto"/>
              <w:ind w:firstLine="420" w:firstLineChars="200"/>
              <w:rPr>
                <w:rFonts w:asciiTheme="minorEastAsia" w:hAnsiTheme="minorEastAsia"/>
                <w:szCs w:val="21"/>
              </w:rPr>
            </w:pPr>
          </w:p>
        </w:tc>
      </w:tr>
      <w:tr w14:paraId="3DF4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75" w:type="dxa"/>
            <w:vAlign w:val="center"/>
          </w:tcPr>
          <w:p w14:paraId="55E95B5E">
            <w:pPr>
              <w:spacing w:line="360" w:lineRule="auto"/>
              <w:ind w:firstLine="420" w:firstLineChars="200"/>
              <w:rPr>
                <w:rFonts w:asciiTheme="minorEastAsia" w:hAnsiTheme="minorEastAsia"/>
                <w:szCs w:val="21"/>
              </w:rPr>
            </w:pPr>
          </w:p>
        </w:tc>
        <w:tc>
          <w:tcPr>
            <w:tcW w:w="2439" w:type="dxa"/>
            <w:vAlign w:val="center"/>
          </w:tcPr>
          <w:p w14:paraId="1803657C">
            <w:pPr>
              <w:spacing w:line="360" w:lineRule="auto"/>
              <w:ind w:firstLine="420" w:firstLineChars="200"/>
              <w:rPr>
                <w:rFonts w:asciiTheme="minorEastAsia" w:hAnsiTheme="minorEastAsia"/>
                <w:szCs w:val="21"/>
              </w:rPr>
            </w:pPr>
          </w:p>
        </w:tc>
        <w:tc>
          <w:tcPr>
            <w:tcW w:w="2693" w:type="dxa"/>
            <w:vAlign w:val="center"/>
          </w:tcPr>
          <w:p w14:paraId="74AC3C73">
            <w:pPr>
              <w:spacing w:line="360" w:lineRule="auto"/>
              <w:ind w:firstLine="420" w:firstLineChars="200"/>
              <w:rPr>
                <w:rFonts w:asciiTheme="minorEastAsia" w:hAnsiTheme="minorEastAsia"/>
                <w:szCs w:val="21"/>
              </w:rPr>
            </w:pPr>
          </w:p>
        </w:tc>
        <w:tc>
          <w:tcPr>
            <w:tcW w:w="1559" w:type="dxa"/>
            <w:vAlign w:val="center"/>
          </w:tcPr>
          <w:p w14:paraId="1BBE024F">
            <w:pPr>
              <w:spacing w:line="360" w:lineRule="auto"/>
              <w:ind w:firstLine="420" w:firstLineChars="200"/>
              <w:rPr>
                <w:rFonts w:asciiTheme="minorEastAsia" w:hAnsiTheme="minorEastAsia"/>
                <w:szCs w:val="21"/>
              </w:rPr>
            </w:pPr>
          </w:p>
        </w:tc>
        <w:tc>
          <w:tcPr>
            <w:tcW w:w="1560" w:type="dxa"/>
            <w:vAlign w:val="center"/>
          </w:tcPr>
          <w:p w14:paraId="439C4C5A">
            <w:pPr>
              <w:spacing w:line="360" w:lineRule="auto"/>
              <w:ind w:firstLine="420" w:firstLineChars="200"/>
              <w:rPr>
                <w:rFonts w:asciiTheme="minorEastAsia" w:hAnsiTheme="minorEastAsia"/>
                <w:szCs w:val="21"/>
              </w:rPr>
            </w:pPr>
          </w:p>
        </w:tc>
      </w:tr>
      <w:tr w14:paraId="5947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75" w:type="dxa"/>
            <w:vAlign w:val="center"/>
          </w:tcPr>
          <w:p w14:paraId="19F05905">
            <w:pPr>
              <w:spacing w:line="360" w:lineRule="auto"/>
              <w:ind w:firstLine="420" w:firstLineChars="200"/>
              <w:rPr>
                <w:rFonts w:asciiTheme="minorEastAsia" w:hAnsiTheme="minorEastAsia"/>
                <w:szCs w:val="21"/>
              </w:rPr>
            </w:pPr>
          </w:p>
        </w:tc>
        <w:tc>
          <w:tcPr>
            <w:tcW w:w="2439" w:type="dxa"/>
            <w:vAlign w:val="center"/>
          </w:tcPr>
          <w:p w14:paraId="72CE33D5">
            <w:pPr>
              <w:spacing w:line="360" w:lineRule="auto"/>
              <w:ind w:firstLine="420" w:firstLineChars="200"/>
              <w:rPr>
                <w:rFonts w:asciiTheme="minorEastAsia" w:hAnsiTheme="minorEastAsia"/>
                <w:szCs w:val="21"/>
              </w:rPr>
            </w:pPr>
          </w:p>
        </w:tc>
        <w:tc>
          <w:tcPr>
            <w:tcW w:w="2693" w:type="dxa"/>
            <w:vAlign w:val="center"/>
          </w:tcPr>
          <w:p w14:paraId="7083EC6B">
            <w:pPr>
              <w:spacing w:line="360" w:lineRule="auto"/>
              <w:ind w:firstLine="420" w:firstLineChars="200"/>
              <w:rPr>
                <w:rFonts w:asciiTheme="minorEastAsia" w:hAnsiTheme="minorEastAsia"/>
                <w:szCs w:val="21"/>
              </w:rPr>
            </w:pPr>
          </w:p>
        </w:tc>
        <w:tc>
          <w:tcPr>
            <w:tcW w:w="1559" w:type="dxa"/>
            <w:vAlign w:val="center"/>
          </w:tcPr>
          <w:p w14:paraId="063A6B02">
            <w:pPr>
              <w:spacing w:line="360" w:lineRule="auto"/>
              <w:ind w:firstLine="420" w:firstLineChars="200"/>
              <w:rPr>
                <w:rFonts w:asciiTheme="minorEastAsia" w:hAnsiTheme="minorEastAsia"/>
                <w:szCs w:val="21"/>
              </w:rPr>
            </w:pPr>
          </w:p>
        </w:tc>
        <w:tc>
          <w:tcPr>
            <w:tcW w:w="1560" w:type="dxa"/>
            <w:vAlign w:val="center"/>
          </w:tcPr>
          <w:p w14:paraId="74C19870">
            <w:pPr>
              <w:spacing w:line="360" w:lineRule="auto"/>
              <w:ind w:firstLine="420" w:firstLineChars="200"/>
              <w:rPr>
                <w:rFonts w:asciiTheme="minorEastAsia" w:hAnsiTheme="minorEastAsia"/>
                <w:szCs w:val="21"/>
              </w:rPr>
            </w:pPr>
          </w:p>
        </w:tc>
      </w:tr>
    </w:tbl>
    <w:p w14:paraId="05DB1664">
      <w:pPr>
        <w:spacing w:line="360" w:lineRule="auto"/>
        <w:rPr>
          <w:rFonts w:asciiTheme="minorEastAsia" w:hAnsiTheme="minorEastAsia"/>
          <w:color w:val="000000"/>
          <w:szCs w:val="21"/>
        </w:rPr>
      </w:pPr>
    </w:p>
    <w:p w14:paraId="0FADD03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5B7C568E">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7D91DAF3">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1E7C54E8">
      <w:pPr>
        <w:spacing w:line="360" w:lineRule="auto"/>
        <w:ind w:firstLine="420" w:firstLineChars="200"/>
        <w:rPr>
          <w:rFonts w:asciiTheme="minorEastAsia" w:hAnsiTheme="minorEastAsia"/>
          <w:szCs w:val="21"/>
        </w:rPr>
      </w:pPr>
    </w:p>
    <w:p w14:paraId="20DB2978">
      <w:pPr>
        <w:spacing w:line="360" w:lineRule="auto"/>
        <w:ind w:firstLine="420" w:firstLineChars="200"/>
        <w:rPr>
          <w:rFonts w:asciiTheme="minorEastAsia" w:hAnsiTheme="minorEastAsia"/>
          <w:szCs w:val="21"/>
        </w:rPr>
      </w:pPr>
      <w:r>
        <w:rPr>
          <w:rFonts w:hint="eastAsia" w:asciiTheme="minorEastAsia" w:hAnsiTheme="minorEastAsia"/>
          <w:szCs w:val="21"/>
        </w:rPr>
        <w:t>备注：</w:t>
      </w:r>
    </w:p>
    <w:p w14:paraId="263AA9AD">
      <w:pPr>
        <w:spacing w:line="360" w:lineRule="auto"/>
        <w:ind w:firstLine="420" w:firstLineChars="200"/>
        <w:rPr>
          <w:rFonts w:asciiTheme="minorEastAsia" w:hAnsiTheme="minorEastAsia"/>
          <w:szCs w:val="21"/>
        </w:rPr>
      </w:pPr>
      <w:r>
        <w:rPr>
          <w:rFonts w:hint="eastAsia" w:asciiTheme="minorEastAsia" w:hAnsiTheme="minorEastAsia"/>
          <w:szCs w:val="21"/>
        </w:rPr>
        <w:t>1.“技术规格</w:t>
      </w:r>
      <w:r>
        <w:rPr>
          <w:rFonts w:asciiTheme="minorEastAsia" w:hAnsiTheme="minorEastAsia"/>
          <w:szCs w:val="21"/>
        </w:rPr>
        <w:t>偏离表</w:t>
      </w:r>
      <w:r>
        <w:rPr>
          <w:rFonts w:hint="eastAsia" w:asciiTheme="minorEastAsia" w:hAnsiTheme="minorEastAsia"/>
          <w:szCs w:val="21"/>
        </w:rPr>
        <w:t>”一栏必须填写招标文件 “技术要求”的内容分别对应的内容进行填写。</w:t>
      </w:r>
    </w:p>
    <w:p w14:paraId="69E44C8D">
      <w:pPr>
        <w:spacing w:line="360" w:lineRule="auto"/>
        <w:ind w:firstLine="420" w:firstLineChars="200"/>
        <w:rPr>
          <w:rFonts w:asciiTheme="minorEastAsia" w:hAnsiTheme="minorEastAsia"/>
          <w:szCs w:val="21"/>
        </w:rPr>
      </w:pPr>
      <w:r>
        <w:rPr>
          <w:rFonts w:hint="eastAsia" w:asciiTheme="minorEastAsia" w:hAnsiTheme="minorEastAsia"/>
          <w:szCs w:val="21"/>
        </w:rPr>
        <w:t>2、“投标技术响应”一栏必须详细填写投标产品的具体参数，并应对照招标技术要求一一对应响应；</w:t>
      </w:r>
    </w:p>
    <w:p w14:paraId="31ABE5C6">
      <w:pPr>
        <w:spacing w:line="360" w:lineRule="auto"/>
        <w:ind w:firstLine="420" w:firstLineChars="200"/>
        <w:rPr>
          <w:rFonts w:asciiTheme="minorEastAsia" w:hAnsiTheme="minorEastAsia"/>
          <w:szCs w:val="21"/>
        </w:rPr>
      </w:pPr>
      <w:r>
        <w:rPr>
          <w:rFonts w:hint="eastAsia" w:asciiTheme="minorEastAsia" w:hAnsiTheme="minorEastAsia"/>
          <w:szCs w:val="21"/>
        </w:rPr>
        <w:t>3、“偏离情况”一栏应如实填写“正偏离”、“负偏离”或“无偏离”。</w:t>
      </w:r>
    </w:p>
    <w:p w14:paraId="296FFC56">
      <w:pPr>
        <w:spacing w:line="360" w:lineRule="auto"/>
        <w:ind w:firstLine="420" w:firstLineChars="200"/>
        <w:rPr>
          <w:rFonts w:asciiTheme="minorEastAsia" w:hAnsiTheme="minorEastAsia"/>
          <w:szCs w:val="21"/>
        </w:rPr>
      </w:pPr>
      <w:r>
        <w:rPr>
          <w:rFonts w:hint="eastAsia" w:asciiTheme="minorEastAsia" w:hAnsiTheme="minorEastAsia"/>
          <w:szCs w:val="21"/>
        </w:rPr>
        <w:t>4、投标产品的技术参数应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4BB82E64">
      <w:pPr>
        <w:spacing w:line="360" w:lineRule="auto"/>
        <w:ind w:firstLine="420" w:firstLineChars="200"/>
        <w:rPr>
          <w:rFonts w:asciiTheme="minorEastAsia" w:hAnsiTheme="minorEastAsia"/>
          <w:szCs w:val="21"/>
        </w:rPr>
      </w:pPr>
      <w:r>
        <w:rPr>
          <w:rFonts w:hint="eastAsia" w:asciiTheme="minorEastAsia" w:hAnsiTheme="minorEastAsia"/>
          <w:szCs w:val="21"/>
        </w:rPr>
        <w:t>5、证明资料（均为原件扫描件）的提供要求：</w:t>
      </w:r>
    </w:p>
    <w:p w14:paraId="6F471483">
      <w:pPr>
        <w:spacing w:line="360" w:lineRule="auto"/>
        <w:ind w:firstLine="420" w:firstLineChars="200"/>
        <w:rPr>
          <w:rFonts w:asciiTheme="minorEastAsia" w:hAnsiTheme="minorEastAsia"/>
          <w:szCs w:val="21"/>
        </w:rPr>
      </w:pPr>
      <w:r>
        <w:rPr>
          <w:rFonts w:hint="eastAsia" w:asciiTheme="minorEastAsia" w:hAnsiTheme="minorEastAsia"/>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4E7B6585">
      <w:pPr>
        <w:spacing w:line="360" w:lineRule="auto"/>
        <w:ind w:firstLine="420" w:firstLineChars="200"/>
        <w:rPr>
          <w:rFonts w:asciiTheme="minorEastAsia" w:hAnsiTheme="minorEastAsia"/>
          <w:szCs w:val="21"/>
        </w:rPr>
      </w:pPr>
      <w:r>
        <w:rPr>
          <w:rFonts w:hint="eastAsia" w:asciiTheme="minorEastAsia" w:hAnsiTheme="minorEastAsia"/>
          <w:szCs w:val="21"/>
        </w:rPr>
        <w:t>（2）我国政府机构出具的产品检验和核准证件应为证件正面、背面和附件标注的全部具体内容；产品检验和核准证件的尺寸和清晰度应该能够在电脑上被阅读、识别和判断。</w:t>
      </w:r>
    </w:p>
    <w:p w14:paraId="54E9356D">
      <w:pPr>
        <w:spacing w:line="360" w:lineRule="auto"/>
        <w:ind w:firstLine="420" w:firstLineChars="200"/>
        <w:rPr>
          <w:rFonts w:asciiTheme="minorEastAsia" w:hAnsiTheme="minorEastAsia"/>
          <w:szCs w:val="21"/>
        </w:rPr>
      </w:pPr>
      <w:r>
        <w:rPr>
          <w:rFonts w:hint="eastAsia" w:asciiTheme="minorEastAsia" w:hAnsiTheme="minorEastAsia"/>
          <w:szCs w:val="21"/>
        </w:rPr>
        <w:t>未达到以上提供要求的，评审委员会有权认定为不合格响应，其相关分数予以扣减或作废标处理。</w:t>
      </w:r>
    </w:p>
    <w:p w14:paraId="4519621F">
      <w:pPr>
        <w:spacing w:line="360" w:lineRule="auto"/>
        <w:ind w:firstLine="420" w:firstLineChars="200"/>
        <w:rPr>
          <w:rFonts w:asciiTheme="minorEastAsia" w:hAnsiTheme="minorEastAsia"/>
          <w:szCs w:val="21"/>
        </w:rPr>
      </w:pPr>
      <w:r>
        <w:rPr>
          <w:rFonts w:hint="eastAsia" w:asciiTheme="minorEastAsia" w:hAnsiTheme="minorEastAsia"/>
          <w:szCs w:val="21"/>
        </w:rPr>
        <w:t>6、评审委员会有权对以谋取中标为目的的技术规格模糊响应（如有意照搬照抄采购文件的技术要求）或虚假响应予以认定，并视情况经政府采购代理机构报市政府采购监督管理部门予以处罚。</w:t>
      </w:r>
    </w:p>
    <w:p w14:paraId="0B98BB0F">
      <w:pPr>
        <w:spacing w:line="360" w:lineRule="auto"/>
        <w:ind w:firstLine="420" w:firstLineChars="200"/>
        <w:rPr>
          <w:rFonts w:asciiTheme="minorEastAsia" w:hAnsiTheme="minorEastAsia"/>
          <w:szCs w:val="21"/>
        </w:rPr>
        <w:sectPr>
          <w:pgSz w:w="11906" w:h="16838"/>
          <w:pgMar w:top="1418" w:right="1474" w:bottom="1418" w:left="1474" w:header="851" w:footer="992" w:gutter="0"/>
          <w:cols w:space="720" w:num="1"/>
          <w:titlePg/>
          <w:docGrid w:type="lines" w:linePitch="312" w:charSpace="0"/>
        </w:sectPr>
      </w:pPr>
    </w:p>
    <w:p w14:paraId="06440557">
      <w:pPr>
        <w:spacing w:line="360" w:lineRule="auto"/>
        <w:ind w:firstLine="420" w:firstLineChars="200"/>
        <w:rPr>
          <w:rFonts w:asciiTheme="minorEastAsia" w:hAnsiTheme="minorEastAsia"/>
          <w:szCs w:val="21"/>
        </w:rPr>
      </w:pPr>
      <w:r>
        <w:rPr>
          <w:rFonts w:asciiTheme="minorEastAsia" w:hAnsiTheme="minorEastAsia"/>
          <w:szCs w:val="21"/>
        </w:rPr>
        <w:t>9</w:t>
      </w:r>
      <w:r>
        <w:rPr>
          <w:rFonts w:hint="eastAsia" w:asciiTheme="minorEastAsia" w:hAnsiTheme="minorEastAsia"/>
          <w:szCs w:val="21"/>
        </w:rPr>
        <w:t>、商务条款偏离表（如有）</w:t>
      </w:r>
    </w:p>
    <w:p w14:paraId="674AF9B5">
      <w:pPr>
        <w:keepNext/>
        <w:keepLines/>
        <w:spacing w:before="160" w:after="170"/>
        <w:jc w:val="center"/>
        <w:outlineLvl w:val="4"/>
        <w:rPr>
          <w:b/>
          <w:bCs/>
          <w:sz w:val="30"/>
          <w:szCs w:val="28"/>
        </w:rPr>
      </w:pPr>
      <w:r>
        <w:rPr>
          <w:rFonts w:hint="eastAsia"/>
          <w:b/>
          <w:bCs/>
          <w:sz w:val="30"/>
          <w:szCs w:val="28"/>
        </w:rPr>
        <w:t>商务条款偏离表</w:t>
      </w:r>
      <w:bookmarkEnd w:id="166"/>
    </w:p>
    <w:p w14:paraId="1B6E0FE7">
      <w:pPr>
        <w:spacing w:line="360" w:lineRule="auto"/>
        <w:ind w:firstLine="420" w:firstLineChars="200"/>
        <w:rPr>
          <w:rFonts w:asciiTheme="minorEastAsia" w:hAnsiTheme="minorEastAsia"/>
          <w:szCs w:val="21"/>
        </w:rPr>
      </w:pPr>
      <w:r>
        <w:rPr>
          <w:rFonts w:hint="eastAsia" w:asciiTheme="minorEastAsia" w:hAnsiTheme="minorEastAsia"/>
          <w:szCs w:val="21"/>
        </w:rPr>
        <w:t>项目名称：</w:t>
      </w:r>
      <w:r>
        <w:rPr>
          <w:rFonts w:hint="eastAsia" w:asciiTheme="minorEastAsia" w:hAnsiTheme="minorEastAsia"/>
          <w:szCs w:val="21"/>
          <w:u w:val="single"/>
        </w:rPr>
        <w:t xml:space="preserve">                          </w:t>
      </w:r>
      <w:r>
        <w:rPr>
          <w:rFonts w:hint="eastAsia" w:asciiTheme="minorEastAsia" w:hAnsiTheme="minorEastAsia"/>
          <w:szCs w:val="21"/>
        </w:rPr>
        <w:t xml:space="preserve"> </w:t>
      </w:r>
    </w:p>
    <w:p w14:paraId="27618733">
      <w:pPr>
        <w:spacing w:line="360" w:lineRule="auto"/>
        <w:ind w:firstLine="420" w:firstLineChars="200"/>
        <w:rPr>
          <w:rFonts w:asciiTheme="minorEastAsia" w:hAnsiTheme="minorEastAsia"/>
          <w:szCs w:val="21"/>
        </w:rPr>
      </w:pPr>
      <w:r>
        <w:rPr>
          <w:rFonts w:hint="eastAsia" w:asciiTheme="minorEastAsia" w:hAnsiTheme="minorEastAsia"/>
          <w:szCs w:val="21"/>
        </w:rPr>
        <w:t>项目编号：</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u w:val="single"/>
        </w:rPr>
        <w:t xml:space="preserve">         </w:t>
      </w:r>
      <w:r>
        <w:rPr>
          <w:rFonts w:hint="eastAsia" w:asciiTheme="minorEastAsia" w:hAnsiTheme="minorEastAsia"/>
          <w:szCs w:val="21"/>
        </w:rPr>
        <w:t xml:space="preserve"> </w:t>
      </w:r>
    </w:p>
    <w:tbl>
      <w:tblPr>
        <w:tblStyle w:val="15"/>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766"/>
        <w:gridCol w:w="2126"/>
        <w:gridCol w:w="1276"/>
        <w:gridCol w:w="2835"/>
      </w:tblGrid>
      <w:tr w14:paraId="437A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923" w:type="dxa"/>
            <w:vAlign w:val="center"/>
          </w:tcPr>
          <w:p w14:paraId="69A12F0F">
            <w:pPr>
              <w:spacing w:line="360" w:lineRule="auto"/>
              <w:jc w:val="center"/>
              <w:rPr>
                <w:rFonts w:asciiTheme="minorEastAsia" w:hAnsiTheme="minorEastAsia"/>
                <w:szCs w:val="21"/>
              </w:rPr>
            </w:pPr>
            <w:r>
              <w:rPr>
                <w:rFonts w:hint="eastAsia" w:asciiTheme="minorEastAsia" w:hAnsiTheme="minorEastAsia"/>
                <w:szCs w:val="21"/>
              </w:rPr>
              <w:t>序号</w:t>
            </w:r>
          </w:p>
        </w:tc>
        <w:tc>
          <w:tcPr>
            <w:tcW w:w="1766" w:type="dxa"/>
            <w:vAlign w:val="center"/>
          </w:tcPr>
          <w:p w14:paraId="4895CA0A">
            <w:pPr>
              <w:spacing w:line="360" w:lineRule="auto"/>
              <w:jc w:val="center"/>
              <w:rPr>
                <w:rFonts w:asciiTheme="minorEastAsia" w:hAnsiTheme="minorEastAsia"/>
                <w:szCs w:val="21"/>
              </w:rPr>
            </w:pPr>
            <w:r>
              <w:rPr>
                <w:rFonts w:hint="eastAsia" w:asciiTheme="minorEastAsia" w:hAnsiTheme="minorEastAsia"/>
                <w:szCs w:val="21"/>
              </w:rPr>
              <w:t>招标文件商务条款</w:t>
            </w:r>
          </w:p>
        </w:tc>
        <w:tc>
          <w:tcPr>
            <w:tcW w:w="2126" w:type="dxa"/>
            <w:vAlign w:val="center"/>
          </w:tcPr>
          <w:p w14:paraId="54DC09E0">
            <w:pPr>
              <w:spacing w:line="360" w:lineRule="auto"/>
              <w:jc w:val="center"/>
              <w:rPr>
                <w:rFonts w:asciiTheme="minorEastAsia" w:hAnsiTheme="minorEastAsia"/>
                <w:szCs w:val="21"/>
              </w:rPr>
            </w:pPr>
            <w:r>
              <w:rPr>
                <w:rFonts w:hint="eastAsia" w:asciiTheme="minorEastAsia" w:hAnsiTheme="minorEastAsia"/>
                <w:szCs w:val="21"/>
              </w:rPr>
              <w:t>投标文件商务条款</w:t>
            </w:r>
          </w:p>
        </w:tc>
        <w:tc>
          <w:tcPr>
            <w:tcW w:w="1276" w:type="dxa"/>
            <w:vAlign w:val="center"/>
          </w:tcPr>
          <w:p w14:paraId="1DEED031">
            <w:pPr>
              <w:spacing w:line="360" w:lineRule="auto"/>
              <w:jc w:val="center"/>
              <w:rPr>
                <w:rFonts w:asciiTheme="minorEastAsia" w:hAnsiTheme="minorEastAsia"/>
                <w:szCs w:val="21"/>
              </w:rPr>
            </w:pPr>
            <w:r>
              <w:rPr>
                <w:rFonts w:hint="eastAsia" w:asciiTheme="minorEastAsia" w:hAnsiTheme="minorEastAsia"/>
                <w:szCs w:val="21"/>
              </w:rPr>
              <w:t>偏离</w:t>
            </w:r>
            <w:r>
              <w:rPr>
                <w:rFonts w:asciiTheme="minorEastAsia" w:hAnsiTheme="minorEastAsia"/>
                <w:szCs w:val="21"/>
              </w:rPr>
              <w:t>情况</w:t>
            </w:r>
          </w:p>
        </w:tc>
        <w:tc>
          <w:tcPr>
            <w:tcW w:w="2835" w:type="dxa"/>
            <w:vAlign w:val="center"/>
          </w:tcPr>
          <w:p w14:paraId="12399725">
            <w:pPr>
              <w:spacing w:line="360" w:lineRule="auto"/>
              <w:jc w:val="center"/>
              <w:rPr>
                <w:rFonts w:asciiTheme="minorEastAsia" w:hAnsiTheme="minorEastAsia"/>
                <w:szCs w:val="21"/>
              </w:rPr>
            </w:pPr>
            <w:r>
              <w:rPr>
                <w:rFonts w:hint="eastAsia" w:asciiTheme="minorEastAsia" w:hAnsiTheme="minorEastAsia"/>
                <w:szCs w:val="21"/>
              </w:rPr>
              <w:t>说明</w:t>
            </w:r>
          </w:p>
        </w:tc>
      </w:tr>
      <w:tr w14:paraId="5380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3" w:type="dxa"/>
            <w:vAlign w:val="center"/>
          </w:tcPr>
          <w:p w14:paraId="2FBFCF8C">
            <w:pPr>
              <w:spacing w:line="360" w:lineRule="auto"/>
              <w:ind w:firstLine="420" w:firstLineChars="200"/>
              <w:rPr>
                <w:rFonts w:asciiTheme="minorEastAsia" w:hAnsiTheme="minorEastAsia"/>
                <w:szCs w:val="21"/>
              </w:rPr>
            </w:pPr>
          </w:p>
        </w:tc>
        <w:tc>
          <w:tcPr>
            <w:tcW w:w="1766" w:type="dxa"/>
            <w:vAlign w:val="center"/>
          </w:tcPr>
          <w:p w14:paraId="03463511">
            <w:pPr>
              <w:spacing w:line="360" w:lineRule="auto"/>
              <w:ind w:firstLine="420" w:firstLineChars="200"/>
              <w:rPr>
                <w:rFonts w:asciiTheme="minorEastAsia" w:hAnsiTheme="minorEastAsia"/>
                <w:szCs w:val="21"/>
              </w:rPr>
            </w:pPr>
          </w:p>
        </w:tc>
        <w:tc>
          <w:tcPr>
            <w:tcW w:w="2126" w:type="dxa"/>
            <w:vAlign w:val="center"/>
          </w:tcPr>
          <w:p w14:paraId="70F11229">
            <w:pPr>
              <w:spacing w:line="360" w:lineRule="auto"/>
              <w:ind w:firstLine="420" w:firstLineChars="200"/>
              <w:rPr>
                <w:rFonts w:asciiTheme="minorEastAsia" w:hAnsiTheme="minorEastAsia"/>
                <w:szCs w:val="21"/>
              </w:rPr>
            </w:pPr>
          </w:p>
        </w:tc>
        <w:tc>
          <w:tcPr>
            <w:tcW w:w="1276" w:type="dxa"/>
            <w:vAlign w:val="center"/>
          </w:tcPr>
          <w:p w14:paraId="22381706">
            <w:pPr>
              <w:spacing w:line="360" w:lineRule="auto"/>
              <w:ind w:firstLine="420" w:firstLineChars="200"/>
              <w:rPr>
                <w:rFonts w:asciiTheme="minorEastAsia" w:hAnsiTheme="minorEastAsia"/>
                <w:szCs w:val="21"/>
              </w:rPr>
            </w:pPr>
          </w:p>
        </w:tc>
        <w:tc>
          <w:tcPr>
            <w:tcW w:w="2835" w:type="dxa"/>
            <w:vAlign w:val="center"/>
          </w:tcPr>
          <w:p w14:paraId="627A0E7A">
            <w:pPr>
              <w:spacing w:line="360" w:lineRule="auto"/>
              <w:ind w:firstLine="420" w:firstLineChars="200"/>
              <w:rPr>
                <w:rFonts w:asciiTheme="minorEastAsia" w:hAnsiTheme="minorEastAsia"/>
                <w:szCs w:val="21"/>
              </w:rPr>
            </w:pPr>
          </w:p>
        </w:tc>
      </w:tr>
      <w:tr w14:paraId="6C83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3" w:type="dxa"/>
            <w:vAlign w:val="center"/>
          </w:tcPr>
          <w:p w14:paraId="6F07FDC9">
            <w:pPr>
              <w:spacing w:line="360" w:lineRule="auto"/>
              <w:ind w:firstLine="420" w:firstLineChars="200"/>
              <w:rPr>
                <w:rFonts w:asciiTheme="minorEastAsia" w:hAnsiTheme="minorEastAsia"/>
                <w:szCs w:val="21"/>
              </w:rPr>
            </w:pPr>
          </w:p>
        </w:tc>
        <w:tc>
          <w:tcPr>
            <w:tcW w:w="1766" w:type="dxa"/>
            <w:vAlign w:val="center"/>
          </w:tcPr>
          <w:p w14:paraId="56A4AF5F">
            <w:pPr>
              <w:spacing w:line="360" w:lineRule="auto"/>
              <w:ind w:firstLine="420" w:firstLineChars="200"/>
              <w:rPr>
                <w:rFonts w:asciiTheme="minorEastAsia" w:hAnsiTheme="minorEastAsia"/>
                <w:szCs w:val="21"/>
              </w:rPr>
            </w:pPr>
          </w:p>
        </w:tc>
        <w:tc>
          <w:tcPr>
            <w:tcW w:w="2126" w:type="dxa"/>
            <w:vAlign w:val="center"/>
          </w:tcPr>
          <w:p w14:paraId="4424B698">
            <w:pPr>
              <w:spacing w:line="360" w:lineRule="auto"/>
              <w:ind w:firstLine="420" w:firstLineChars="200"/>
              <w:rPr>
                <w:rFonts w:asciiTheme="minorEastAsia" w:hAnsiTheme="minorEastAsia"/>
                <w:szCs w:val="21"/>
              </w:rPr>
            </w:pPr>
          </w:p>
        </w:tc>
        <w:tc>
          <w:tcPr>
            <w:tcW w:w="1276" w:type="dxa"/>
            <w:vAlign w:val="center"/>
          </w:tcPr>
          <w:p w14:paraId="65CB8BB2">
            <w:pPr>
              <w:spacing w:line="360" w:lineRule="auto"/>
              <w:ind w:firstLine="420" w:firstLineChars="200"/>
              <w:rPr>
                <w:rFonts w:asciiTheme="minorEastAsia" w:hAnsiTheme="minorEastAsia"/>
                <w:szCs w:val="21"/>
              </w:rPr>
            </w:pPr>
          </w:p>
        </w:tc>
        <w:tc>
          <w:tcPr>
            <w:tcW w:w="2835" w:type="dxa"/>
            <w:vAlign w:val="center"/>
          </w:tcPr>
          <w:p w14:paraId="3059928B">
            <w:pPr>
              <w:spacing w:line="360" w:lineRule="auto"/>
              <w:ind w:firstLine="420" w:firstLineChars="200"/>
              <w:rPr>
                <w:rFonts w:asciiTheme="minorEastAsia" w:hAnsiTheme="minorEastAsia"/>
                <w:szCs w:val="21"/>
              </w:rPr>
            </w:pPr>
          </w:p>
        </w:tc>
      </w:tr>
      <w:tr w14:paraId="3D15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923" w:type="dxa"/>
            <w:vAlign w:val="center"/>
          </w:tcPr>
          <w:p w14:paraId="1E83D5F6">
            <w:pPr>
              <w:spacing w:line="360" w:lineRule="auto"/>
              <w:ind w:firstLine="420" w:firstLineChars="200"/>
              <w:rPr>
                <w:rFonts w:asciiTheme="minorEastAsia" w:hAnsiTheme="minorEastAsia"/>
                <w:szCs w:val="21"/>
              </w:rPr>
            </w:pPr>
          </w:p>
        </w:tc>
        <w:tc>
          <w:tcPr>
            <w:tcW w:w="1766" w:type="dxa"/>
            <w:vAlign w:val="center"/>
          </w:tcPr>
          <w:p w14:paraId="65FA3F67">
            <w:pPr>
              <w:spacing w:line="360" w:lineRule="auto"/>
              <w:ind w:firstLine="420" w:firstLineChars="200"/>
              <w:rPr>
                <w:rFonts w:asciiTheme="minorEastAsia" w:hAnsiTheme="minorEastAsia"/>
                <w:szCs w:val="21"/>
              </w:rPr>
            </w:pPr>
          </w:p>
        </w:tc>
        <w:tc>
          <w:tcPr>
            <w:tcW w:w="2126" w:type="dxa"/>
            <w:vAlign w:val="center"/>
          </w:tcPr>
          <w:p w14:paraId="4B013384">
            <w:pPr>
              <w:spacing w:line="360" w:lineRule="auto"/>
              <w:ind w:firstLine="420" w:firstLineChars="200"/>
              <w:rPr>
                <w:rFonts w:asciiTheme="minorEastAsia" w:hAnsiTheme="minorEastAsia"/>
                <w:szCs w:val="21"/>
              </w:rPr>
            </w:pPr>
          </w:p>
        </w:tc>
        <w:tc>
          <w:tcPr>
            <w:tcW w:w="1276" w:type="dxa"/>
            <w:vAlign w:val="center"/>
          </w:tcPr>
          <w:p w14:paraId="54B2F3FA">
            <w:pPr>
              <w:spacing w:line="360" w:lineRule="auto"/>
              <w:ind w:firstLine="420" w:firstLineChars="200"/>
              <w:rPr>
                <w:rFonts w:asciiTheme="minorEastAsia" w:hAnsiTheme="minorEastAsia"/>
                <w:szCs w:val="21"/>
              </w:rPr>
            </w:pPr>
          </w:p>
        </w:tc>
        <w:tc>
          <w:tcPr>
            <w:tcW w:w="2835" w:type="dxa"/>
            <w:vAlign w:val="center"/>
          </w:tcPr>
          <w:p w14:paraId="41883905">
            <w:pPr>
              <w:spacing w:line="360" w:lineRule="auto"/>
              <w:ind w:firstLine="420" w:firstLineChars="200"/>
              <w:rPr>
                <w:rFonts w:asciiTheme="minorEastAsia" w:hAnsiTheme="minorEastAsia"/>
                <w:szCs w:val="21"/>
              </w:rPr>
            </w:pPr>
          </w:p>
        </w:tc>
      </w:tr>
      <w:tr w14:paraId="58D4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923" w:type="dxa"/>
            <w:vAlign w:val="center"/>
          </w:tcPr>
          <w:p w14:paraId="1E6F134D">
            <w:pPr>
              <w:spacing w:line="360" w:lineRule="auto"/>
              <w:ind w:firstLine="420" w:firstLineChars="200"/>
              <w:rPr>
                <w:rFonts w:asciiTheme="minorEastAsia" w:hAnsiTheme="minorEastAsia"/>
                <w:szCs w:val="21"/>
              </w:rPr>
            </w:pPr>
          </w:p>
        </w:tc>
        <w:tc>
          <w:tcPr>
            <w:tcW w:w="1766" w:type="dxa"/>
            <w:vAlign w:val="center"/>
          </w:tcPr>
          <w:p w14:paraId="65B43501">
            <w:pPr>
              <w:spacing w:line="360" w:lineRule="auto"/>
              <w:ind w:firstLine="420" w:firstLineChars="200"/>
              <w:rPr>
                <w:rFonts w:asciiTheme="minorEastAsia" w:hAnsiTheme="minorEastAsia"/>
                <w:szCs w:val="21"/>
              </w:rPr>
            </w:pPr>
          </w:p>
        </w:tc>
        <w:tc>
          <w:tcPr>
            <w:tcW w:w="2126" w:type="dxa"/>
            <w:vAlign w:val="center"/>
          </w:tcPr>
          <w:p w14:paraId="015815CC">
            <w:pPr>
              <w:spacing w:line="360" w:lineRule="auto"/>
              <w:ind w:firstLine="420" w:firstLineChars="200"/>
              <w:rPr>
                <w:rFonts w:asciiTheme="minorEastAsia" w:hAnsiTheme="minorEastAsia"/>
                <w:szCs w:val="21"/>
              </w:rPr>
            </w:pPr>
          </w:p>
        </w:tc>
        <w:tc>
          <w:tcPr>
            <w:tcW w:w="1276" w:type="dxa"/>
            <w:vAlign w:val="center"/>
          </w:tcPr>
          <w:p w14:paraId="41FD1D17">
            <w:pPr>
              <w:spacing w:line="360" w:lineRule="auto"/>
              <w:ind w:firstLine="420" w:firstLineChars="200"/>
              <w:rPr>
                <w:rFonts w:asciiTheme="minorEastAsia" w:hAnsiTheme="minorEastAsia"/>
                <w:szCs w:val="21"/>
              </w:rPr>
            </w:pPr>
          </w:p>
        </w:tc>
        <w:tc>
          <w:tcPr>
            <w:tcW w:w="2835" w:type="dxa"/>
            <w:vAlign w:val="center"/>
          </w:tcPr>
          <w:p w14:paraId="27699045">
            <w:pPr>
              <w:spacing w:line="360" w:lineRule="auto"/>
              <w:ind w:firstLine="420" w:firstLineChars="200"/>
              <w:rPr>
                <w:rFonts w:asciiTheme="minorEastAsia" w:hAnsiTheme="minorEastAsia"/>
                <w:szCs w:val="21"/>
              </w:rPr>
            </w:pPr>
          </w:p>
        </w:tc>
      </w:tr>
    </w:tbl>
    <w:p w14:paraId="28ADD079">
      <w:pPr>
        <w:spacing w:line="360" w:lineRule="auto"/>
        <w:rPr>
          <w:rFonts w:asciiTheme="minorEastAsia" w:hAnsiTheme="minorEastAsia"/>
          <w:color w:val="000000"/>
          <w:szCs w:val="21"/>
        </w:rPr>
      </w:pPr>
    </w:p>
    <w:p w14:paraId="31D4668A">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7F0E8D60">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41120567">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120F9AD7">
      <w:pPr>
        <w:ind w:firstLine="420" w:firstLineChars="200"/>
      </w:pPr>
    </w:p>
    <w:p w14:paraId="495F5CC5">
      <w:pPr>
        <w:spacing w:line="360" w:lineRule="auto"/>
        <w:ind w:firstLine="420" w:firstLineChars="200"/>
        <w:rPr>
          <w:rFonts w:asciiTheme="minorEastAsia" w:hAnsiTheme="minorEastAsia"/>
          <w:szCs w:val="21"/>
        </w:rPr>
      </w:pPr>
      <w:r>
        <w:rPr>
          <w:rFonts w:hint="eastAsia" w:asciiTheme="minorEastAsia" w:hAnsiTheme="minorEastAsia"/>
          <w:szCs w:val="21"/>
        </w:rPr>
        <w:t>备注：</w:t>
      </w:r>
    </w:p>
    <w:p w14:paraId="3195CB77">
      <w:pPr>
        <w:spacing w:line="360" w:lineRule="auto"/>
        <w:ind w:firstLine="420" w:firstLineChars="200"/>
        <w:rPr>
          <w:rFonts w:asciiTheme="minorEastAsia" w:hAnsiTheme="minorEastAsia"/>
          <w:szCs w:val="21"/>
        </w:rPr>
      </w:pPr>
      <w:r>
        <w:rPr>
          <w:rFonts w:hint="eastAsia" w:asciiTheme="minorEastAsia" w:hAnsiTheme="minorEastAsia"/>
          <w:szCs w:val="21"/>
        </w:rPr>
        <w:t>1.“商务需求”一栏必须填写招标文件 “商务要求”的内容分别对应的内容进行填写。</w:t>
      </w:r>
    </w:p>
    <w:p w14:paraId="2991DAF9">
      <w:pPr>
        <w:spacing w:line="360" w:lineRule="auto"/>
        <w:ind w:firstLine="420" w:firstLineChars="200"/>
        <w:rPr>
          <w:rFonts w:asciiTheme="minorEastAsia" w:hAnsiTheme="minorEastAsia"/>
          <w:szCs w:val="21"/>
        </w:rPr>
      </w:pPr>
      <w:r>
        <w:rPr>
          <w:rFonts w:hint="eastAsia" w:asciiTheme="minorEastAsia" w:hAnsiTheme="minorEastAsia"/>
          <w:szCs w:val="21"/>
        </w:rPr>
        <w:t>2.“投标商务条款”一栏必须详细填写投标商务条款的内容，并应对照招标商务要求一一对应响应。</w:t>
      </w:r>
    </w:p>
    <w:p w14:paraId="56417F22">
      <w:pPr>
        <w:spacing w:line="360" w:lineRule="auto"/>
        <w:ind w:firstLine="420" w:firstLineChars="200"/>
        <w:rPr>
          <w:rFonts w:asciiTheme="minorEastAsia" w:hAnsiTheme="minorEastAsia"/>
          <w:szCs w:val="21"/>
        </w:rPr>
      </w:pPr>
      <w:r>
        <w:rPr>
          <w:rFonts w:hint="eastAsia" w:asciiTheme="minorEastAsia" w:hAnsiTheme="minorEastAsia"/>
          <w:szCs w:val="21"/>
        </w:rPr>
        <w:t>3.“偏离情况”栏中应如实填写“正偏离”、“负偏离”或“无偏离”。</w:t>
      </w:r>
    </w:p>
    <w:p w14:paraId="03A20074">
      <w:pPr>
        <w:spacing w:line="360" w:lineRule="auto"/>
        <w:ind w:firstLine="420" w:firstLineChars="200"/>
        <w:rPr>
          <w:rFonts w:asciiTheme="minorEastAsia" w:hAnsiTheme="minorEastAsia"/>
          <w:szCs w:val="21"/>
        </w:rPr>
      </w:pPr>
      <w:r>
        <w:rPr>
          <w:rFonts w:hint="eastAsia" w:asciiTheme="minorEastAsia" w:hAnsiTheme="minorEastAsia"/>
          <w:szCs w:val="21"/>
        </w:rPr>
        <w:t>3.交货期条款为不可负偏离条款，投标文件响应为“负偏离”的，投标文件将按废标处理。</w:t>
      </w:r>
    </w:p>
    <w:p w14:paraId="0A122C27">
      <w:pPr>
        <w:spacing w:line="360" w:lineRule="auto"/>
        <w:ind w:firstLine="420" w:firstLineChars="200"/>
        <w:rPr>
          <w:rFonts w:asciiTheme="minorEastAsia" w:hAnsiTheme="minorEastAsia"/>
          <w:b/>
          <w:snapToGrid w:val="0"/>
          <w:kern w:val="0"/>
          <w:szCs w:val="21"/>
        </w:rPr>
      </w:pPr>
      <w:r>
        <w:rPr>
          <w:rFonts w:hint="eastAsia" w:asciiTheme="minorEastAsia" w:hAnsiTheme="minorEastAsia"/>
          <w:szCs w:val="21"/>
        </w:rPr>
        <w:t>4.开标一览表中填写的“交货期”必须与本表填写的“交货期”一致。如填写不一致，以开标一览表填写的“交货期”为准。</w:t>
      </w:r>
      <w:bookmarkEnd w:id="164"/>
      <w:bookmarkStart w:id="168" w:name="_Toc437"/>
    </w:p>
    <w:p w14:paraId="497D1B96">
      <w:pPr>
        <w:spacing w:line="360" w:lineRule="auto"/>
        <w:ind w:firstLine="420" w:firstLineChars="200"/>
        <w:rPr>
          <w:rFonts w:asciiTheme="minorEastAsia" w:hAnsiTheme="minorEastAsia"/>
          <w:szCs w:val="21"/>
        </w:rPr>
        <w:sectPr>
          <w:pgSz w:w="11906" w:h="16838"/>
          <w:pgMar w:top="1418" w:right="1418" w:bottom="1418" w:left="1418" w:header="851" w:footer="992" w:gutter="0"/>
          <w:cols w:space="720" w:num="1"/>
          <w:titlePg/>
          <w:docGrid w:type="lines" w:linePitch="312" w:charSpace="0"/>
        </w:sectPr>
      </w:pPr>
    </w:p>
    <w:p w14:paraId="3E05E142">
      <w:pPr>
        <w:spacing w:line="360" w:lineRule="auto"/>
        <w:ind w:firstLine="420" w:firstLineChars="200"/>
        <w:rPr>
          <w:rFonts w:asciiTheme="minorEastAsia" w:hAnsiTheme="minorEastAsia"/>
          <w:szCs w:val="21"/>
        </w:rPr>
      </w:pPr>
      <w:r>
        <w:rPr>
          <w:rFonts w:hint="eastAsia" w:asciiTheme="minorEastAsia" w:hAnsiTheme="minorEastAsia"/>
          <w:szCs w:val="21"/>
        </w:rPr>
        <w:t>附件</w:t>
      </w:r>
      <w:r>
        <w:rPr>
          <w:rFonts w:asciiTheme="minorEastAsia" w:hAnsiTheme="minorEastAsia"/>
          <w:szCs w:val="21"/>
        </w:rPr>
        <w:t>10</w:t>
      </w:r>
      <w:r>
        <w:rPr>
          <w:rFonts w:hint="eastAsia" w:asciiTheme="minorEastAsia" w:hAnsiTheme="minorEastAsia"/>
          <w:szCs w:val="21"/>
        </w:rPr>
        <w:t>：项目实施方案格式</w:t>
      </w:r>
      <w:bookmarkEnd w:id="168"/>
    </w:p>
    <w:p w14:paraId="066AABF9">
      <w:pPr>
        <w:keepNext/>
        <w:keepLines/>
        <w:spacing w:before="160" w:after="170"/>
        <w:ind w:firstLine="602" w:firstLineChars="200"/>
        <w:jc w:val="center"/>
        <w:outlineLvl w:val="4"/>
        <w:rPr>
          <w:b/>
          <w:bCs/>
          <w:sz w:val="30"/>
          <w:szCs w:val="28"/>
        </w:rPr>
      </w:pPr>
      <w:bookmarkStart w:id="169" w:name="_Toc55548547"/>
      <w:r>
        <w:rPr>
          <w:rFonts w:hint="eastAsia"/>
          <w:b/>
          <w:bCs/>
          <w:sz w:val="30"/>
          <w:szCs w:val="28"/>
        </w:rPr>
        <w:t>项目实施方案</w:t>
      </w:r>
      <w:bookmarkEnd w:id="169"/>
    </w:p>
    <w:p w14:paraId="13541549">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2028BF57">
      <w:pPr>
        <w:spacing w:line="360" w:lineRule="auto"/>
        <w:ind w:firstLine="420" w:firstLineChars="200"/>
        <w:rPr>
          <w:rFonts w:asciiTheme="minorEastAsia" w:hAnsiTheme="minorEastAsia"/>
          <w:szCs w:val="21"/>
        </w:rPr>
      </w:pPr>
      <w:r>
        <w:rPr>
          <w:rFonts w:hint="eastAsia" w:asciiTheme="minorEastAsia" w:hAnsiTheme="minorEastAsia"/>
          <w:szCs w:val="21"/>
        </w:rPr>
        <w:t>1、项目实施方案、实施进度表</w:t>
      </w:r>
    </w:p>
    <w:p w14:paraId="7E4F07ED">
      <w:pPr>
        <w:spacing w:line="360" w:lineRule="auto"/>
        <w:ind w:firstLine="420" w:firstLineChars="200"/>
        <w:rPr>
          <w:rFonts w:asciiTheme="minorEastAsia" w:hAnsiTheme="minorEastAsia"/>
          <w:szCs w:val="21"/>
        </w:rPr>
      </w:pPr>
      <w:r>
        <w:rPr>
          <w:rFonts w:hint="eastAsia" w:asciiTheme="minorEastAsia" w:hAnsiTheme="minorEastAsia"/>
          <w:szCs w:val="21"/>
        </w:rPr>
        <w:t>2、相关配套措施</w:t>
      </w:r>
    </w:p>
    <w:p w14:paraId="34CA889C">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（备注：该部分须与“技术保障措施”、“施工安全保障措施”、“商务需求”等部分承诺的内容相呼应，不得前后矛盾。）</w:t>
      </w:r>
    </w:p>
    <w:p w14:paraId="2F337F84">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70" w:name="_Toc3861"/>
      <w:r>
        <w:rPr>
          <w:rFonts w:hint="eastAsia" w:asciiTheme="minorEastAsia" w:hAnsiTheme="minorEastAsia"/>
          <w:szCs w:val="21"/>
        </w:rPr>
        <w:t>附件</w:t>
      </w:r>
      <w:r>
        <w:rPr>
          <w:rFonts w:asciiTheme="minorEastAsia" w:hAnsiTheme="minorEastAsia"/>
          <w:szCs w:val="21"/>
        </w:rPr>
        <w:t>11</w:t>
      </w:r>
      <w:r>
        <w:rPr>
          <w:rFonts w:hint="eastAsia" w:asciiTheme="minorEastAsia" w:hAnsiTheme="minorEastAsia"/>
          <w:szCs w:val="21"/>
        </w:rPr>
        <w:t>：售后服务方案格式</w:t>
      </w:r>
      <w:bookmarkEnd w:id="170"/>
    </w:p>
    <w:p w14:paraId="7E23AC47">
      <w:pPr>
        <w:keepNext/>
        <w:keepLines/>
        <w:spacing w:before="160" w:after="170"/>
        <w:ind w:firstLine="602" w:firstLineChars="200"/>
        <w:jc w:val="center"/>
        <w:outlineLvl w:val="4"/>
        <w:rPr>
          <w:b/>
          <w:bCs/>
          <w:sz w:val="30"/>
          <w:szCs w:val="28"/>
        </w:rPr>
      </w:pPr>
      <w:bookmarkStart w:id="171" w:name="_Toc55548548"/>
      <w:r>
        <w:rPr>
          <w:rFonts w:hint="eastAsia"/>
          <w:b/>
          <w:bCs/>
          <w:sz w:val="30"/>
          <w:szCs w:val="28"/>
        </w:rPr>
        <w:t>售后服务方案</w:t>
      </w:r>
      <w:bookmarkEnd w:id="171"/>
    </w:p>
    <w:p w14:paraId="317BD7D3">
      <w:pPr>
        <w:spacing w:line="360" w:lineRule="auto"/>
        <w:ind w:firstLine="420" w:firstLineChars="200"/>
        <w:rPr>
          <w:rFonts w:asciiTheme="minorEastAsia" w:hAnsiTheme="minorEastAsia"/>
          <w:szCs w:val="21"/>
        </w:rPr>
      </w:pPr>
      <w:r>
        <w:rPr>
          <w:rFonts w:hint="eastAsia" w:asciiTheme="minorEastAsia" w:hAnsiTheme="minorEastAsia"/>
          <w:szCs w:val="21"/>
        </w:rPr>
        <w:t>主要内容应包括(根据项目实际情况适当调整内容)：</w:t>
      </w:r>
    </w:p>
    <w:p w14:paraId="6F4F7ED6">
      <w:pPr>
        <w:spacing w:line="360" w:lineRule="auto"/>
        <w:ind w:firstLine="420" w:firstLineChars="200"/>
        <w:rPr>
          <w:rFonts w:asciiTheme="minorEastAsia" w:hAnsiTheme="minorEastAsia"/>
          <w:szCs w:val="21"/>
        </w:rPr>
      </w:pPr>
      <w:r>
        <w:rPr>
          <w:rFonts w:asciiTheme="minorEastAsia" w:hAnsiTheme="minorEastAsia"/>
          <w:szCs w:val="21"/>
        </w:rPr>
        <w:t>1</w:t>
      </w:r>
      <w:r>
        <w:rPr>
          <w:rFonts w:hint="eastAsia" w:asciiTheme="minorEastAsia" w:hAnsiTheme="minorEastAsia"/>
          <w:szCs w:val="21"/>
        </w:rPr>
        <w:t>、免费保修期；</w:t>
      </w:r>
    </w:p>
    <w:p w14:paraId="54895962">
      <w:pPr>
        <w:spacing w:line="360" w:lineRule="auto"/>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、故障或技术支持响应时间；</w:t>
      </w:r>
    </w:p>
    <w:p w14:paraId="7A921629">
      <w:pPr>
        <w:spacing w:line="360" w:lineRule="auto"/>
        <w:ind w:firstLine="420" w:firstLineChars="200"/>
        <w:rPr>
          <w:rFonts w:asciiTheme="minorEastAsia" w:hAnsiTheme="minorEastAsia"/>
          <w:szCs w:val="21"/>
        </w:rPr>
      </w:pPr>
      <w:r>
        <w:rPr>
          <w:rFonts w:asciiTheme="minorEastAsia" w:hAnsiTheme="minorEastAsia"/>
          <w:szCs w:val="21"/>
        </w:rPr>
        <w:t>3</w:t>
      </w:r>
      <w:r>
        <w:rPr>
          <w:rFonts w:hint="eastAsia" w:asciiTheme="minorEastAsia" w:hAnsiTheme="minorEastAsia"/>
          <w:szCs w:val="21"/>
        </w:rPr>
        <w:t>、投标人承诺的其他维修维护方案、措施</w:t>
      </w:r>
    </w:p>
    <w:p w14:paraId="2D292A2B">
      <w:pPr>
        <w:spacing w:line="360" w:lineRule="auto"/>
        <w:ind w:firstLine="420" w:firstLineChars="200"/>
        <w:rPr>
          <w:rFonts w:asciiTheme="minorEastAsia" w:hAnsiTheme="minorEastAsia"/>
          <w:szCs w:val="21"/>
        </w:rPr>
      </w:pPr>
      <w:r>
        <w:rPr>
          <w:rFonts w:asciiTheme="minorEastAsia" w:hAnsiTheme="minorEastAsia"/>
          <w:szCs w:val="21"/>
        </w:rPr>
        <w:t>4</w:t>
      </w:r>
      <w:r>
        <w:rPr>
          <w:rFonts w:hint="eastAsia" w:asciiTheme="minorEastAsia" w:hAnsiTheme="minorEastAsia"/>
          <w:szCs w:val="21"/>
        </w:rPr>
        <w:t>、质量保证及违约承诺。</w:t>
      </w:r>
    </w:p>
    <w:p w14:paraId="5EAE9808">
      <w:pPr>
        <w:spacing w:line="360" w:lineRule="auto"/>
        <w:ind w:firstLine="420" w:firstLineChars="200"/>
        <w:rPr>
          <w:rFonts w:asciiTheme="minorEastAsia" w:hAnsiTheme="minorEastAsia"/>
          <w:szCs w:val="21"/>
        </w:rPr>
      </w:pPr>
      <w:r>
        <w:rPr>
          <w:rFonts w:hint="eastAsia" w:asciiTheme="minorEastAsia" w:hAnsiTheme="minorEastAsia"/>
          <w:szCs w:val="21"/>
        </w:rPr>
        <w:t>（备注：该部分须与“商务需求”承诺的内容相呼应，不得前后矛盾。）</w:t>
      </w:r>
    </w:p>
    <w:bookmarkEnd w:id="151"/>
    <w:p w14:paraId="5BB8B8FC">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72" w:name="_Toc29995"/>
      <w:r>
        <w:rPr>
          <w:rFonts w:hint="eastAsia" w:asciiTheme="minorEastAsia" w:hAnsiTheme="minorEastAsia"/>
          <w:szCs w:val="21"/>
        </w:rPr>
        <w:t>附件</w:t>
      </w:r>
      <w:r>
        <w:rPr>
          <w:rFonts w:asciiTheme="minorEastAsia" w:hAnsiTheme="minorEastAsia"/>
          <w:szCs w:val="21"/>
        </w:rPr>
        <w:t>12</w:t>
      </w:r>
      <w:r>
        <w:rPr>
          <w:rFonts w:hint="eastAsia" w:asciiTheme="minorEastAsia" w:hAnsiTheme="minorEastAsia"/>
          <w:szCs w:val="21"/>
        </w:rPr>
        <w:t>：中小企业声明函</w:t>
      </w:r>
      <w:bookmarkEnd w:id="172"/>
      <w:r>
        <w:rPr>
          <w:rFonts w:hint="eastAsia" w:asciiTheme="minorEastAsia" w:hAnsiTheme="minorEastAsia"/>
          <w:szCs w:val="21"/>
        </w:rPr>
        <w:t>（如有）</w:t>
      </w:r>
    </w:p>
    <w:p w14:paraId="5C7843B8">
      <w:pPr>
        <w:keepNext/>
        <w:keepLines/>
        <w:spacing w:before="160" w:after="170"/>
        <w:ind w:firstLine="602" w:firstLineChars="200"/>
        <w:jc w:val="center"/>
        <w:outlineLvl w:val="4"/>
        <w:rPr>
          <w:b/>
          <w:bCs/>
          <w:sz w:val="30"/>
          <w:szCs w:val="28"/>
        </w:rPr>
      </w:pPr>
      <w:bookmarkStart w:id="173" w:name="_Toc55548549"/>
      <w:r>
        <w:rPr>
          <w:rFonts w:hint="eastAsia"/>
          <w:b/>
          <w:bCs/>
          <w:sz w:val="30"/>
          <w:szCs w:val="28"/>
        </w:rPr>
        <w:t>中小企业声明函</w:t>
      </w:r>
      <w:bookmarkEnd w:id="173"/>
    </w:p>
    <w:p w14:paraId="68C6B2A2">
      <w:pPr>
        <w:spacing w:line="360" w:lineRule="auto"/>
        <w:ind w:firstLine="420" w:firstLineChars="200"/>
        <w:rPr>
          <w:rFonts w:asciiTheme="minorEastAsia" w:hAnsiTheme="minorEastAsia"/>
          <w:szCs w:val="21"/>
        </w:rPr>
      </w:pPr>
      <w:r>
        <w:rPr>
          <w:rFonts w:asciiTheme="minorEastAsia" w:hAnsiTheme="minorEastAsia"/>
          <w:szCs w:val="21"/>
        </w:rPr>
        <w:t>本公司郑重声明，根据《政府采购促进中小企业发展暂行办法》（财库[2011]181号）的规定，本公司为______（请填写：中型、小型、微型）企业。即，本公司同时满足以下条件：</w:t>
      </w:r>
    </w:p>
    <w:p w14:paraId="0A38EA3F">
      <w:pPr>
        <w:spacing w:line="360" w:lineRule="auto"/>
        <w:ind w:firstLine="420" w:firstLineChars="200"/>
        <w:rPr>
          <w:rFonts w:asciiTheme="minorEastAsia" w:hAnsiTheme="minorEastAsia"/>
          <w:szCs w:val="21"/>
        </w:rPr>
      </w:pPr>
    </w:p>
    <w:p w14:paraId="6FCAEC88">
      <w:pPr>
        <w:spacing w:line="360" w:lineRule="auto"/>
        <w:ind w:firstLine="420" w:firstLineChars="200"/>
        <w:rPr>
          <w:rFonts w:asciiTheme="minorEastAsia" w:hAnsiTheme="minorEastAsia"/>
          <w:szCs w:val="21"/>
        </w:rPr>
      </w:pPr>
      <w:r>
        <w:rPr>
          <w:rFonts w:asciiTheme="minorEastAsia" w:hAnsiTheme="minorEastAsia"/>
          <w:szCs w:val="21"/>
        </w:rPr>
        <w:t>1.根据《工业和信息化部、国家统计局、国家发展和改革委员会、财政部关于印发中小企业划型标准规定的通知》（工信部联企业[2011]300号）规定的划分标准，本公司为______（请填写：中型、小型、微型）企业。</w:t>
      </w:r>
    </w:p>
    <w:p w14:paraId="210725E3">
      <w:pPr>
        <w:spacing w:line="360" w:lineRule="auto"/>
        <w:ind w:firstLine="420" w:firstLineChars="200"/>
        <w:rPr>
          <w:rFonts w:asciiTheme="minorEastAsia" w:hAnsiTheme="minorEastAsia"/>
          <w:szCs w:val="21"/>
        </w:rPr>
      </w:pPr>
      <w:r>
        <w:rPr>
          <w:rFonts w:asciiTheme="minorEastAsia" w:hAnsiTheme="minorEastAsia"/>
          <w:szCs w:val="21"/>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37C32BF0">
      <w:pPr>
        <w:spacing w:line="360" w:lineRule="auto"/>
        <w:ind w:firstLine="420" w:firstLineChars="200"/>
        <w:rPr>
          <w:rFonts w:asciiTheme="minorEastAsia" w:hAnsiTheme="minorEastAsia"/>
          <w:szCs w:val="21"/>
        </w:rPr>
      </w:pPr>
      <w:r>
        <w:rPr>
          <w:rFonts w:asciiTheme="minorEastAsia" w:hAnsiTheme="minorEastAsia"/>
          <w:szCs w:val="21"/>
        </w:rPr>
        <w:t>本公司对上述声明的真实性负责。如有虚假，将依法承担相应责任。</w:t>
      </w:r>
    </w:p>
    <w:p w14:paraId="2F2CE9C8">
      <w:pPr>
        <w:spacing w:line="360" w:lineRule="auto"/>
        <w:ind w:firstLine="420" w:firstLineChars="200"/>
        <w:rPr>
          <w:rFonts w:asciiTheme="minorEastAsia" w:hAnsiTheme="minorEastAsia"/>
          <w:szCs w:val="21"/>
        </w:rPr>
      </w:pPr>
    </w:p>
    <w:p w14:paraId="467C6219">
      <w:pPr>
        <w:spacing w:line="360" w:lineRule="auto"/>
        <w:ind w:firstLine="420" w:firstLineChars="200"/>
        <w:rPr>
          <w:rFonts w:asciiTheme="minorEastAsia" w:hAnsiTheme="minorEastAsia"/>
          <w:szCs w:val="21"/>
        </w:rPr>
      </w:pPr>
    </w:p>
    <w:p w14:paraId="1B53636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3859B5D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1E4B0CFC">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0A233F2B">
      <w:pPr>
        <w:spacing w:line="360" w:lineRule="auto"/>
        <w:ind w:firstLine="420" w:firstLineChars="200"/>
        <w:rPr>
          <w:rFonts w:asciiTheme="minorEastAsia" w:hAnsiTheme="minorEastAsia"/>
          <w:szCs w:val="21"/>
        </w:rPr>
      </w:pPr>
    </w:p>
    <w:p w14:paraId="6DA4642F">
      <w:pPr>
        <w:spacing w:line="360" w:lineRule="auto"/>
        <w:ind w:firstLine="420" w:firstLineChars="200"/>
        <w:rPr>
          <w:rFonts w:asciiTheme="minorEastAsia" w:hAnsiTheme="minorEastAsia"/>
          <w:szCs w:val="21"/>
        </w:rPr>
      </w:pPr>
      <w:r>
        <w:rPr>
          <w:rFonts w:hint="eastAsia" w:asciiTheme="minorEastAsia" w:hAnsiTheme="minorEastAsia"/>
          <w:szCs w:val="21"/>
        </w:rPr>
        <w:t>备注：填写前请认真阅读《工业和信息化部、国家统计局、国家发展和改革委员会、财政部关于印发中小企业划型标准规定的通知》(工信部联企业〔2011〕300号)和《财政部、工业和信息化部关于印发政府采购促进中小企业发展暂行办法的通知》(财库〔2011〕181号)相关规定。如不符合前述相关规定所确定的小型和微型企业，则不需要在投标文件中提供本《中小企业声明函》；若符合前述相关规定所确定的小型和微型企业，在投标文件中没有提供本《中小企业声明函》，视为在本项目中放弃政府采购政策扶持，不进行价格扣除。</w:t>
      </w:r>
    </w:p>
    <w:p w14:paraId="5CDDA6DF">
      <w:pPr>
        <w:spacing w:line="360" w:lineRule="auto"/>
        <w:ind w:firstLine="420" w:firstLineChars="200"/>
        <w:rPr>
          <w:rFonts w:asciiTheme="minorEastAsia" w:hAnsiTheme="minorEastAsia"/>
          <w:szCs w:val="21"/>
        </w:rPr>
      </w:pPr>
      <w:r>
        <w:rPr>
          <w:rFonts w:asciiTheme="minorEastAsia" w:hAnsiTheme="minorEastAsia"/>
          <w:szCs w:val="21"/>
        </w:rPr>
        <w:br w:type="page"/>
      </w:r>
      <w:bookmarkStart w:id="174" w:name="_Toc52129207"/>
      <w:bookmarkStart w:id="175" w:name="_Toc51086642"/>
      <w:bookmarkStart w:id="176" w:name="_Toc51255734"/>
      <w:bookmarkStart w:id="177" w:name="_Toc51682373"/>
      <w:bookmarkStart w:id="178" w:name="_Toc21677"/>
      <w:r>
        <w:rPr>
          <w:rFonts w:hint="eastAsia" w:asciiTheme="minorEastAsia" w:hAnsiTheme="minorEastAsia"/>
          <w:szCs w:val="21"/>
        </w:rPr>
        <w:t>附件</w:t>
      </w:r>
      <w:r>
        <w:rPr>
          <w:rFonts w:asciiTheme="minorEastAsia" w:hAnsiTheme="minorEastAsia"/>
          <w:szCs w:val="21"/>
        </w:rPr>
        <w:t>13</w:t>
      </w:r>
      <w:r>
        <w:rPr>
          <w:rFonts w:hint="eastAsia" w:asciiTheme="minorEastAsia" w:hAnsiTheme="minorEastAsia"/>
          <w:szCs w:val="21"/>
        </w:rPr>
        <w:t>：监狱企业证明函</w:t>
      </w:r>
      <w:bookmarkEnd w:id="174"/>
      <w:bookmarkEnd w:id="175"/>
      <w:bookmarkEnd w:id="176"/>
      <w:bookmarkEnd w:id="177"/>
      <w:bookmarkEnd w:id="178"/>
      <w:r>
        <w:rPr>
          <w:rFonts w:hint="eastAsia" w:asciiTheme="minorEastAsia" w:hAnsiTheme="minorEastAsia"/>
          <w:szCs w:val="21"/>
        </w:rPr>
        <w:t>（如有）</w:t>
      </w:r>
    </w:p>
    <w:p w14:paraId="1669093F">
      <w:pPr>
        <w:keepNext/>
        <w:keepLines/>
        <w:spacing w:before="160" w:after="170"/>
        <w:ind w:firstLine="602" w:firstLineChars="200"/>
        <w:jc w:val="center"/>
        <w:outlineLvl w:val="4"/>
        <w:rPr>
          <w:b/>
          <w:bCs/>
          <w:sz w:val="30"/>
          <w:szCs w:val="28"/>
        </w:rPr>
      </w:pPr>
      <w:bookmarkStart w:id="179" w:name="_Toc55548550"/>
      <w:r>
        <w:rPr>
          <w:rFonts w:hint="eastAsia"/>
          <w:b/>
          <w:bCs/>
          <w:sz w:val="30"/>
          <w:szCs w:val="28"/>
        </w:rPr>
        <w:t>监狱企业证明函</w:t>
      </w:r>
      <w:bookmarkEnd w:id="179"/>
    </w:p>
    <w:p w14:paraId="3D0E046C">
      <w:pPr>
        <w:spacing w:line="360" w:lineRule="auto"/>
        <w:ind w:firstLine="420" w:firstLineChars="200"/>
        <w:rPr>
          <w:rFonts w:asciiTheme="minorEastAsia" w:hAnsiTheme="minorEastAsia"/>
          <w:szCs w:val="21"/>
        </w:rPr>
      </w:pPr>
      <w:r>
        <w:rPr>
          <w:rFonts w:hint="eastAsia" w:asciiTheme="minorEastAsia" w:hAnsiTheme="minorEastAsia"/>
          <w:szCs w:val="21"/>
        </w:rPr>
        <w:t>根据《财政部 司法部关于政府采购支持监狱企业发展有关问题的通知》（财库[2014]68号）的规定，（填写供应商法定全称）为监狱企业。</w:t>
      </w:r>
    </w:p>
    <w:p w14:paraId="77FDAA4F">
      <w:pPr>
        <w:spacing w:line="360" w:lineRule="auto"/>
        <w:ind w:firstLine="420" w:firstLineChars="200"/>
        <w:rPr>
          <w:rFonts w:asciiTheme="minorEastAsia" w:hAnsiTheme="minorEastAsia"/>
          <w:szCs w:val="21"/>
        </w:rPr>
      </w:pPr>
      <w:r>
        <w:rPr>
          <w:rFonts w:hint="eastAsia" w:asciiTheme="minorEastAsia" w:hAnsiTheme="minorEastAsia"/>
          <w:szCs w:val="21"/>
        </w:rPr>
        <w:t>特此证明。</w:t>
      </w:r>
    </w:p>
    <w:p w14:paraId="5F8230BC">
      <w:pPr>
        <w:spacing w:line="360" w:lineRule="auto"/>
        <w:ind w:firstLine="420" w:firstLineChars="200"/>
        <w:rPr>
          <w:rFonts w:asciiTheme="minorEastAsia" w:hAnsiTheme="minorEastAsia"/>
          <w:szCs w:val="21"/>
        </w:rPr>
      </w:pPr>
    </w:p>
    <w:p w14:paraId="65C12DC8">
      <w:pPr>
        <w:spacing w:line="360" w:lineRule="auto"/>
        <w:ind w:firstLine="420" w:firstLineChars="200"/>
        <w:rPr>
          <w:rFonts w:asciiTheme="minorEastAsia" w:hAnsiTheme="minorEastAsia"/>
          <w:szCs w:val="21"/>
        </w:rPr>
      </w:pPr>
    </w:p>
    <w:p w14:paraId="7C74B482">
      <w:pPr>
        <w:spacing w:line="360" w:lineRule="auto"/>
        <w:ind w:firstLine="420" w:firstLineChars="200"/>
        <w:rPr>
          <w:rFonts w:asciiTheme="minorEastAsia" w:hAnsiTheme="minorEastAsia"/>
          <w:b/>
          <w:bCs/>
          <w:szCs w:val="21"/>
        </w:rPr>
      </w:pPr>
      <w:r>
        <w:rPr>
          <w:rFonts w:hint="eastAsia" w:asciiTheme="minorEastAsia" w:hAnsiTheme="minorEastAsia"/>
          <w:szCs w:val="21"/>
        </w:rPr>
        <w:t>省级以上监狱管理局、戒毒管理局（含新疆生产建设兵团）（盖章）：</w:t>
      </w:r>
      <w:r>
        <w:rPr>
          <w:rFonts w:asciiTheme="minorEastAsia" w:hAnsiTheme="minorEastAsia"/>
          <w:b/>
          <w:bCs/>
          <w:szCs w:val="21"/>
        </w:rPr>
        <w:br w:type="page"/>
      </w:r>
    </w:p>
    <w:p w14:paraId="654C8C9D">
      <w:pPr>
        <w:spacing w:line="360" w:lineRule="auto"/>
        <w:ind w:firstLine="420" w:firstLineChars="200"/>
        <w:rPr>
          <w:rFonts w:asciiTheme="minorEastAsia" w:hAnsiTheme="minorEastAsia"/>
          <w:szCs w:val="21"/>
        </w:rPr>
      </w:pPr>
      <w:bookmarkStart w:id="180" w:name="_Toc18139"/>
      <w:bookmarkStart w:id="181" w:name="_Toc51255735"/>
      <w:bookmarkStart w:id="182" w:name="_Toc51086643"/>
      <w:bookmarkStart w:id="183" w:name="_Toc52129208"/>
      <w:bookmarkStart w:id="184" w:name="_Toc51682374"/>
      <w:r>
        <w:rPr>
          <w:rFonts w:hint="eastAsia" w:asciiTheme="minorEastAsia" w:hAnsiTheme="minorEastAsia"/>
          <w:szCs w:val="21"/>
        </w:rPr>
        <w:t>附件</w:t>
      </w:r>
      <w:r>
        <w:rPr>
          <w:rFonts w:asciiTheme="minorEastAsia" w:hAnsiTheme="minorEastAsia"/>
          <w:szCs w:val="21"/>
        </w:rPr>
        <w:t>14</w:t>
      </w:r>
      <w:r>
        <w:rPr>
          <w:rFonts w:hint="eastAsia" w:asciiTheme="minorEastAsia" w:hAnsiTheme="minorEastAsia"/>
          <w:szCs w:val="21"/>
        </w:rPr>
        <w:t>：残疾人福利性单位声明函</w:t>
      </w:r>
      <w:bookmarkEnd w:id="180"/>
      <w:bookmarkEnd w:id="181"/>
      <w:bookmarkEnd w:id="182"/>
      <w:bookmarkEnd w:id="183"/>
      <w:bookmarkEnd w:id="184"/>
      <w:r>
        <w:rPr>
          <w:rFonts w:hint="eastAsia" w:asciiTheme="minorEastAsia" w:hAnsiTheme="minorEastAsia"/>
          <w:szCs w:val="21"/>
        </w:rPr>
        <w:t>（如有）</w:t>
      </w:r>
    </w:p>
    <w:p w14:paraId="1B9F9C4A">
      <w:pPr>
        <w:keepNext/>
        <w:keepLines/>
        <w:spacing w:before="160" w:after="170"/>
        <w:ind w:firstLine="602" w:firstLineChars="200"/>
        <w:jc w:val="center"/>
        <w:outlineLvl w:val="4"/>
        <w:rPr>
          <w:b/>
          <w:bCs/>
          <w:sz w:val="30"/>
          <w:szCs w:val="28"/>
        </w:rPr>
      </w:pPr>
      <w:bookmarkStart w:id="185" w:name="_Toc55548551"/>
      <w:r>
        <w:rPr>
          <w:rFonts w:hint="eastAsia"/>
          <w:b/>
          <w:bCs/>
          <w:sz w:val="30"/>
          <w:szCs w:val="28"/>
        </w:rPr>
        <w:t>残疾人福利性单位声明函</w:t>
      </w:r>
      <w:bookmarkEnd w:id="185"/>
    </w:p>
    <w:p w14:paraId="1BB2DA2F">
      <w:pPr>
        <w:spacing w:line="360" w:lineRule="auto"/>
        <w:ind w:firstLine="420" w:firstLineChars="200"/>
        <w:rPr>
          <w:rFonts w:asciiTheme="minorEastAsia" w:hAnsiTheme="minorEastAsia"/>
          <w:szCs w:val="21"/>
        </w:rPr>
      </w:pPr>
      <w:r>
        <w:rPr>
          <w:rFonts w:hint="eastAsia" w:asciiTheme="minorEastAsia" w:hAnsiTheme="minorEastAsia"/>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A0D31FA">
      <w:pPr>
        <w:spacing w:line="360" w:lineRule="auto"/>
        <w:ind w:firstLine="420" w:firstLineChars="200"/>
        <w:rPr>
          <w:rFonts w:asciiTheme="minorEastAsia" w:hAnsiTheme="minorEastAsia"/>
          <w:szCs w:val="21"/>
        </w:rPr>
      </w:pPr>
      <w:r>
        <w:rPr>
          <w:rFonts w:hint="eastAsia" w:asciiTheme="minorEastAsia" w:hAnsiTheme="minorEastAsia"/>
          <w:szCs w:val="21"/>
        </w:rPr>
        <w:t>本单位对上述声明的真实性负责。如有虚假，将依法承担相应责任。</w:t>
      </w:r>
    </w:p>
    <w:p w14:paraId="618C9254">
      <w:pPr>
        <w:spacing w:line="360" w:lineRule="auto"/>
        <w:ind w:firstLine="420" w:firstLineChars="200"/>
        <w:rPr>
          <w:rFonts w:asciiTheme="minorEastAsia" w:hAnsiTheme="minorEastAsia"/>
          <w:szCs w:val="21"/>
        </w:rPr>
      </w:pPr>
    </w:p>
    <w:p w14:paraId="63EF8263">
      <w:pPr>
        <w:spacing w:line="360" w:lineRule="auto"/>
        <w:ind w:firstLine="420" w:firstLineChars="200"/>
        <w:rPr>
          <w:rFonts w:asciiTheme="minorEastAsia" w:hAnsiTheme="minorEastAsia"/>
          <w:szCs w:val="21"/>
        </w:rPr>
      </w:pPr>
    </w:p>
    <w:p w14:paraId="2497BC39">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投标供应商：</w:t>
      </w:r>
    </w:p>
    <w:p w14:paraId="1FAF63FB">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法人或授权代表：</w:t>
      </w:r>
    </w:p>
    <w:p w14:paraId="23E22BF2">
      <w:pPr>
        <w:spacing w:line="360" w:lineRule="auto"/>
        <w:ind w:firstLine="420" w:firstLineChars="200"/>
        <w:rPr>
          <w:rFonts w:asciiTheme="minorEastAsia" w:hAnsiTheme="minorEastAsia"/>
          <w:color w:val="000000"/>
          <w:szCs w:val="21"/>
        </w:rPr>
      </w:pPr>
      <w:r>
        <w:rPr>
          <w:rFonts w:hint="eastAsia" w:asciiTheme="minorEastAsia" w:hAnsiTheme="minorEastAsia"/>
          <w:color w:val="000000"/>
          <w:szCs w:val="21"/>
        </w:rPr>
        <w:t>日期：</w:t>
      </w:r>
    </w:p>
    <w:p w14:paraId="4775E33D">
      <w:pPr>
        <w:spacing w:line="360" w:lineRule="auto"/>
        <w:ind w:firstLine="420" w:firstLineChars="200"/>
        <w:rPr>
          <w:rFonts w:asciiTheme="minorEastAsia" w:hAnsiTheme="minorEastAsia"/>
          <w:szCs w:val="21"/>
        </w:rPr>
      </w:pPr>
    </w:p>
    <w:p w14:paraId="579CD0E6">
      <w:pPr>
        <w:spacing w:line="360" w:lineRule="auto"/>
        <w:ind w:firstLine="420" w:firstLineChars="200"/>
        <w:rPr>
          <w:rFonts w:asciiTheme="minorEastAsia" w:hAnsiTheme="minorEastAsia"/>
          <w:szCs w:val="21"/>
        </w:rPr>
      </w:pPr>
    </w:p>
    <w:p w14:paraId="677B4379">
      <w:pPr>
        <w:spacing w:line="360" w:lineRule="auto"/>
        <w:ind w:firstLine="420" w:firstLineChars="200"/>
        <w:rPr>
          <w:rFonts w:asciiTheme="minorEastAsia" w:hAnsiTheme="minorEastAsia"/>
          <w:szCs w:val="21"/>
        </w:rPr>
      </w:pPr>
    </w:p>
    <w:p w14:paraId="7CF6261D">
      <w:pPr>
        <w:spacing w:line="360" w:lineRule="auto"/>
        <w:ind w:firstLine="420" w:firstLineChars="200"/>
        <w:rPr>
          <w:rFonts w:asciiTheme="minorEastAsia" w:hAnsiTheme="minorEastAsia"/>
          <w:szCs w:val="21"/>
        </w:rPr>
        <w:sectPr>
          <w:pgSz w:w="11906" w:h="16838"/>
          <w:pgMar w:top="1440" w:right="1080" w:bottom="1440" w:left="1080" w:header="851" w:footer="992" w:gutter="0"/>
          <w:cols w:space="720" w:num="1"/>
          <w:titlePg/>
          <w:docGrid w:type="lines" w:linePitch="312" w:charSpace="0"/>
        </w:sectPr>
      </w:pPr>
    </w:p>
    <w:p w14:paraId="18DED0E4">
      <w:pPr>
        <w:spacing w:line="360" w:lineRule="auto"/>
        <w:ind w:firstLine="420" w:firstLineChars="200"/>
        <w:rPr>
          <w:rFonts w:asciiTheme="minorEastAsia" w:hAnsiTheme="minorEastAsia"/>
          <w:szCs w:val="21"/>
        </w:rPr>
      </w:pPr>
      <w:bookmarkStart w:id="186" w:name="_Toc1254"/>
      <w:r>
        <w:rPr>
          <w:rFonts w:hint="eastAsia" w:asciiTheme="minorEastAsia" w:hAnsiTheme="minorEastAsia"/>
          <w:szCs w:val="21"/>
        </w:rPr>
        <w:t>附件</w:t>
      </w:r>
      <w:r>
        <w:rPr>
          <w:rFonts w:asciiTheme="minorEastAsia" w:hAnsiTheme="minorEastAsia"/>
          <w:szCs w:val="21"/>
        </w:rPr>
        <w:t>15</w:t>
      </w:r>
      <w:r>
        <w:rPr>
          <w:rFonts w:hint="eastAsia" w:asciiTheme="minorEastAsia" w:hAnsiTheme="minorEastAsia"/>
          <w:szCs w:val="21"/>
        </w:rPr>
        <w:t>：投标人需要加以说明的其他内容</w:t>
      </w:r>
      <w:bookmarkEnd w:id="186"/>
      <w:r>
        <w:rPr>
          <w:rFonts w:hint="eastAsia" w:asciiTheme="minorEastAsia" w:hAnsiTheme="minorEastAsia"/>
          <w:szCs w:val="21"/>
        </w:rPr>
        <w:t>（如有）</w:t>
      </w:r>
    </w:p>
    <w:p w14:paraId="35E62B75">
      <w:pPr>
        <w:spacing w:line="360" w:lineRule="auto"/>
        <w:ind w:firstLine="420" w:firstLineChars="200"/>
        <w:rPr>
          <w:rFonts w:asciiTheme="minorEastAsia" w:hAnsiTheme="minorEastAsia"/>
          <w:szCs w:val="21"/>
        </w:rPr>
      </w:pPr>
    </w:p>
    <w:p w14:paraId="2D4BBA66">
      <w:pPr>
        <w:spacing w:line="360" w:lineRule="auto"/>
        <w:ind w:firstLine="422" w:firstLineChars="200"/>
        <w:rPr>
          <w:rFonts w:asciiTheme="minorEastAsia" w:hAnsiTheme="minorEastAsia"/>
          <w:b/>
          <w:bCs/>
          <w:szCs w:val="21"/>
        </w:rPr>
      </w:pPr>
      <w:r>
        <w:rPr>
          <w:rFonts w:hint="eastAsia" w:asciiTheme="minorEastAsia" w:hAnsiTheme="minorEastAsia"/>
          <w:b/>
          <w:bCs/>
          <w:szCs w:val="21"/>
        </w:rPr>
        <w:t>投标人认为需要加以说明的其他内容</w:t>
      </w:r>
    </w:p>
    <w:p w14:paraId="36209FE8">
      <w:pPr>
        <w:spacing w:line="360" w:lineRule="auto"/>
        <w:ind w:firstLine="420" w:firstLineChars="200"/>
        <w:rPr>
          <w:rFonts w:asciiTheme="minorEastAsia" w:hAnsiTheme="minorEastAsia"/>
          <w:szCs w:val="21"/>
        </w:rPr>
      </w:pPr>
      <w:r>
        <w:rPr>
          <w:rFonts w:hint="eastAsia" w:asciiTheme="minorEastAsia" w:hAnsiTheme="minorEastAsia"/>
          <w:szCs w:val="21"/>
        </w:rPr>
        <w:t>（格式自定）</w:t>
      </w:r>
    </w:p>
    <w:p w14:paraId="61250F4C">
      <w:pPr>
        <w:spacing w:line="360" w:lineRule="auto"/>
        <w:ind w:firstLine="420" w:firstLineChars="200"/>
      </w:pPr>
    </w:p>
    <w:p w14:paraId="41CB41BD">
      <w:pPr>
        <w:spacing w:line="360" w:lineRule="auto"/>
        <w:ind w:firstLine="420" w:firstLineChars="200"/>
      </w:pPr>
    </w:p>
    <w:p w14:paraId="087C6F8A">
      <w:pPr>
        <w:spacing w:line="360" w:lineRule="auto"/>
        <w:ind w:firstLine="420" w:firstLineChars="200"/>
      </w:pPr>
    </w:p>
    <w:p w14:paraId="1AEC4F24">
      <w:pPr>
        <w:spacing w:line="360" w:lineRule="auto"/>
        <w:ind w:firstLine="420" w:firstLineChars="200"/>
      </w:pPr>
    </w:p>
    <w:p w14:paraId="7F0A91C5">
      <w:pPr>
        <w:spacing w:line="360" w:lineRule="auto"/>
        <w:ind w:firstLine="420" w:firstLineChars="200"/>
      </w:pPr>
    </w:p>
    <w:p w14:paraId="20E1A6B4">
      <w:pPr>
        <w:spacing w:line="360" w:lineRule="auto"/>
        <w:ind w:firstLine="420" w:firstLineChars="200"/>
      </w:pPr>
    </w:p>
    <w:p w14:paraId="1F46004C">
      <w:pPr>
        <w:spacing w:line="360" w:lineRule="auto"/>
        <w:ind w:firstLine="420" w:firstLineChars="200"/>
      </w:pPr>
    </w:p>
    <w:p w14:paraId="3E7DD1CC">
      <w:pPr>
        <w:spacing w:line="360" w:lineRule="auto"/>
        <w:ind w:firstLine="420" w:firstLineChars="200"/>
      </w:pPr>
    </w:p>
    <w:p w14:paraId="114474FC"/>
    <w:sectPr>
      <w:pgSz w:w="11906" w:h="16838"/>
      <w:pgMar w:top="1418" w:right="1474" w:bottom="1418"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1686772"/>
    </w:sdtPr>
    <w:sdtContent>
      <w:sdt>
        <w:sdtPr>
          <w:id w:val="1728636285"/>
        </w:sdtPr>
        <w:sdtContent>
          <w:p w14:paraId="1050836D">
            <w:pPr>
              <w:pStyle w:val="1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43</w:t>
            </w:r>
            <w:r>
              <w:rPr>
                <w:b/>
                <w:bCs/>
                <w:sz w:val="24"/>
                <w:szCs w:val="24"/>
              </w:rPr>
              <w:fldChar w:fldCharType="end"/>
            </w:r>
          </w:p>
        </w:sdtContent>
      </w:sdt>
    </w:sdtContent>
  </w:sdt>
  <w:p w14:paraId="714F2A75">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080A">
    <w:pPr>
      <w:pStyle w:val="11"/>
    </w:pPr>
  </w:p>
  <w:p w14:paraId="37EC5B76">
    <w:pPr>
      <w:pStyle w:val="11"/>
      <w:jc w:val="right"/>
      <w:rPr>
        <w:sz w:val="21"/>
        <w:szCs w:val="21"/>
      </w:rPr>
    </w:pPr>
    <w:bookmarkStart w:id="187" w:name="_Hlk69568634"/>
    <w:bookmarkStart w:id="188" w:name="_Hlk69568635"/>
    <w:r>
      <w:rPr>
        <w:rFonts w:hint="eastAsia"/>
        <w:sz w:val="21"/>
        <w:szCs w:val="21"/>
      </w:rPr>
      <w:t>深圳市宝安区疾病预防控制中心招标文件</w:t>
    </w:r>
    <w:bookmarkEnd w:id="187"/>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044AB4"/>
    <w:multiLevelType w:val="multilevel"/>
    <w:tmpl w:val="7A044AB4"/>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035"/>
    <w:rsid w:val="0000394F"/>
    <w:rsid w:val="00007A13"/>
    <w:rsid w:val="00026541"/>
    <w:rsid w:val="000272A3"/>
    <w:rsid w:val="0003138A"/>
    <w:rsid w:val="0004025C"/>
    <w:rsid w:val="00050084"/>
    <w:rsid w:val="00092A23"/>
    <w:rsid w:val="000976C6"/>
    <w:rsid w:val="000A013F"/>
    <w:rsid w:val="000B3923"/>
    <w:rsid w:val="000C561C"/>
    <w:rsid w:val="000C62B0"/>
    <w:rsid w:val="000C6CE9"/>
    <w:rsid w:val="000D08A9"/>
    <w:rsid w:val="000D2EB8"/>
    <w:rsid w:val="000D2FD9"/>
    <w:rsid w:val="000E5888"/>
    <w:rsid w:val="00100950"/>
    <w:rsid w:val="001043DC"/>
    <w:rsid w:val="00111B38"/>
    <w:rsid w:val="00113156"/>
    <w:rsid w:val="00127C7B"/>
    <w:rsid w:val="001330A6"/>
    <w:rsid w:val="0013335C"/>
    <w:rsid w:val="001465AC"/>
    <w:rsid w:val="0015271F"/>
    <w:rsid w:val="00154141"/>
    <w:rsid w:val="001554EF"/>
    <w:rsid w:val="00162B15"/>
    <w:rsid w:val="00165B6A"/>
    <w:rsid w:val="001750E4"/>
    <w:rsid w:val="00180C24"/>
    <w:rsid w:val="00183008"/>
    <w:rsid w:val="00183CCF"/>
    <w:rsid w:val="00184BFC"/>
    <w:rsid w:val="0019395A"/>
    <w:rsid w:val="00196D20"/>
    <w:rsid w:val="001A3EC7"/>
    <w:rsid w:val="001A7960"/>
    <w:rsid w:val="001B287A"/>
    <w:rsid w:val="001C5958"/>
    <w:rsid w:val="001D1989"/>
    <w:rsid w:val="001F5585"/>
    <w:rsid w:val="00205A0F"/>
    <w:rsid w:val="00207BA0"/>
    <w:rsid w:val="002243E9"/>
    <w:rsid w:val="0022497B"/>
    <w:rsid w:val="00227CFD"/>
    <w:rsid w:val="002350B3"/>
    <w:rsid w:val="00245BA9"/>
    <w:rsid w:val="002570EC"/>
    <w:rsid w:val="002577FC"/>
    <w:rsid w:val="00260BB6"/>
    <w:rsid w:val="00262E3B"/>
    <w:rsid w:val="00264146"/>
    <w:rsid w:val="00270EE6"/>
    <w:rsid w:val="00274ADF"/>
    <w:rsid w:val="002844D3"/>
    <w:rsid w:val="00287092"/>
    <w:rsid w:val="0029095D"/>
    <w:rsid w:val="00297795"/>
    <w:rsid w:val="002A5BFA"/>
    <w:rsid w:val="002B738E"/>
    <w:rsid w:val="002C0C26"/>
    <w:rsid w:val="002C6B07"/>
    <w:rsid w:val="002E2C52"/>
    <w:rsid w:val="00300139"/>
    <w:rsid w:val="003020A7"/>
    <w:rsid w:val="00314D97"/>
    <w:rsid w:val="00327B91"/>
    <w:rsid w:val="00331BF3"/>
    <w:rsid w:val="00335D20"/>
    <w:rsid w:val="00370E38"/>
    <w:rsid w:val="003765D8"/>
    <w:rsid w:val="00376712"/>
    <w:rsid w:val="00387FB4"/>
    <w:rsid w:val="00395BD5"/>
    <w:rsid w:val="003B2B54"/>
    <w:rsid w:val="003B5F69"/>
    <w:rsid w:val="003D1BFD"/>
    <w:rsid w:val="003D1C8B"/>
    <w:rsid w:val="003D56EF"/>
    <w:rsid w:val="003E2496"/>
    <w:rsid w:val="0040568B"/>
    <w:rsid w:val="00416CB7"/>
    <w:rsid w:val="004224DA"/>
    <w:rsid w:val="00422C93"/>
    <w:rsid w:val="0042484C"/>
    <w:rsid w:val="00440095"/>
    <w:rsid w:val="004434FC"/>
    <w:rsid w:val="004478C6"/>
    <w:rsid w:val="00450E1D"/>
    <w:rsid w:val="00461FA3"/>
    <w:rsid w:val="00462785"/>
    <w:rsid w:val="0048183C"/>
    <w:rsid w:val="00486D13"/>
    <w:rsid w:val="00491DD6"/>
    <w:rsid w:val="00492D8F"/>
    <w:rsid w:val="00497DBD"/>
    <w:rsid w:val="004A4B94"/>
    <w:rsid w:val="004B4E87"/>
    <w:rsid w:val="004B6E5B"/>
    <w:rsid w:val="004C3F49"/>
    <w:rsid w:val="004D1B14"/>
    <w:rsid w:val="004D4DA5"/>
    <w:rsid w:val="004E308C"/>
    <w:rsid w:val="004F3645"/>
    <w:rsid w:val="00500D01"/>
    <w:rsid w:val="005137DA"/>
    <w:rsid w:val="005214AC"/>
    <w:rsid w:val="00536246"/>
    <w:rsid w:val="0054740D"/>
    <w:rsid w:val="00552059"/>
    <w:rsid w:val="00556AA2"/>
    <w:rsid w:val="00561D31"/>
    <w:rsid w:val="005645E6"/>
    <w:rsid w:val="005846F2"/>
    <w:rsid w:val="00592F00"/>
    <w:rsid w:val="005B2452"/>
    <w:rsid w:val="005B260A"/>
    <w:rsid w:val="005B4C1F"/>
    <w:rsid w:val="005B6BD6"/>
    <w:rsid w:val="005B7C95"/>
    <w:rsid w:val="005C0612"/>
    <w:rsid w:val="005C0DB9"/>
    <w:rsid w:val="005C18B9"/>
    <w:rsid w:val="005C21EE"/>
    <w:rsid w:val="005C376C"/>
    <w:rsid w:val="005C7A8F"/>
    <w:rsid w:val="005D2D8F"/>
    <w:rsid w:val="005D7190"/>
    <w:rsid w:val="00611947"/>
    <w:rsid w:val="00617363"/>
    <w:rsid w:val="006207D3"/>
    <w:rsid w:val="006407B7"/>
    <w:rsid w:val="006557EE"/>
    <w:rsid w:val="006568AF"/>
    <w:rsid w:val="00660AF8"/>
    <w:rsid w:val="0066471D"/>
    <w:rsid w:val="00665979"/>
    <w:rsid w:val="00665C9C"/>
    <w:rsid w:val="00674B5A"/>
    <w:rsid w:val="00684DAC"/>
    <w:rsid w:val="00690937"/>
    <w:rsid w:val="006B2FC4"/>
    <w:rsid w:val="006B5CA7"/>
    <w:rsid w:val="006C24E1"/>
    <w:rsid w:val="006C4297"/>
    <w:rsid w:val="006C655B"/>
    <w:rsid w:val="006D36F6"/>
    <w:rsid w:val="006E3571"/>
    <w:rsid w:val="006F34C6"/>
    <w:rsid w:val="007067D3"/>
    <w:rsid w:val="00717D42"/>
    <w:rsid w:val="00721170"/>
    <w:rsid w:val="007231EE"/>
    <w:rsid w:val="00724B87"/>
    <w:rsid w:val="007459E7"/>
    <w:rsid w:val="00762137"/>
    <w:rsid w:val="00767478"/>
    <w:rsid w:val="0077138C"/>
    <w:rsid w:val="0079207E"/>
    <w:rsid w:val="00793E70"/>
    <w:rsid w:val="007A31B9"/>
    <w:rsid w:val="007A6077"/>
    <w:rsid w:val="007A7D9F"/>
    <w:rsid w:val="007B0B0E"/>
    <w:rsid w:val="007B4661"/>
    <w:rsid w:val="007B71E6"/>
    <w:rsid w:val="007C65B3"/>
    <w:rsid w:val="007E14DB"/>
    <w:rsid w:val="007E2F5A"/>
    <w:rsid w:val="007E639A"/>
    <w:rsid w:val="007E6A9D"/>
    <w:rsid w:val="007F11C6"/>
    <w:rsid w:val="00820766"/>
    <w:rsid w:val="008251A1"/>
    <w:rsid w:val="008455C7"/>
    <w:rsid w:val="0085171D"/>
    <w:rsid w:val="00857094"/>
    <w:rsid w:val="00865209"/>
    <w:rsid w:val="00871AB4"/>
    <w:rsid w:val="008807FE"/>
    <w:rsid w:val="00886513"/>
    <w:rsid w:val="00887EC0"/>
    <w:rsid w:val="008A5E40"/>
    <w:rsid w:val="008A6A3B"/>
    <w:rsid w:val="008D19C5"/>
    <w:rsid w:val="008D3C95"/>
    <w:rsid w:val="008E756B"/>
    <w:rsid w:val="009016ED"/>
    <w:rsid w:val="00901ED8"/>
    <w:rsid w:val="009047F5"/>
    <w:rsid w:val="00911F33"/>
    <w:rsid w:val="00913747"/>
    <w:rsid w:val="009419C6"/>
    <w:rsid w:val="00945543"/>
    <w:rsid w:val="009462F5"/>
    <w:rsid w:val="009551C2"/>
    <w:rsid w:val="009577F3"/>
    <w:rsid w:val="00966013"/>
    <w:rsid w:val="009817D5"/>
    <w:rsid w:val="00983F17"/>
    <w:rsid w:val="009A14F1"/>
    <w:rsid w:val="009A14FC"/>
    <w:rsid w:val="009A2C14"/>
    <w:rsid w:val="009A2D94"/>
    <w:rsid w:val="009B027B"/>
    <w:rsid w:val="009B0B06"/>
    <w:rsid w:val="009B49A7"/>
    <w:rsid w:val="009B511A"/>
    <w:rsid w:val="009B78E0"/>
    <w:rsid w:val="009D0140"/>
    <w:rsid w:val="009D1ED7"/>
    <w:rsid w:val="009D2EED"/>
    <w:rsid w:val="009E2191"/>
    <w:rsid w:val="009E489A"/>
    <w:rsid w:val="009F3DD5"/>
    <w:rsid w:val="009F44F1"/>
    <w:rsid w:val="009F51D2"/>
    <w:rsid w:val="009F6601"/>
    <w:rsid w:val="00A142B0"/>
    <w:rsid w:val="00A162F6"/>
    <w:rsid w:val="00A24AE0"/>
    <w:rsid w:val="00A310B6"/>
    <w:rsid w:val="00A44AE8"/>
    <w:rsid w:val="00A45F09"/>
    <w:rsid w:val="00A46D3B"/>
    <w:rsid w:val="00A60952"/>
    <w:rsid w:val="00A60D7F"/>
    <w:rsid w:val="00A60EC4"/>
    <w:rsid w:val="00A64B9D"/>
    <w:rsid w:val="00A83284"/>
    <w:rsid w:val="00AA3988"/>
    <w:rsid w:val="00AA45BA"/>
    <w:rsid w:val="00AA5B34"/>
    <w:rsid w:val="00AB5D1D"/>
    <w:rsid w:val="00AC47BC"/>
    <w:rsid w:val="00AC62B4"/>
    <w:rsid w:val="00AD21D5"/>
    <w:rsid w:val="00AD42B4"/>
    <w:rsid w:val="00AD50B7"/>
    <w:rsid w:val="00AD7E8D"/>
    <w:rsid w:val="00AE032D"/>
    <w:rsid w:val="00AF4405"/>
    <w:rsid w:val="00AF740C"/>
    <w:rsid w:val="00AF780E"/>
    <w:rsid w:val="00B21FB4"/>
    <w:rsid w:val="00B27035"/>
    <w:rsid w:val="00B30B35"/>
    <w:rsid w:val="00B34D5B"/>
    <w:rsid w:val="00B4633F"/>
    <w:rsid w:val="00B52419"/>
    <w:rsid w:val="00B5284E"/>
    <w:rsid w:val="00B54A3F"/>
    <w:rsid w:val="00B56CB2"/>
    <w:rsid w:val="00B640C8"/>
    <w:rsid w:val="00B64FE8"/>
    <w:rsid w:val="00B736D6"/>
    <w:rsid w:val="00B741DD"/>
    <w:rsid w:val="00B84AA7"/>
    <w:rsid w:val="00B96CC4"/>
    <w:rsid w:val="00BA28BD"/>
    <w:rsid w:val="00BB310C"/>
    <w:rsid w:val="00BC2FED"/>
    <w:rsid w:val="00BC3264"/>
    <w:rsid w:val="00BC4AA0"/>
    <w:rsid w:val="00BC71EC"/>
    <w:rsid w:val="00BD351E"/>
    <w:rsid w:val="00BE23B9"/>
    <w:rsid w:val="00BF51A1"/>
    <w:rsid w:val="00BF6E77"/>
    <w:rsid w:val="00C00565"/>
    <w:rsid w:val="00C11BAF"/>
    <w:rsid w:val="00C24421"/>
    <w:rsid w:val="00C25B04"/>
    <w:rsid w:val="00C37BAB"/>
    <w:rsid w:val="00C419D1"/>
    <w:rsid w:val="00C452E0"/>
    <w:rsid w:val="00C45A07"/>
    <w:rsid w:val="00C55B4E"/>
    <w:rsid w:val="00C60169"/>
    <w:rsid w:val="00C609F7"/>
    <w:rsid w:val="00C63322"/>
    <w:rsid w:val="00C87668"/>
    <w:rsid w:val="00C9059A"/>
    <w:rsid w:val="00C96F99"/>
    <w:rsid w:val="00CA03D2"/>
    <w:rsid w:val="00CA64A0"/>
    <w:rsid w:val="00CB6EF7"/>
    <w:rsid w:val="00CC2104"/>
    <w:rsid w:val="00CC5694"/>
    <w:rsid w:val="00CE4007"/>
    <w:rsid w:val="00CE43BC"/>
    <w:rsid w:val="00CF442C"/>
    <w:rsid w:val="00D00C1D"/>
    <w:rsid w:val="00D07F61"/>
    <w:rsid w:val="00D21978"/>
    <w:rsid w:val="00D21E3F"/>
    <w:rsid w:val="00D246A8"/>
    <w:rsid w:val="00D4292D"/>
    <w:rsid w:val="00D42B1C"/>
    <w:rsid w:val="00D516E0"/>
    <w:rsid w:val="00D54E6C"/>
    <w:rsid w:val="00D942FA"/>
    <w:rsid w:val="00D964CA"/>
    <w:rsid w:val="00D9655A"/>
    <w:rsid w:val="00DB5C68"/>
    <w:rsid w:val="00DD4C84"/>
    <w:rsid w:val="00DE6373"/>
    <w:rsid w:val="00DE742F"/>
    <w:rsid w:val="00DF446C"/>
    <w:rsid w:val="00DF77E7"/>
    <w:rsid w:val="00E4039F"/>
    <w:rsid w:val="00E452D2"/>
    <w:rsid w:val="00E45C42"/>
    <w:rsid w:val="00E477F2"/>
    <w:rsid w:val="00E47A8D"/>
    <w:rsid w:val="00E55EFA"/>
    <w:rsid w:val="00E774D0"/>
    <w:rsid w:val="00E81975"/>
    <w:rsid w:val="00E83D09"/>
    <w:rsid w:val="00E91443"/>
    <w:rsid w:val="00E92A2D"/>
    <w:rsid w:val="00EA0AA3"/>
    <w:rsid w:val="00EB508D"/>
    <w:rsid w:val="00EC0183"/>
    <w:rsid w:val="00EC43D8"/>
    <w:rsid w:val="00EE0AD9"/>
    <w:rsid w:val="00EE15A4"/>
    <w:rsid w:val="00EF77FA"/>
    <w:rsid w:val="00F02352"/>
    <w:rsid w:val="00F153E2"/>
    <w:rsid w:val="00F16D96"/>
    <w:rsid w:val="00F32963"/>
    <w:rsid w:val="00F4480E"/>
    <w:rsid w:val="00F53078"/>
    <w:rsid w:val="00F57194"/>
    <w:rsid w:val="00F63359"/>
    <w:rsid w:val="00F66168"/>
    <w:rsid w:val="00F67F01"/>
    <w:rsid w:val="00F703EE"/>
    <w:rsid w:val="00F74A11"/>
    <w:rsid w:val="00F842A9"/>
    <w:rsid w:val="00F914A2"/>
    <w:rsid w:val="00F91577"/>
    <w:rsid w:val="00F944AB"/>
    <w:rsid w:val="00F96D60"/>
    <w:rsid w:val="00FA22E9"/>
    <w:rsid w:val="00FA4902"/>
    <w:rsid w:val="00FB1917"/>
    <w:rsid w:val="00FB7DBF"/>
    <w:rsid w:val="00FC097B"/>
    <w:rsid w:val="00FD2E15"/>
    <w:rsid w:val="00FD3F8A"/>
    <w:rsid w:val="00FE3D27"/>
    <w:rsid w:val="00FF48FD"/>
    <w:rsid w:val="00FF5757"/>
    <w:rsid w:val="014632F7"/>
    <w:rsid w:val="04B95D27"/>
    <w:rsid w:val="04DB203B"/>
    <w:rsid w:val="0589532B"/>
    <w:rsid w:val="09851C2D"/>
    <w:rsid w:val="0D1B67E9"/>
    <w:rsid w:val="0D2F096C"/>
    <w:rsid w:val="0E7D2A40"/>
    <w:rsid w:val="11902F01"/>
    <w:rsid w:val="120A5960"/>
    <w:rsid w:val="13923AA5"/>
    <w:rsid w:val="15485429"/>
    <w:rsid w:val="1C4C3AFB"/>
    <w:rsid w:val="1C740D9F"/>
    <w:rsid w:val="1E753EB8"/>
    <w:rsid w:val="1F212F73"/>
    <w:rsid w:val="23AE705F"/>
    <w:rsid w:val="24930B4D"/>
    <w:rsid w:val="28A95859"/>
    <w:rsid w:val="2D096EFF"/>
    <w:rsid w:val="2DFC00CF"/>
    <w:rsid w:val="2F292845"/>
    <w:rsid w:val="38356245"/>
    <w:rsid w:val="38AC3737"/>
    <w:rsid w:val="39C45F1B"/>
    <w:rsid w:val="3A9B69B4"/>
    <w:rsid w:val="3ECF5007"/>
    <w:rsid w:val="3F087854"/>
    <w:rsid w:val="40D53DE8"/>
    <w:rsid w:val="46DF5055"/>
    <w:rsid w:val="49830203"/>
    <w:rsid w:val="4A912D42"/>
    <w:rsid w:val="4BE34975"/>
    <w:rsid w:val="4C9D2CB4"/>
    <w:rsid w:val="4E192CB4"/>
    <w:rsid w:val="52B94C95"/>
    <w:rsid w:val="52E64698"/>
    <w:rsid w:val="535C09BE"/>
    <w:rsid w:val="54B716C1"/>
    <w:rsid w:val="5AB23997"/>
    <w:rsid w:val="5B04316E"/>
    <w:rsid w:val="5EBB7FE7"/>
    <w:rsid w:val="5F85487D"/>
    <w:rsid w:val="621A10DF"/>
    <w:rsid w:val="653A7EB8"/>
    <w:rsid w:val="6912343B"/>
    <w:rsid w:val="69D34437"/>
    <w:rsid w:val="6D43309C"/>
    <w:rsid w:val="6FA568B9"/>
    <w:rsid w:val="7EC16FE1"/>
    <w:rsid w:val="7F182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5"/>
    <w:qFormat/>
    <w:uiPriority w:val="9"/>
    <w:pPr>
      <w:keepNext/>
      <w:keepLines/>
      <w:spacing w:before="100" w:after="90"/>
      <w:jc w:val="center"/>
      <w:outlineLvl w:val="0"/>
    </w:pPr>
    <w:rPr>
      <w:b/>
      <w:bCs/>
      <w:kern w:val="44"/>
      <w:sz w:val="36"/>
      <w:szCs w:val="44"/>
    </w:rPr>
  </w:style>
  <w:style w:type="paragraph" w:styleId="4">
    <w:name w:val="heading 4"/>
    <w:basedOn w:val="1"/>
    <w:next w:val="1"/>
    <w:link w:val="24"/>
    <w:qFormat/>
    <w:uiPriority w:val="0"/>
    <w:pPr>
      <w:keepNext/>
      <w:keepLines/>
      <w:spacing w:before="160" w:after="170"/>
      <w:ind w:firstLine="200" w:firstLineChars="200"/>
      <w:outlineLvl w:val="3"/>
    </w:pPr>
    <w:rPr>
      <w:rFonts w:ascii="Cambria" w:hAnsi="Cambria" w:eastAsia="宋体" w:cs="Times New Roman"/>
      <w:b/>
      <w:bCs/>
      <w:sz w:val="24"/>
      <w:szCs w:val="28"/>
    </w:rPr>
  </w:style>
  <w:style w:type="paragraph" w:styleId="5">
    <w:name w:val="heading 5"/>
    <w:basedOn w:val="1"/>
    <w:next w:val="1"/>
    <w:link w:val="26"/>
    <w:unhideWhenUsed/>
    <w:qFormat/>
    <w:uiPriority w:val="9"/>
    <w:pPr>
      <w:keepNext/>
      <w:keepLines/>
      <w:spacing w:before="160" w:after="170"/>
      <w:ind w:firstLine="200" w:firstLineChars="200"/>
      <w:outlineLvl w:val="4"/>
    </w:pPr>
    <w:rPr>
      <w:b/>
      <w:bCs/>
      <w:sz w:val="24"/>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6">
    <w:name w:val="Normal Indent"/>
    <w:basedOn w:val="1"/>
    <w:link w:val="22"/>
    <w:qFormat/>
    <w:uiPriority w:val="0"/>
    <w:pPr>
      <w:ind w:firstLine="420" w:firstLineChars="200"/>
    </w:pPr>
    <w:rPr>
      <w:rFonts w:ascii="Times New Roman" w:hAnsi="Times New Roman" w:eastAsia="宋体" w:cs="Times New Roman"/>
      <w:szCs w:val="24"/>
    </w:rPr>
  </w:style>
  <w:style w:type="paragraph" w:styleId="7">
    <w:name w:val="annotation text"/>
    <w:basedOn w:val="1"/>
    <w:semiHidden/>
    <w:unhideWhenUsed/>
    <w:qFormat/>
    <w:uiPriority w:val="99"/>
    <w:pPr>
      <w:jc w:val="left"/>
    </w:pPr>
  </w:style>
  <w:style w:type="paragraph" w:styleId="8">
    <w:name w:val="Body Text"/>
    <w:basedOn w:val="1"/>
    <w:link w:val="31"/>
    <w:qFormat/>
    <w:uiPriority w:val="0"/>
    <w:pPr>
      <w:spacing w:after="120"/>
    </w:pPr>
    <w:rPr>
      <w:rFonts w:ascii="Times New Roman" w:hAnsi="Times New Roman" w:eastAsia="宋体" w:cs="Calibri"/>
      <w:szCs w:val="21"/>
    </w:rPr>
  </w:style>
  <w:style w:type="paragraph" w:styleId="9">
    <w:name w:val="Balloon Text"/>
    <w:basedOn w:val="1"/>
    <w:link w:val="28"/>
    <w:semiHidden/>
    <w:unhideWhenUsed/>
    <w:qFormat/>
    <w:uiPriority w:val="99"/>
    <w:rPr>
      <w:sz w:val="18"/>
      <w:szCs w:val="18"/>
    </w:rPr>
  </w:style>
  <w:style w:type="paragraph" w:styleId="10">
    <w:name w:val="footer"/>
    <w:basedOn w:val="1"/>
    <w:link w:val="21"/>
    <w:unhideWhenUsed/>
    <w:qFormat/>
    <w:uiPriority w:val="99"/>
    <w:pPr>
      <w:tabs>
        <w:tab w:val="center" w:pos="4153"/>
        <w:tab w:val="right" w:pos="8306"/>
      </w:tabs>
      <w:snapToGrid w:val="0"/>
      <w:jc w:val="left"/>
    </w:pPr>
    <w:rPr>
      <w:sz w:val="18"/>
      <w:szCs w:val="18"/>
    </w:rPr>
  </w:style>
  <w:style w:type="paragraph" w:styleId="11">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Normal (Web)"/>
    <w:basedOn w:val="1"/>
    <w:semiHidden/>
    <w:unhideWhenUsed/>
    <w:qFormat/>
    <w:uiPriority w:val="99"/>
    <w:pPr>
      <w:spacing w:beforeAutospacing="1" w:afterAutospacing="1"/>
      <w:jc w:val="left"/>
    </w:pPr>
    <w:rPr>
      <w:rFonts w:cs="Times New Roman"/>
      <w:kern w:val="0"/>
      <w:sz w:val="24"/>
    </w:rPr>
  </w:style>
  <w:style w:type="paragraph" w:styleId="14">
    <w:name w:val="Title"/>
    <w:basedOn w:val="1"/>
    <w:next w:val="1"/>
    <w:qFormat/>
    <w:uiPriority w:val="0"/>
    <w:pPr>
      <w:spacing w:before="240" w:after="60"/>
      <w:jc w:val="center"/>
      <w:outlineLvl w:val="0"/>
    </w:pPr>
    <w:rPr>
      <w:rFonts w:eastAsia="宋体" w:asciiTheme="majorHAnsi" w:hAnsiTheme="majorHAnsi" w:cstheme="majorBidi"/>
      <w:b/>
      <w:bCs/>
      <w:sz w:val="32"/>
      <w:szCs w:val="32"/>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qFormat/>
    <w:uiPriority w:val="99"/>
    <w:rPr>
      <w:color w:val="0000FF"/>
      <w:u w:val="single"/>
    </w:rPr>
  </w:style>
  <w:style w:type="character" w:styleId="19">
    <w:name w:val="annotation reference"/>
    <w:basedOn w:val="17"/>
    <w:semiHidden/>
    <w:unhideWhenUsed/>
    <w:qFormat/>
    <w:uiPriority w:val="99"/>
    <w:rPr>
      <w:sz w:val="21"/>
      <w:szCs w:val="21"/>
    </w:rPr>
  </w:style>
  <w:style w:type="character" w:customStyle="1" w:styleId="20">
    <w:name w:val="页眉 Char"/>
    <w:basedOn w:val="17"/>
    <w:link w:val="11"/>
    <w:qFormat/>
    <w:uiPriority w:val="99"/>
    <w:rPr>
      <w:sz w:val="18"/>
      <w:szCs w:val="18"/>
    </w:rPr>
  </w:style>
  <w:style w:type="character" w:customStyle="1" w:styleId="21">
    <w:name w:val="页脚 Char"/>
    <w:basedOn w:val="17"/>
    <w:link w:val="10"/>
    <w:qFormat/>
    <w:uiPriority w:val="99"/>
    <w:rPr>
      <w:sz w:val="18"/>
      <w:szCs w:val="18"/>
    </w:rPr>
  </w:style>
  <w:style w:type="character" w:customStyle="1" w:styleId="22">
    <w:name w:val="正文缩进 Char"/>
    <w:link w:val="6"/>
    <w:qFormat/>
    <w:uiPriority w:val="0"/>
    <w:rPr>
      <w:rFonts w:ascii="Times New Roman" w:hAnsi="Times New Roman" w:eastAsia="宋体" w:cs="Times New Roman"/>
      <w:szCs w:val="24"/>
    </w:rPr>
  </w:style>
  <w:style w:type="table" w:customStyle="1" w:styleId="23">
    <w:name w:val="网格型1"/>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标题 4 Char"/>
    <w:basedOn w:val="17"/>
    <w:link w:val="4"/>
    <w:qFormat/>
    <w:uiPriority w:val="0"/>
    <w:rPr>
      <w:rFonts w:ascii="Cambria" w:hAnsi="Cambria" w:eastAsia="宋体" w:cs="Times New Roman"/>
      <w:b/>
      <w:bCs/>
      <w:sz w:val="24"/>
      <w:szCs w:val="28"/>
    </w:rPr>
  </w:style>
  <w:style w:type="character" w:customStyle="1" w:styleId="25">
    <w:name w:val="标题 1 Char"/>
    <w:basedOn w:val="17"/>
    <w:link w:val="3"/>
    <w:qFormat/>
    <w:uiPriority w:val="9"/>
    <w:rPr>
      <w:b/>
      <w:bCs/>
      <w:kern w:val="44"/>
      <w:sz w:val="36"/>
      <w:szCs w:val="44"/>
    </w:rPr>
  </w:style>
  <w:style w:type="character" w:customStyle="1" w:styleId="26">
    <w:name w:val="标题 5 Char"/>
    <w:basedOn w:val="17"/>
    <w:link w:val="5"/>
    <w:qFormat/>
    <w:uiPriority w:val="9"/>
    <w:rPr>
      <w:b/>
      <w:bCs/>
      <w:sz w:val="24"/>
      <w:szCs w:val="28"/>
    </w:rPr>
  </w:style>
  <w:style w:type="paragraph" w:customStyle="1" w:styleId="27">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28">
    <w:name w:val="批注框文本 Char"/>
    <w:basedOn w:val="17"/>
    <w:link w:val="9"/>
    <w:semiHidden/>
    <w:qFormat/>
    <w:uiPriority w:val="99"/>
    <w:rPr>
      <w:rFonts w:asciiTheme="minorHAnsi" w:hAnsiTheme="minorHAnsi" w:eastAsiaTheme="minorEastAsia" w:cstheme="minorBidi"/>
      <w:kern w:val="2"/>
      <w:sz w:val="18"/>
      <w:szCs w:val="18"/>
    </w:rPr>
  </w:style>
  <w:style w:type="paragraph" w:styleId="29">
    <w:name w:val="List Paragraph"/>
    <w:basedOn w:val="1"/>
    <w:unhideWhenUsed/>
    <w:qFormat/>
    <w:uiPriority w:val="99"/>
    <w:pPr>
      <w:ind w:firstLine="420" w:firstLineChars="200"/>
    </w:pPr>
  </w:style>
  <w:style w:type="table" w:customStyle="1" w:styleId="30">
    <w:name w:val="网格型2"/>
    <w:basedOn w:val="1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
    <w:name w:val="正文文本 Char"/>
    <w:basedOn w:val="17"/>
    <w:link w:val="8"/>
    <w:qFormat/>
    <w:uiPriority w:val="0"/>
    <w:rPr>
      <w:rFonts w:cs="Calibri"/>
      <w:kern w:val="2"/>
      <w:sz w:val="21"/>
      <w:szCs w:val="21"/>
    </w:rPr>
  </w:style>
  <w:style w:type="paragraph" w:customStyle="1" w:styleId="32">
    <w:name w:val="列出段落1"/>
    <w:basedOn w:val="1"/>
    <w:qFormat/>
    <w:uiPriority w:val="34"/>
    <w:pPr>
      <w:ind w:firstLine="420" w:firstLineChars="200"/>
    </w:pPr>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041913-74C6-4EA1-B9DA-41294E7C2933}">
  <ds:schemaRefs/>
</ds:datastoreItem>
</file>

<file path=docProps/app.xml><?xml version="1.0" encoding="utf-8"?>
<Properties xmlns="http://schemas.openxmlformats.org/officeDocument/2006/extended-properties" xmlns:vt="http://schemas.openxmlformats.org/officeDocument/2006/docPropsVTypes">
  <Template>Normal</Template>
  <Pages>46</Pages>
  <Words>23277</Words>
  <Characters>24114</Characters>
  <Lines>165</Lines>
  <Paragraphs>46</Paragraphs>
  <TotalTime>1</TotalTime>
  <ScaleCrop>false</ScaleCrop>
  <LinksUpToDate>false</LinksUpToDate>
  <CharactersWithSpaces>24563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2021-04-01T08:51:00Z</dcterms:created>
  <dc:creator>Administrator</dc:creator>
  <cp:lastModifiedBy>姜宇</cp:lastModifiedBy>
  <dcterms:modified xsi:type="dcterms:W3CDTF">2026-08-14T08:22:47Z</dcterms:modified>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2052-12.1.0.28032</vt:lpwstr>
  </property>
  <property fmtid="{D5CDD505-2E9C-101B-9397-08002B2CF9AE}" pid="3" name="ICV">
    <vt:lpwstr>11D7B2FBE43D464587E71E1B65349887_13</vt:lpwstr>
  </property>
  <property fmtid="{D5CDD505-2E9C-101B-9397-08002B2CF9AE}" pid="4" name="KSOTemplateDocerSaveRecord">
    <vt:lpwstr>eyJoZGlkIjoiZDYxNzQwMWY4MzNlNjA1OTlmNzkxYjE4MGVmNTM1NDAiLCJ1c2VySWQiOiIxMzc0NTExODkxNDUifQ==</vt:lpwstr>
  </property>
</Properties>
</file>