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BFC06">
      <w:pPr>
        <w:pStyle w:val="6"/>
        <w:keepNext w:val="0"/>
        <w:keepLines w:val="0"/>
        <w:pageBreakBefore w:val="0"/>
        <w:widowControl/>
        <w:kinsoku/>
        <w:wordWrap/>
        <w:overflowPunct/>
        <w:topLinePunct w:val="0"/>
        <w:autoSpaceDE/>
        <w:autoSpaceDN/>
        <w:bidi w:val="0"/>
        <w:adjustRightInd/>
        <w:snapToGrid/>
        <w:spacing w:beforeAutospacing="0" w:after="300" w:afterAutospacing="0" w:line="600" w:lineRule="exact"/>
        <w:jc w:val="center"/>
        <w:textAlignment w:val="center"/>
        <w:rPr>
          <w:rFonts w:hint="eastAsia" w:ascii="方正小标宋简体" w:hAnsi="方正小标宋简体" w:eastAsia="方正小标宋简体" w:cs="方正小标宋简体"/>
          <w:b/>
          <w:bCs/>
          <w:color w:val="333333"/>
          <w:sz w:val="44"/>
          <w:szCs w:val="44"/>
        </w:rPr>
      </w:pPr>
      <w:r>
        <w:rPr>
          <w:rFonts w:hint="eastAsia" w:ascii="方正小标宋简体" w:hAnsi="方正小标宋简体" w:eastAsia="方正小标宋简体" w:cs="方正小标宋简体"/>
          <w:b/>
          <w:bCs/>
          <w:color w:val="333333"/>
          <w:sz w:val="44"/>
          <w:szCs w:val="44"/>
          <w:shd w:val="clear" w:color="auto" w:fill="FFFFFF"/>
        </w:rPr>
        <w:t>深圳市宝安区人民医院医用耗材遴选调研公告</w:t>
      </w:r>
    </w:p>
    <w:p w14:paraId="76A034F0">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226" w:afterAutospacing="0" w:line="48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333333"/>
          <w:sz w:val="32"/>
          <w:szCs w:val="32"/>
          <w:shd w:val="clear" w:color="auto" w:fill="FFFFFF"/>
        </w:rPr>
        <w:t>深宝医遴调【202</w:t>
      </w:r>
      <w:r>
        <w:rPr>
          <w:rFonts w:hint="eastAsia" w:ascii="仿宋_GB2312" w:hAnsi="仿宋_GB2312" w:eastAsia="仿宋_GB2312" w:cs="仿宋_GB2312"/>
          <w:b w:val="0"/>
          <w:bCs w:val="0"/>
          <w:color w:val="333333"/>
          <w:sz w:val="32"/>
          <w:szCs w:val="32"/>
          <w:shd w:val="clear" w:color="auto" w:fill="FFFFFF"/>
          <w:lang w:val="en-US" w:eastAsia="zh-CN"/>
        </w:rPr>
        <w:t>6</w:t>
      </w:r>
      <w:r>
        <w:rPr>
          <w:rFonts w:hint="eastAsia" w:ascii="仿宋_GB2312" w:hAnsi="仿宋_GB2312" w:eastAsia="仿宋_GB2312" w:cs="仿宋_GB2312"/>
          <w:b w:val="0"/>
          <w:bCs w:val="0"/>
          <w:color w:val="333333"/>
          <w:sz w:val="32"/>
          <w:szCs w:val="32"/>
          <w:shd w:val="clear" w:color="auto" w:fill="FFFFFF"/>
        </w:rPr>
        <w:t>】设备科第</w:t>
      </w:r>
      <w:r>
        <w:rPr>
          <w:rFonts w:hint="eastAsia" w:ascii="仿宋_GB2312" w:hAnsi="仿宋_GB2312" w:eastAsia="仿宋_GB2312" w:cs="仿宋_GB2312"/>
          <w:b w:val="0"/>
          <w:bCs w:val="0"/>
          <w:color w:val="333333"/>
          <w:sz w:val="32"/>
          <w:szCs w:val="32"/>
          <w:shd w:val="clear" w:color="auto" w:fill="FFFFFF"/>
          <w:lang w:val="en-US" w:eastAsia="zh-CN"/>
        </w:rPr>
        <w:t>三十</w:t>
      </w:r>
      <w:bookmarkStart w:id="0" w:name="_GoBack"/>
      <w:r>
        <w:rPr>
          <w:rFonts w:hint="eastAsia" w:ascii="仿宋_GB2312" w:hAnsi="仿宋_GB2312" w:eastAsia="仿宋_GB2312" w:cs="仿宋_GB2312"/>
          <w:b w:val="0"/>
          <w:bCs w:val="0"/>
          <w:color w:val="auto"/>
          <w:sz w:val="32"/>
          <w:szCs w:val="32"/>
          <w:shd w:val="clear" w:color="auto" w:fill="FFFFFF"/>
          <w:lang w:val="en-US" w:eastAsia="zh-CN"/>
        </w:rPr>
        <w:t>三</w:t>
      </w:r>
      <w:bookmarkEnd w:id="0"/>
      <w:r>
        <w:rPr>
          <w:rFonts w:hint="eastAsia" w:ascii="仿宋_GB2312" w:hAnsi="仿宋_GB2312" w:eastAsia="仿宋_GB2312" w:cs="仿宋_GB2312"/>
          <w:b w:val="0"/>
          <w:bCs w:val="0"/>
          <w:color w:val="333333"/>
          <w:sz w:val="32"/>
          <w:szCs w:val="32"/>
          <w:shd w:val="clear" w:color="auto" w:fill="FFFFFF"/>
        </w:rPr>
        <w:t>期</w:t>
      </w:r>
    </w:p>
    <w:p w14:paraId="7B1BD55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深圳市宝安区人民医院拟对医用耗材进行市场调研，欢迎符合资格条件的厂家和供应商提交资料报名。</w:t>
      </w:r>
    </w:p>
    <w:p w14:paraId="75D3879F">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Style w:val="10"/>
          <w:rFonts w:hint="eastAsia" w:ascii="黑体" w:hAnsi="黑体" w:eastAsia="黑体" w:cs="黑体"/>
          <w:b w:val="0"/>
          <w:bCs w:val="0"/>
          <w:color w:val="333333"/>
          <w:sz w:val="32"/>
          <w:szCs w:val="32"/>
          <w:shd w:val="clear" w:color="auto" w:fill="FFFFFF"/>
        </w:rPr>
      </w:pPr>
      <w:r>
        <w:rPr>
          <w:rStyle w:val="10"/>
          <w:rFonts w:hint="eastAsia" w:ascii="黑体" w:hAnsi="黑体" w:eastAsia="黑体" w:cs="黑体"/>
          <w:b w:val="0"/>
          <w:bCs w:val="0"/>
          <w:color w:val="333333"/>
          <w:sz w:val="32"/>
          <w:szCs w:val="32"/>
          <w:shd w:val="clear" w:color="auto" w:fill="FFFFFF"/>
        </w:rPr>
        <w:t>一、基本要求：</w:t>
      </w:r>
    </w:p>
    <w:p w14:paraId="4F06E11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1</w:t>
      </w:r>
      <w:r>
        <w:rPr>
          <w:rFonts w:hint="eastAsia" w:ascii="仿宋_GB2312" w:hAnsi="仿宋_GB2312" w:eastAsia="仿宋_GB2312" w:cs="仿宋_GB2312"/>
          <w:color w:val="333333"/>
          <w:sz w:val="32"/>
          <w:szCs w:val="32"/>
          <w:shd w:val="clear" w:color="auto" w:fill="FFFFFF"/>
          <w:lang w:val="en-US" w:eastAsia="zh-CN"/>
        </w:rPr>
        <w:t>.</w:t>
      </w:r>
      <w:r>
        <w:rPr>
          <w:rFonts w:hint="eastAsia" w:ascii="仿宋_GB2312" w:hAnsi="仿宋_GB2312" w:eastAsia="仿宋_GB2312" w:cs="仿宋_GB2312"/>
          <w:color w:val="333333"/>
          <w:sz w:val="32"/>
          <w:szCs w:val="32"/>
          <w:shd w:val="clear" w:color="auto" w:fill="FFFFFF"/>
        </w:rPr>
        <w:t>报名产品须为深圳医用耗材阳光交易和监管平台目录内且能正常交易的产品，无医疗器械注册证、同类产品已撤网的除外。</w:t>
      </w:r>
    </w:p>
    <w:p w14:paraId="55F4F7D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w:t>
      </w:r>
      <w:r>
        <w:rPr>
          <w:rFonts w:hint="eastAsia" w:ascii="仿宋_GB2312" w:hAnsi="仿宋_GB2312" w:eastAsia="仿宋_GB2312" w:cs="仿宋_GB2312"/>
          <w:color w:val="333333"/>
          <w:sz w:val="32"/>
          <w:szCs w:val="32"/>
          <w:shd w:val="clear" w:color="auto" w:fill="FFFFFF"/>
          <w:lang w:val="en-US" w:eastAsia="zh-CN"/>
        </w:rPr>
        <w:t>.</w:t>
      </w:r>
      <w:r>
        <w:rPr>
          <w:rFonts w:hint="eastAsia" w:ascii="仿宋_GB2312" w:hAnsi="仿宋_GB2312" w:eastAsia="仿宋_GB2312" w:cs="仿宋_GB2312"/>
          <w:color w:val="333333"/>
          <w:sz w:val="32"/>
          <w:szCs w:val="32"/>
          <w:shd w:val="clear" w:color="auto" w:fill="FFFFFF"/>
        </w:rPr>
        <w:t>参与报名的供应商须为阳光平台目录内供应商，且能获取该产品配送我院的授权。</w:t>
      </w:r>
    </w:p>
    <w:p w14:paraId="31D56C9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3</w:t>
      </w:r>
      <w:r>
        <w:rPr>
          <w:rFonts w:hint="eastAsia" w:ascii="仿宋_GB2312" w:hAnsi="仿宋_GB2312" w:eastAsia="仿宋_GB2312" w:cs="仿宋_GB2312"/>
          <w:color w:val="333333"/>
          <w:sz w:val="32"/>
          <w:szCs w:val="32"/>
          <w:shd w:val="clear" w:color="auto" w:fill="FFFFFF"/>
          <w:lang w:val="en-US" w:eastAsia="zh-CN"/>
        </w:rPr>
        <w:t>.</w:t>
      </w:r>
      <w:r>
        <w:rPr>
          <w:rFonts w:hint="eastAsia" w:ascii="仿宋_GB2312" w:hAnsi="仿宋_GB2312" w:eastAsia="仿宋_GB2312" w:cs="仿宋_GB2312"/>
          <w:color w:val="333333"/>
          <w:sz w:val="32"/>
          <w:szCs w:val="32"/>
          <w:shd w:val="clear" w:color="auto" w:fill="FFFFFF"/>
        </w:rPr>
        <w:t>若调研遴选产品已纳入国家或省市集中采购、价格优势专区目录内，则在集中采购、价格优势专区目录的中选产品中进行调研遴选。</w:t>
      </w:r>
    </w:p>
    <w:p w14:paraId="63B4BDF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3" w:firstLineChars="200"/>
        <w:jc w:val="both"/>
        <w:textAlignment w:val="auto"/>
        <w:rPr>
          <w:rFonts w:hint="eastAsia" w:ascii="黑体" w:hAnsi="黑体" w:eastAsia="黑体" w:cs="黑体"/>
          <w:sz w:val="32"/>
          <w:szCs w:val="32"/>
        </w:rPr>
      </w:pPr>
      <w:r>
        <w:rPr>
          <w:rStyle w:val="10"/>
          <w:rFonts w:hint="eastAsia" w:ascii="黑体" w:hAnsi="黑体" w:eastAsia="黑体" w:cs="黑体"/>
          <w:bCs/>
          <w:color w:val="333333"/>
          <w:sz w:val="32"/>
          <w:szCs w:val="32"/>
          <w:shd w:val="clear" w:color="auto" w:fill="FFFFFF"/>
        </w:rPr>
        <w:t>二、报名条件：</w:t>
      </w:r>
    </w:p>
    <w:p w14:paraId="27E995E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1.具有独立法人资格，依法取得《营业执照》《医疗器械经营许可证》，具备所投产品的《医疗器械生产许可证》《医疗器械产品注册证》、各级授权书、产品检测报告等。在近三年未因违规经营而受到处罚，有依法缴纳税收和社会保障资金的良好记录。</w:t>
      </w:r>
    </w:p>
    <w:p w14:paraId="4727EC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2.公司（单位）法定代表人（负责人）为同一人或者存在直接控股、管理关系的不同供应商，不得同时参加本次项目采购活动。</w:t>
      </w:r>
    </w:p>
    <w:p w14:paraId="61A5C59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3.报名时须提交加盖公章的相关资格资质证明文件（提供上述平台配送资质的系统操作界面截屏等证明文件）和法定代表人授权委托书等。同时，提供产品目录（应包括名称、规格、材质、生产企业、所在交易平台等项目）。</w:t>
      </w:r>
    </w:p>
    <w:p w14:paraId="2F9A5AA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firstLine="640" w:firstLineChars="200"/>
        <w:jc w:val="both"/>
        <w:textAlignment w:val="auto"/>
        <w:rPr>
          <w:rFonts w:hint="eastAsia" w:ascii="黑体" w:hAnsi="黑体" w:eastAsia="黑体" w:cs="黑体"/>
          <w:b w:val="0"/>
          <w:bCs w:val="0"/>
          <w:sz w:val="32"/>
          <w:szCs w:val="32"/>
        </w:rPr>
      </w:pPr>
      <w:r>
        <w:rPr>
          <w:rStyle w:val="10"/>
          <w:rFonts w:hint="eastAsia" w:ascii="黑体" w:hAnsi="黑体" w:eastAsia="黑体" w:cs="黑体"/>
          <w:b w:val="0"/>
          <w:bCs w:val="0"/>
          <w:color w:val="333333"/>
          <w:sz w:val="32"/>
          <w:szCs w:val="32"/>
          <w:shd w:val="clear" w:color="auto" w:fill="FFFFFF"/>
        </w:rPr>
        <w:t>三、采购需求：</w:t>
      </w:r>
    </w:p>
    <w:tbl>
      <w:tblPr>
        <w:tblStyle w:val="8"/>
        <w:tblW w:w="9923" w:type="dxa"/>
        <w:tblInd w:w="-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3418"/>
        <w:gridCol w:w="5336"/>
      </w:tblGrid>
      <w:tr w14:paraId="2647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69" w:type="dxa"/>
            <w:vAlign w:val="center"/>
          </w:tcPr>
          <w:p w14:paraId="2A201E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微软雅黑" w:hAnsi="微软雅黑" w:eastAsia="微软雅黑" w:cs="微软雅黑"/>
                <w:color w:val="333333"/>
                <w:sz w:val="22"/>
                <w:szCs w:val="22"/>
                <w:shd w:val="clear" w:color="auto" w:fill="FFFFFF"/>
              </w:rPr>
            </w:pPr>
            <w:r>
              <w:rPr>
                <w:rFonts w:hint="eastAsia" w:ascii="微软雅黑" w:hAnsi="微软雅黑" w:eastAsia="微软雅黑" w:cs="微软雅黑"/>
                <w:i w:val="0"/>
                <w:iCs w:val="0"/>
                <w:color w:val="000000"/>
                <w:kern w:val="0"/>
                <w:sz w:val="22"/>
                <w:szCs w:val="22"/>
                <w:u w:val="none"/>
                <w:lang w:val="en-US" w:eastAsia="zh-CN" w:bidi="ar"/>
              </w:rPr>
              <w:t>项目序号</w:t>
            </w:r>
          </w:p>
        </w:tc>
        <w:tc>
          <w:tcPr>
            <w:tcW w:w="3418" w:type="dxa"/>
            <w:vAlign w:val="center"/>
          </w:tcPr>
          <w:p w14:paraId="2D3ABBCB">
            <w:pPr>
              <w:keepNext w:val="0"/>
              <w:keepLines w:val="0"/>
              <w:widowControl/>
              <w:suppressLineNumbers w:val="0"/>
              <w:jc w:val="center"/>
              <w:textAlignment w:val="top"/>
              <w:rPr>
                <w:rFonts w:hint="default" w:ascii="微软雅黑" w:hAnsi="微软雅黑" w:eastAsia="微软雅黑" w:cs="微软雅黑"/>
                <w:color w:val="333333"/>
                <w:sz w:val="22"/>
                <w:szCs w:val="22"/>
                <w:shd w:val="clear" w:color="auto" w:fill="FFFFFF"/>
                <w:lang w:val="en-US"/>
              </w:rPr>
            </w:pPr>
            <w:r>
              <w:rPr>
                <w:rFonts w:hint="eastAsia" w:ascii="微软雅黑" w:hAnsi="微软雅黑" w:eastAsia="微软雅黑" w:cs="微软雅黑"/>
                <w:i w:val="0"/>
                <w:iCs w:val="0"/>
                <w:color w:val="000000"/>
                <w:kern w:val="0"/>
                <w:sz w:val="22"/>
                <w:szCs w:val="22"/>
                <w:u w:val="none"/>
                <w:lang w:val="en-US" w:eastAsia="zh-CN" w:bidi="ar"/>
              </w:rPr>
              <w:t>耗材名称</w:t>
            </w:r>
          </w:p>
        </w:tc>
        <w:tc>
          <w:tcPr>
            <w:tcW w:w="5336" w:type="dxa"/>
            <w:vAlign w:val="center"/>
          </w:tcPr>
          <w:p w14:paraId="4992F82F">
            <w:pPr>
              <w:keepNext w:val="0"/>
              <w:keepLines w:val="0"/>
              <w:widowControl/>
              <w:suppressLineNumbers w:val="0"/>
              <w:jc w:val="center"/>
              <w:textAlignment w:val="top"/>
              <w:rPr>
                <w:rFonts w:hint="eastAsia" w:ascii="微软雅黑" w:hAnsi="微软雅黑" w:eastAsia="微软雅黑" w:cs="微软雅黑"/>
                <w:color w:val="333333"/>
                <w:sz w:val="22"/>
                <w:szCs w:val="22"/>
                <w:shd w:val="clear" w:color="auto" w:fill="FFFFFF"/>
              </w:rPr>
            </w:pPr>
            <w:r>
              <w:rPr>
                <w:rFonts w:hint="eastAsia" w:ascii="微软雅黑" w:hAnsi="微软雅黑" w:eastAsia="微软雅黑" w:cs="微软雅黑"/>
                <w:i w:val="0"/>
                <w:iCs w:val="0"/>
                <w:color w:val="000000"/>
                <w:kern w:val="0"/>
                <w:sz w:val="22"/>
                <w:szCs w:val="22"/>
                <w:u w:val="none"/>
                <w:lang w:val="en-US" w:eastAsia="zh-CN" w:bidi="ar"/>
              </w:rPr>
              <w:t>备注</w:t>
            </w:r>
          </w:p>
        </w:tc>
      </w:tr>
      <w:tr w14:paraId="14E1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169" w:type="dxa"/>
            <w:vAlign w:val="center"/>
          </w:tcPr>
          <w:p w14:paraId="30B905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418" w:type="dxa"/>
            <w:vAlign w:val="center"/>
          </w:tcPr>
          <w:p w14:paraId="45266E48">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视角可调可视喉罩气道导管</w:t>
            </w:r>
          </w:p>
        </w:tc>
        <w:tc>
          <w:tcPr>
            <w:tcW w:w="5336" w:type="dxa"/>
            <w:vAlign w:val="bottom"/>
          </w:tcPr>
          <w:p w14:paraId="31048152">
            <w:pPr>
              <w:keepNext w:val="0"/>
              <w:keepLines w:val="0"/>
              <w:widowControl/>
              <w:suppressLineNumbers w:val="0"/>
              <w:jc w:val="left"/>
              <w:textAlignment w:val="bottom"/>
              <w:rPr>
                <w:rFonts w:hint="eastAsia" w:asciiTheme="minorEastAsia" w:hAnsiTheme="minorEastAsia" w:eastAsiaTheme="minorEastAsia" w:cstheme="minorEastAsia"/>
                <w:color w:val="000000"/>
                <w:kern w:val="0"/>
                <w:sz w:val="22"/>
                <w:szCs w:val="22"/>
                <w:lang w:bidi="ar"/>
              </w:rPr>
            </w:pPr>
            <w:r>
              <w:rPr>
                <w:rFonts w:hint="eastAsia" w:ascii="宋体" w:hAnsi="宋体" w:eastAsia="宋体" w:cs="宋体"/>
                <w:i w:val="0"/>
                <w:iCs w:val="0"/>
                <w:color w:val="000000"/>
                <w:kern w:val="0"/>
                <w:sz w:val="24"/>
                <w:szCs w:val="24"/>
                <w:u w:val="none"/>
                <w:lang w:val="en-US" w:eastAsia="zh-CN" w:bidi="ar"/>
              </w:rPr>
              <w:t>适用于打开并密封上喉部，在进行自主、辅助或控制通气时，在患者体内提供一个气体通道，同时具备对食道和胃内容物的引流作用，并且在需要时能经本产品完成气管插管(经本产品完成气管插管仅适用食道引流型B1系列)。</w:t>
            </w:r>
          </w:p>
        </w:tc>
      </w:tr>
      <w:tr w14:paraId="0E77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9" w:type="dxa"/>
            <w:vAlign w:val="center"/>
          </w:tcPr>
          <w:p w14:paraId="39569F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418" w:type="dxa"/>
            <w:shd w:val="clear" w:color="auto" w:fill="FFFFFF"/>
            <w:vAlign w:val="center"/>
          </w:tcPr>
          <w:p w14:paraId="4B24F655">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一次性使用麻醉穿刺套件</w:t>
            </w:r>
          </w:p>
        </w:tc>
        <w:tc>
          <w:tcPr>
            <w:tcW w:w="5336" w:type="dxa"/>
            <w:shd w:val="clear" w:color="auto" w:fill="auto"/>
            <w:vAlign w:val="bottom"/>
          </w:tcPr>
          <w:p w14:paraId="1512D4BB">
            <w:pPr>
              <w:keepNext w:val="0"/>
              <w:keepLines w:val="0"/>
              <w:widowControl/>
              <w:suppressLineNumbers w:val="0"/>
              <w:jc w:val="left"/>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适用于硬膜外麻醉、腰椎麻醉、神经阻滞麻醉、硬膜外和腰椎联合麻醉时穿刺、注射药物。</w:t>
            </w:r>
          </w:p>
        </w:tc>
      </w:tr>
      <w:tr w14:paraId="531B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69" w:type="dxa"/>
            <w:vAlign w:val="center"/>
          </w:tcPr>
          <w:p w14:paraId="02E74337">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3</w:t>
            </w:r>
          </w:p>
        </w:tc>
        <w:tc>
          <w:tcPr>
            <w:tcW w:w="3418" w:type="dxa"/>
            <w:shd w:val="clear" w:color="auto" w:fill="FFFFFF"/>
            <w:vAlign w:val="center"/>
          </w:tcPr>
          <w:p w14:paraId="7D0A4741">
            <w:pPr>
              <w:keepNext w:val="0"/>
              <w:keepLines w:val="0"/>
              <w:widowControl/>
              <w:suppressLineNumbers w:val="0"/>
              <w:jc w:val="left"/>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一次性无菌加强型柔性气管插管</w:t>
            </w:r>
          </w:p>
        </w:tc>
        <w:tc>
          <w:tcPr>
            <w:tcW w:w="5336" w:type="dxa"/>
            <w:shd w:val="clear" w:color="auto" w:fill="auto"/>
            <w:vAlign w:val="bottom"/>
          </w:tcPr>
          <w:p w14:paraId="0E4A4A91">
            <w:pPr>
              <w:keepNext w:val="0"/>
              <w:keepLines w:val="0"/>
              <w:widowControl/>
              <w:suppressLineNumbers w:val="0"/>
              <w:jc w:val="left"/>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供医疗部门临床急救时气管插管及麻醉时一次性使用。</w:t>
            </w:r>
          </w:p>
        </w:tc>
      </w:tr>
      <w:tr w14:paraId="297A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69" w:type="dxa"/>
            <w:vAlign w:val="center"/>
          </w:tcPr>
          <w:p w14:paraId="5CAA79A3">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w:t>
            </w:r>
          </w:p>
        </w:tc>
        <w:tc>
          <w:tcPr>
            <w:tcW w:w="3418" w:type="dxa"/>
            <w:shd w:val="clear" w:color="auto" w:fill="FFFFFF"/>
            <w:vAlign w:val="center"/>
          </w:tcPr>
          <w:p w14:paraId="13094546">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一次性无菌双腔支气管插管</w:t>
            </w:r>
          </w:p>
        </w:tc>
        <w:tc>
          <w:tcPr>
            <w:tcW w:w="5336" w:type="dxa"/>
            <w:shd w:val="clear" w:color="auto" w:fill="auto"/>
            <w:vAlign w:val="bottom"/>
          </w:tcPr>
          <w:p w14:paraId="29B1EA6B">
            <w:pPr>
              <w:keepNext w:val="0"/>
              <w:keepLines w:val="0"/>
              <w:widowControl/>
              <w:suppressLineNumbers w:val="0"/>
              <w:jc w:val="left"/>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供医疗部门在胸科手术麻醉时作分隔支气管通气一次性使用。</w:t>
            </w:r>
          </w:p>
        </w:tc>
      </w:tr>
      <w:tr w14:paraId="76B6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69" w:type="dxa"/>
            <w:vAlign w:val="center"/>
          </w:tcPr>
          <w:p w14:paraId="00BFFD2C">
            <w:pPr>
              <w:keepNext w:val="0"/>
              <w:keepLines w:val="0"/>
              <w:widowControl/>
              <w:suppressLineNumbers w:val="0"/>
              <w:jc w:val="center"/>
              <w:textAlignment w:val="center"/>
              <w:rPr>
                <w:rFonts w:hint="default" w:asciiTheme="minorEastAsia" w:hAnsiTheme="minorEastAsia" w:eastAsiaTheme="minorEastAsia" w:cstheme="minorEastAsia"/>
                <w:color w:val="000000"/>
                <w:kern w:val="0"/>
                <w:sz w:val="22"/>
                <w:szCs w:val="22"/>
                <w:lang w:val="en-US" w:bidi="ar"/>
              </w:rPr>
            </w:pPr>
            <w:r>
              <w:rPr>
                <w:rFonts w:hint="eastAsia" w:ascii="宋体" w:hAnsi="宋体" w:eastAsia="宋体" w:cs="宋体"/>
                <w:i w:val="0"/>
                <w:iCs w:val="0"/>
                <w:color w:val="000000"/>
                <w:kern w:val="0"/>
                <w:sz w:val="22"/>
                <w:szCs w:val="22"/>
                <w:u w:val="none"/>
                <w:lang w:val="en-US" w:eastAsia="zh-CN" w:bidi="ar"/>
              </w:rPr>
              <w:t>5</w:t>
            </w:r>
          </w:p>
        </w:tc>
        <w:tc>
          <w:tcPr>
            <w:tcW w:w="3418" w:type="dxa"/>
            <w:shd w:val="clear" w:color="auto" w:fill="FFFFFF"/>
            <w:vAlign w:val="center"/>
          </w:tcPr>
          <w:p w14:paraId="606024CC">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一次性使用可视喉镜片</w:t>
            </w:r>
          </w:p>
        </w:tc>
        <w:tc>
          <w:tcPr>
            <w:tcW w:w="5336" w:type="dxa"/>
            <w:shd w:val="clear" w:color="auto" w:fill="auto"/>
            <w:vAlign w:val="bottom"/>
          </w:tcPr>
          <w:p w14:paraId="72A673D6">
            <w:pPr>
              <w:keepNext w:val="0"/>
              <w:keepLines w:val="0"/>
              <w:widowControl/>
              <w:suppressLineNumbers w:val="0"/>
              <w:jc w:val="left"/>
              <w:textAlignment w:val="bottom"/>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供临床挑起患者会厌部暴露声门，辅助医护人员进行气道插管用。</w:t>
            </w:r>
          </w:p>
        </w:tc>
      </w:tr>
      <w:tr w14:paraId="7CE7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169" w:type="dxa"/>
            <w:vAlign w:val="center"/>
          </w:tcPr>
          <w:p w14:paraId="3840CDC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3418" w:type="dxa"/>
            <w:shd w:val="clear" w:color="auto" w:fill="FFFFFF"/>
            <w:vAlign w:val="center"/>
          </w:tcPr>
          <w:p w14:paraId="5682C243">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双层人工真皮修复材料</w:t>
            </w:r>
          </w:p>
        </w:tc>
        <w:tc>
          <w:tcPr>
            <w:tcW w:w="5336" w:type="dxa"/>
            <w:shd w:val="clear" w:color="auto" w:fill="auto"/>
            <w:vAlign w:val="bottom"/>
          </w:tcPr>
          <w:p w14:paraId="15028F42">
            <w:pPr>
              <w:keepNext w:val="0"/>
              <w:keepLines w:val="0"/>
              <w:widowControl/>
              <w:suppressLineNumbers w:val="0"/>
              <w:jc w:val="left"/>
              <w:textAlignment w:val="bottom"/>
              <w:rPr>
                <w:rFonts w:hint="eastAsia" w:ascii="宋体" w:hAnsi="宋体" w:eastAsia="宋体" w:cs="宋体"/>
                <w:i w:val="0"/>
                <w:iCs w:val="0"/>
                <w:color w:val="000000"/>
                <w:kern w:val="0"/>
                <w:sz w:val="24"/>
                <w:szCs w:val="24"/>
                <w:u w:val="none"/>
                <w:lang w:val="en-US" w:eastAsia="zh-CN" w:bidi="ar"/>
              </w:rPr>
            </w:pPr>
            <w:r>
              <w:rPr>
                <w:rFonts w:ascii="宋体" w:hAnsi="宋体" w:eastAsia="宋体" w:cs="宋体"/>
                <w:sz w:val="24"/>
                <w:szCs w:val="24"/>
              </w:rPr>
              <w:t>适用于烧伤、外伤、手术后等所致的全层皮肤组织缺失，伴有骨、肌腱部分外露的创面修复与重建</w:t>
            </w:r>
            <w:r>
              <w:rPr>
                <w:rFonts w:hint="eastAsia" w:ascii="宋体" w:hAnsi="宋体" w:eastAsia="宋体" w:cs="宋体"/>
                <w:i w:val="0"/>
                <w:iCs w:val="0"/>
                <w:color w:val="000000"/>
                <w:kern w:val="0"/>
                <w:sz w:val="24"/>
                <w:szCs w:val="24"/>
                <w:u w:val="none"/>
                <w:lang w:val="en-US" w:eastAsia="zh-CN" w:bidi="ar"/>
              </w:rPr>
              <w:t>。</w:t>
            </w:r>
          </w:p>
        </w:tc>
      </w:tr>
      <w:tr w14:paraId="75AC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169" w:type="dxa"/>
            <w:vAlign w:val="center"/>
          </w:tcPr>
          <w:p w14:paraId="2291E5C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3418" w:type="dxa"/>
            <w:shd w:val="clear" w:color="auto" w:fill="FFFFFF"/>
            <w:vAlign w:val="center"/>
          </w:tcPr>
          <w:p w14:paraId="739F75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异种脱细胞真皮基质敷料</w:t>
            </w:r>
          </w:p>
        </w:tc>
        <w:tc>
          <w:tcPr>
            <w:tcW w:w="5336" w:type="dxa"/>
            <w:shd w:val="clear" w:color="auto" w:fill="auto"/>
            <w:vAlign w:val="bottom"/>
          </w:tcPr>
          <w:p w14:paraId="7E3A47D8">
            <w:pPr>
              <w:keepNext w:val="0"/>
              <w:keepLines w:val="0"/>
              <w:widowControl/>
              <w:suppressLineNumbers w:val="0"/>
              <w:jc w:val="left"/>
              <w:textAlignment w:val="bottom"/>
              <w:rPr>
                <w:rFonts w:hint="eastAsia" w:ascii="宋体" w:hAnsi="宋体" w:eastAsia="宋体" w:cs="宋体"/>
                <w:i w:val="0"/>
                <w:iCs w:val="0"/>
                <w:color w:val="000000"/>
                <w:kern w:val="0"/>
                <w:sz w:val="24"/>
                <w:szCs w:val="24"/>
                <w:u w:val="none"/>
                <w:lang w:val="en-US" w:eastAsia="zh-CN" w:bidi="ar"/>
              </w:rPr>
            </w:pPr>
            <w:r>
              <w:rPr>
                <w:rFonts w:ascii="宋体" w:hAnsi="宋体" w:eastAsia="宋体" w:cs="宋体"/>
                <w:sz w:val="24"/>
                <w:szCs w:val="24"/>
              </w:rPr>
              <w:t>供医疗机构用于II 度烧(烫)伤创面、供皮区创面、深度烧伤切(削)痂创面、其它原因所致的皮肤缺损创面、肉芽创面等创面的覆盖保护治疗</w:t>
            </w:r>
            <w:r>
              <w:rPr>
                <w:rFonts w:hint="eastAsia" w:ascii="宋体" w:hAnsi="宋体" w:eastAsia="宋体" w:cs="宋体"/>
                <w:i w:val="0"/>
                <w:iCs w:val="0"/>
                <w:color w:val="000000"/>
                <w:kern w:val="0"/>
                <w:sz w:val="24"/>
                <w:szCs w:val="24"/>
                <w:u w:val="none"/>
                <w:lang w:val="en-US" w:eastAsia="zh-CN" w:bidi="ar"/>
              </w:rPr>
              <w:t>。</w:t>
            </w:r>
          </w:p>
        </w:tc>
      </w:tr>
      <w:tr w14:paraId="7F9E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69" w:type="dxa"/>
            <w:vAlign w:val="center"/>
          </w:tcPr>
          <w:p w14:paraId="072F632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3418" w:type="dxa"/>
            <w:shd w:val="clear" w:color="auto" w:fill="FFFFFF"/>
            <w:vAlign w:val="center"/>
          </w:tcPr>
          <w:p w14:paraId="1D678A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瓣膜成形环</w:t>
            </w:r>
          </w:p>
        </w:tc>
        <w:tc>
          <w:tcPr>
            <w:tcW w:w="5336" w:type="dxa"/>
            <w:shd w:val="clear" w:color="auto" w:fill="auto"/>
            <w:vAlign w:val="center"/>
          </w:tcPr>
          <w:p w14:paraId="29624D01">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适用于纠正和重塑病变的瓣环，维持合理的瓣叶对合面积。适用于二尖瓣/三尖瓣等心脏瓣环修复手术需要使用人工成形环的患者。</w:t>
            </w:r>
          </w:p>
        </w:tc>
      </w:tr>
      <w:tr w14:paraId="34DD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169" w:type="dxa"/>
            <w:vAlign w:val="center"/>
          </w:tcPr>
          <w:p w14:paraId="745ED53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3418" w:type="dxa"/>
            <w:shd w:val="clear" w:color="auto" w:fill="FFFFFF"/>
            <w:vAlign w:val="center"/>
          </w:tcPr>
          <w:p w14:paraId="7BE4FE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一次性使用负压引流装置</w:t>
            </w:r>
          </w:p>
        </w:tc>
        <w:tc>
          <w:tcPr>
            <w:tcW w:w="5336" w:type="dxa"/>
            <w:shd w:val="clear" w:color="auto" w:fill="auto"/>
            <w:vAlign w:val="center"/>
          </w:tcPr>
          <w:p w14:paraId="0719C5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供临床手术时引流和收集残液用。</w:t>
            </w:r>
          </w:p>
        </w:tc>
      </w:tr>
      <w:tr w14:paraId="042C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169" w:type="dxa"/>
            <w:vAlign w:val="center"/>
          </w:tcPr>
          <w:p w14:paraId="477E6F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3418" w:type="dxa"/>
            <w:shd w:val="clear" w:color="auto" w:fill="FFFFFF"/>
            <w:vAlign w:val="center"/>
          </w:tcPr>
          <w:p w14:paraId="7BD8614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电切环</w:t>
            </w:r>
          </w:p>
        </w:tc>
        <w:tc>
          <w:tcPr>
            <w:tcW w:w="5336" w:type="dxa"/>
            <w:shd w:val="clear" w:color="auto" w:fill="auto"/>
            <w:vAlign w:val="center"/>
          </w:tcPr>
          <w:p w14:paraId="6102CF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ascii="宋体" w:hAnsi="宋体" w:eastAsia="宋体" w:cs="宋体"/>
                <w:sz w:val="24"/>
                <w:szCs w:val="24"/>
              </w:rPr>
              <w:t>与医疗机构中的电切镜、高频手术设备配套使用，用于生理盐水环境下对子宫腔内的软组织进行切割、凝血。</w:t>
            </w:r>
          </w:p>
        </w:tc>
      </w:tr>
      <w:tr w14:paraId="628A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69" w:type="dxa"/>
            <w:vAlign w:val="center"/>
          </w:tcPr>
          <w:p w14:paraId="07D05C8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3418" w:type="dxa"/>
            <w:shd w:val="clear" w:color="auto" w:fill="FFFFFF"/>
            <w:vAlign w:val="center"/>
          </w:tcPr>
          <w:p w14:paraId="7E9A22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电切球</w:t>
            </w:r>
          </w:p>
        </w:tc>
        <w:tc>
          <w:tcPr>
            <w:tcW w:w="5336" w:type="dxa"/>
            <w:shd w:val="clear" w:color="auto" w:fill="auto"/>
            <w:vAlign w:val="center"/>
          </w:tcPr>
          <w:p w14:paraId="358DF6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用于手术中切割组织。</w:t>
            </w:r>
          </w:p>
        </w:tc>
      </w:tr>
      <w:tr w14:paraId="583D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69" w:type="dxa"/>
            <w:vAlign w:val="center"/>
          </w:tcPr>
          <w:p w14:paraId="48CD0E4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3418" w:type="dxa"/>
            <w:shd w:val="clear" w:color="auto" w:fill="FFFFFF"/>
            <w:vAlign w:val="center"/>
          </w:tcPr>
          <w:p w14:paraId="5F0442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电切针</w:t>
            </w:r>
          </w:p>
        </w:tc>
        <w:tc>
          <w:tcPr>
            <w:tcW w:w="5336" w:type="dxa"/>
            <w:shd w:val="clear" w:color="auto" w:fill="auto"/>
            <w:vAlign w:val="center"/>
          </w:tcPr>
          <w:p w14:paraId="578AB8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用于手术中切割组织。</w:t>
            </w:r>
          </w:p>
        </w:tc>
      </w:tr>
      <w:tr w14:paraId="205F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169" w:type="dxa"/>
            <w:vAlign w:val="center"/>
          </w:tcPr>
          <w:p w14:paraId="532E636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3418" w:type="dxa"/>
            <w:shd w:val="clear" w:color="auto" w:fill="FFFFFF"/>
            <w:vAlign w:val="center"/>
          </w:tcPr>
          <w:p w14:paraId="48E6F0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一次性脑电传感器</w:t>
            </w:r>
          </w:p>
        </w:tc>
        <w:tc>
          <w:tcPr>
            <w:tcW w:w="5336" w:type="dxa"/>
            <w:shd w:val="clear" w:color="auto" w:fill="auto"/>
            <w:vAlign w:val="center"/>
          </w:tcPr>
          <w:p w14:paraId="6F7197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本产品与柯惠有限责任公司Covidienllc生产的脑电双频谱指数测量仪BISCompleteMonitoringSystem或BIS模块配合使用，用于无创采集患者脑电信号。</w:t>
            </w:r>
          </w:p>
        </w:tc>
      </w:tr>
      <w:tr w14:paraId="1B5E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69" w:type="dxa"/>
            <w:vAlign w:val="center"/>
          </w:tcPr>
          <w:p w14:paraId="0B35F02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3418" w:type="dxa"/>
            <w:shd w:val="clear" w:color="auto" w:fill="FFFFFF"/>
            <w:vAlign w:val="center"/>
          </w:tcPr>
          <w:p w14:paraId="52AFE2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一次性使用三通旋塞</w:t>
            </w:r>
          </w:p>
        </w:tc>
        <w:tc>
          <w:tcPr>
            <w:tcW w:w="5336" w:type="dxa"/>
            <w:shd w:val="clear" w:color="auto" w:fill="auto"/>
            <w:vAlign w:val="center"/>
          </w:tcPr>
          <w:p w14:paraId="6B7375B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建立多个输液通道。</w:t>
            </w:r>
          </w:p>
        </w:tc>
      </w:tr>
      <w:tr w14:paraId="5079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169" w:type="dxa"/>
            <w:vAlign w:val="center"/>
          </w:tcPr>
          <w:p w14:paraId="7DA50BD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3418" w:type="dxa"/>
            <w:shd w:val="clear" w:color="auto" w:fill="FFFFFF"/>
            <w:vAlign w:val="center"/>
          </w:tcPr>
          <w:p w14:paraId="588D52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万通阀 Smart Valve</w:t>
            </w:r>
          </w:p>
        </w:tc>
        <w:tc>
          <w:tcPr>
            <w:tcW w:w="5336" w:type="dxa"/>
            <w:shd w:val="clear" w:color="auto" w:fill="auto"/>
            <w:vAlign w:val="center"/>
          </w:tcPr>
          <w:p w14:paraId="4F2C1C3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sz w:val="24"/>
                <w:szCs w:val="24"/>
              </w:rPr>
              <w:t>作为静脉输液过程中多通路给药的装置，提供了多个给药通路；其中单向阀设计防止液体回流，也可通过阀体带的按钮装置实现回抽液体功能。</w:t>
            </w:r>
          </w:p>
        </w:tc>
      </w:tr>
      <w:tr w14:paraId="47F3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169" w:type="dxa"/>
            <w:vAlign w:val="center"/>
          </w:tcPr>
          <w:p w14:paraId="1A2BA64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3418" w:type="dxa"/>
            <w:shd w:val="clear" w:color="auto" w:fill="FFFFFF"/>
            <w:vAlign w:val="center"/>
          </w:tcPr>
          <w:p w14:paraId="67FC85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一次性使用测温加强型气管插管</w:t>
            </w:r>
          </w:p>
        </w:tc>
        <w:tc>
          <w:tcPr>
            <w:tcW w:w="5336" w:type="dxa"/>
            <w:shd w:val="clear" w:color="auto" w:fill="auto"/>
            <w:vAlign w:val="center"/>
          </w:tcPr>
          <w:p w14:paraId="564D8245">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sz w:val="24"/>
                <w:szCs w:val="24"/>
              </w:rPr>
              <w:t>供临床麻醉或急救时建立人工气道用，与多参数监护仪配合使用监测体温，插管即测温</w:t>
            </w:r>
            <w:r>
              <w:rPr>
                <w:rFonts w:hint="eastAsia" w:ascii="宋体" w:hAnsi="宋体" w:eastAsia="宋体" w:cs="宋体"/>
                <w:sz w:val="24"/>
                <w:szCs w:val="24"/>
                <w:lang w:eastAsia="zh-CN"/>
              </w:rPr>
              <w:t>。</w:t>
            </w:r>
          </w:p>
        </w:tc>
      </w:tr>
    </w:tbl>
    <w:p w14:paraId="776C804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10"/>
          <w:rFonts w:hint="eastAsia" w:ascii="仿宋_GB2312" w:hAnsi="仿宋_GB2312" w:eastAsia="仿宋_GB2312" w:cs="仿宋_GB2312"/>
          <w:bCs/>
          <w:color w:val="333333"/>
          <w:sz w:val="32"/>
          <w:szCs w:val="32"/>
          <w:shd w:val="clear" w:color="auto" w:fill="FFFFFF"/>
        </w:rPr>
      </w:pPr>
    </w:p>
    <w:p w14:paraId="30AAEFA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Style w:val="10"/>
          <w:rFonts w:hint="eastAsia" w:ascii="仿宋_GB2312" w:hAnsi="仿宋_GB2312" w:eastAsia="仿宋_GB2312" w:cs="仿宋_GB2312"/>
          <w:bCs/>
          <w:color w:val="333333"/>
          <w:sz w:val="32"/>
          <w:szCs w:val="32"/>
          <w:shd w:val="clear" w:color="auto" w:fill="FFFFFF"/>
        </w:rPr>
        <w:t>四、报名事项</w:t>
      </w:r>
    </w:p>
    <w:p w14:paraId="28B7FD4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1.报名时间：挂网起5个工作日内（8</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val="en-US" w:eastAsia="zh-CN"/>
        </w:rPr>
        <w:t>00-17：00</w:t>
      </w:r>
      <w:r>
        <w:rPr>
          <w:rFonts w:hint="eastAsia" w:ascii="仿宋_GB2312" w:hAnsi="仿宋_GB2312" w:eastAsia="仿宋_GB2312" w:cs="仿宋_GB2312"/>
          <w:color w:val="333333"/>
          <w:sz w:val="32"/>
          <w:szCs w:val="32"/>
          <w:shd w:val="clear" w:color="auto" w:fill="FFFFFF"/>
        </w:rPr>
        <w:t>）</w:t>
      </w:r>
    </w:p>
    <w:p w14:paraId="357C8E6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2.报名及提交资料平台链接（使用电脑端扫描二维码）：</w:t>
      </w:r>
    </w:p>
    <w:p w14:paraId="067081DB">
      <w:pPr>
        <w:pStyle w:val="6"/>
        <w:widowControl/>
        <w:shd w:val="clear" w:color="auto" w:fill="FFFFFF"/>
        <w:spacing w:beforeAutospacing="0" w:afterAutospacing="0" w:line="450" w:lineRule="atLeast"/>
        <w:ind w:firstLine="420"/>
        <w:jc w:val="center"/>
        <w:rPr>
          <w:rFonts w:hint="eastAsia" w:ascii="微软雅黑" w:hAnsi="微软雅黑" w:eastAsia="微软雅黑" w:cs="微软雅黑"/>
          <w:color w:val="333333"/>
          <w:sz w:val="22"/>
          <w:szCs w:val="22"/>
          <w:shd w:val="clear" w:color="auto" w:fill="FFFFFF"/>
        </w:rPr>
      </w:pPr>
      <w:r>
        <w:rPr>
          <w:rFonts w:hint="eastAsia" w:ascii="微软雅黑" w:hAnsi="微软雅黑" w:eastAsia="微软雅黑" w:cs="微软雅黑"/>
          <w:color w:val="333333"/>
          <w:sz w:val="22"/>
          <w:szCs w:val="22"/>
          <w:shd w:val="clear" w:color="auto" w:fill="FFFFFF"/>
        </w:rPr>
        <w:drawing>
          <wp:inline distT="0" distB="0" distL="114300" distR="114300">
            <wp:extent cx="1174750" cy="1174750"/>
            <wp:effectExtent l="0" t="0" r="6350" b="6350"/>
            <wp:docPr id="1" name="图片 1" descr="https___supplier.hongyangbid.com_supplier_#_login_enterpriseCode=12440306455834757C&amp;type=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___supplier.hongyangbid.com_supplier_#_login_enterpriseCode=12440306455834757C&amp;type=register"/>
                    <pic:cNvPicPr>
                      <a:picLocks noChangeAspect="1"/>
                    </pic:cNvPicPr>
                  </pic:nvPicPr>
                  <pic:blipFill>
                    <a:blip r:embed="rId4"/>
                    <a:stretch>
                      <a:fillRect/>
                    </a:stretch>
                  </pic:blipFill>
                  <pic:spPr>
                    <a:xfrm>
                      <a:off x="0" y="0"/>
                      <a:ext cx="1174750" cy="1174750"/>
                    </a:xfrm>
                    <a:prstGeom prst="rect">
                      <a:avLst/>
                    </a:prstGeom>
                  </pic:spPr>
                </pic:pic>
              </a:graphicData>
            </a:graphic>
          </wp:inline>
        </w:drawing>
      </w:r>
    </w:p>
    <w:p w14:paraId="2532600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系统工程师联系电话：13512719235（微信同号）</w:t>
      </w:r>
    </w:p>
    <w:p w14:paraId="189A2870">
      <w:pPr>
        <w:pStyle w:val="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3.</w:t>
      </w:r>
      <w:r>
        <w:rPr>
          <w:rFonts w:hint="eastAsia" w:ascii="仿宋_GB2312" w:hAnsi="仿宋_GB2312" w:eastAsia="仿宋_GB2312" w:cs="仿宋_GB2312"/>
          <w:color w:val="333333"/>
          <w:sz w:val="32"/>
          <w:szCs w:val="32"/>
          <w:shd w:val="clear" w:color="auto" w:fill="FFFFFF"/>
        </w:rPr>
        <w:t>联系人：李老师，联系电话：0755-27788311-301</w:t>
      </w:r>
      <w:r>
        <w:rPr>
          <w:rFonts w:hint="eastAsia" w:ascii="仿宋_GB2312" w:hAnsi="仿宋_GB2312" w:eastAsia="仿宋_GB2312" w:cs="仿宋_GB2312"/>
          <w:color w:val="333333"/>
          <w:sz w:val="32"/>
          <w:szCs w:val="32"/>
          <w:shd w:val="clear" w:color="auto" w:fill="FFFFFF"/>
          <w:lang w:val="en-US" w:eastAsia="zh-CN"/>
        </w:rPr>
        <w:t>8</w:t>
      </w:r>
    </w:p>
    <w:p w14:paraId="6D0DFFE4">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sz w:val="32"/>
          <w:szCs w:val="32"/>
        </w:rPr>
      </w:pPr>
      <w:r>
        <w:rPr>
          <w:rStyle w:val="10"/>
          <w:rFonts w:hint="eastAsia" w:ascii="黑体" w:hAnsi="黑体" w:eastAsia="黑体" w:cs="黑体"/>
          <w:bCs/>
          <w:color w:val="333333"/>
          <w:sz w:val="32"/>
          <w:szCs w:val="32"/>
          <w:shd w:val="clear" w:color="auto" w:fill="FFFFFF"/>
        </w:rPr>
        <w:t>温馨提醒：</w:t>
      </w:r>
    </w:p>
    <w:p w14:paraId="4D1EB84D">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Style w:val="10"/>
          <w:rFonts w:hint="eastAsia" w:ascii="仿宋_GB2312" w:hAnsi="仿宋_GB2312" w:eastAsia="仿宋_GB2312" w:cs="仿宋_GB2312"/>
          <w:bCs/>
          <w:color w:val="333333"/>
          <w:sz w:val="32"/>
          <w:szCs w:val="32"/>
          <w:shd w:val="clear" w:color="auto" w:fill="FFFFFF"/>
        </w:rPr>
        <w:t>1.申请人必须对所提供的材料真实性、准确性、合法性负责（须提交一份承诺函，盖章），若有弄虚作假行为，一经查实，将取消遴选资格。</w:t>
      </w:r>
    </w:p>
    <w:p w14:paraId="1B59D62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Style w:val="10"/>
          <w:rFonts w:hint="eastAsia" w:ascii="仿宋_GB2312" w:hAnsi="仿宋_GB2312" w:eastAsia="仿宋_GB2312" w:cs="仿宋_GB2312"/>
          <w:bCs/>
          <w:color w:val="333333"/>
          <w:sz w:val="32"/>
          <w:szCs w:val="32"/>
          <w:shd w:val="clear" w:color="auto" w:fill="FFFFFF"/>
        </w:rPr>
      </w:pPr>
      <w:r>
        <w:rPr>
          <w:rStyle w:val="10"/>
          <w:rFonts w:hint="eastAsia" w:ascii="仿宋_GB2312" w:hAnsi="仿宋_GB2312" w:eastAsia="仿宋_GB2312" w:cs="仿宋_GB2312"/>
          <w:bCs/>
          <w:color w:val="333333"/>
          <w:sz w:val="32"/>
          <w:szCs w:val="32"/>
          <w:shd w:val="clear" w:color="auto" w:fill="FFFFFF"/>
        </w:rPr>
        <w:t>2. 院方根据提交的资料进行审核，合格后进入下一环节。</w:t>
      </w:r>
    </w:p>
    <w:p w14:paraId="2E91402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Style w:val="10"/>
          <w:rFonts w:hint="eastAsia" w:ascii="仿宋_GB2312" w:hAnsi="仿宋_GB2312" w:eastAsia="仿宋_GB2312" w:cs="仿宋_GB2312"/>
          <w:bCs/>
          <w:color w:val="333333"/>
          <w:sz w:val="32"/>
          <w:szCs w:val="32"/>
          <w:shd w:val="clear" w:color="auto" w:fill="FFFFFF"/>
        </w:rPr>
      </w:pPr>
      <w:r>
        <w:rPr>
          <w:rStyle w:val="10"/>
          <w:rFonts w:hint="eastAsia" w:ascii="仿宋_GB2312" w:hAnsi="仿宋_GB2312" w:eastAsia="仿宋_GB2312" w:cs="仿宋_GB2312"/>
          <w:bCs/>
          <w:color w:val="333333"/>
          <w:sz w:val="32"/>
          <w:szCs w:val="32"/>
          <w:shd w:val="clear" w:color="auto" w:fill="FFFFFF"/>
        </w:rPr>
        <w:t>3</w:t>
      </w:r>
      <w:r>
        <w:rPr>
          <w:rStyle w:val="10"/>
          <w:rFonts w:hint="eastAsia" w:ascii="仿宋_GB2312" w:hAnsi="仿宋_GB2312" w:eastAsia="仿宋_GB2312" w:cs="仿宋_GB2312"/>
          <w:bCs/>
          <w:color w:val="333333"/>
          <w:sz w:val="32"/>
          <w:szCs w:val="32"/>
          <w:shd w:val="clear" w:color="auto" w:fill="FFFFFF"/>
          <w:lang w:val="en-US" w:eastAsia="zh-CN"/>
        </w:rPr>
        <w:t>.</w:t>
      </w:r>
      <w:r>
        <w:rPr>
          <w:rStyle w:val="10"/>
          <w:rFonts w:hint="eastAsia" w:ascii="仿宋_GB2312" w:hAnsi="仿宋_GB2312" w:eastAsia="仿宋_GB2312" w:cs="仿宋_GB2312"/>
          <w:bCs/>
          <w:color w:val="333333"/>
          <w:sz w:val="32"/>
          <w:szCs w:val="32"/>
          <w:shd w:val="clear" w:color="auto" w:fill="FFFFFF"/>
        </w:rPr>
        <w:t>供应商报价应为阳光平台三色九段线最低价，院方根据网上填报表格的价格，结合阳光平台限价及三色九段线价格一次议价，报名企业同意后方能获取参加现场遴选资格。</w:t>
      </w:r>
      <w:r>
        <w:rPr>
          <w:rStyle w:val="10"/>
          <w:rFonts w:hint="eastAsia" w:ascii="仿宋_GB2312" w:hAnsi="仿宋_GB2312" w:eastAsia="仿宋_GB2312" w:cs="仿宋_GB2312"/>
          <w:bCs/>
          <w:color w:val="333333"/>
          <w:sz w:val="32"/>
          <w:szCs w:val="32"/>
          <w:shd w:val="clear" w:color="auto" w:fill="FFFFFF"/>
        </w:rPr>
        <w:br w:type="textWrapping"/>
      </w:r>
      <w:r>
        <w:rPr>
          <w:rStyle w:val="10"/>
          <w:rFonts w:hint="eastAsia" w:ascii="仿宋_GB2312" w:hAnsi="仿宋_GB2312" w:eastAsia="仿宋_GB2312" w:cs="仿宋_GB2312"/>
          <w:bCs/>
          <w:color w:val="333333"/>
          <w:sz w:val="32"/>
          <w:szCs w:val="32"/>
          <w:shd w:val="clear" w:color="auto" w:fill="FFFFFF"/>
          <w:lang w:val="en-US" w:eastAsia="zh-CN"/>
        </w:rPr>
        <w:t xml:space="preserve">   </w:t>
      </w:r>
      <w:r>
        <w:rPr>
          <w:rStyle w:val="10"/>
          <w:rFonts w:hint="eastAsia" w:ascii="仿宋_GB2312" w:hAnsi="仿宋_GB2312" w:eastAsia="仿宋_GB2312" w:cs="仿宋_GB2312"/>
          <w:bCs/>
          <w:color w:val="333333"/>
          <w:sz w:val="32"/>
          <w:szCs w:val="32"/>
          <w:shd w:val="clear" w:color="auto" w:fill="FFFFFF"/>
        </w:rPr>
        <w:t>4</w:t>
      </w:r>
      <w:r>
        <w:rPr>
          <w:rStyle w:val="10"/>
          <w:rFonts w:hint="eastAsia" w:ascii="仿宋_GB2312" w:hAnsi="仿宋_GB2312" w:eastAsia="仿宋_GB2312" w:cs="仿宋_GB2312"/>
          <w:bCs/>
          <w:color w:val="333333"/>
          <w:sz w:val="32"/>
          <w:szCs w:val="32"/>
          <w:shd w:val="clear" w:color="auto" w:fill="FFFFFF"/>
          <w:lang w:val="en-US" w:eastAsia="zh-CN"/>
        </w:rPr>
        <w:t>.</w:t>
      </w:r>
      <w:r>
        <w:rPr>
          <w:rStyle w:val="10"/>
          <w:rFonts w:hint="eastAsia" w:ascii="仿宋_GB2312" w:hAnsi="仿宋_GB2312" w:eastAsia="仿宋_GB2312" w:cs="仿宋_GB2312"/>
          <w:bCs/>
          <w:color w:val="333333"/>
          <w:sz w:val="32"/>
          <w:szCs w:val="32"/>
          <w:shd w:val="clear" w:color="auto" w:fill="FFFFFF"/>
        </w:rPr>
        <w:t>现场用小程序线上报价的方式，到现场的手机必须是网上注册、报名的手机号。现场只有一次报价的机会，请与生产商充分协议好价格。</w:t>
      </w:r>
    </w:p>
    <w:p w14:paraId="370C128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Style w:val="10"/>
          <w:rFonts w:hint="eastAsia" w:ascii="仿宋_GB2312" w:hAnsi="仿宋_GB2312" w:eastAsia="仿宋_GB2312" w:cs="仿宋_GB2312"/>
          <w:bCs/>
          <w:color w:val="333333"/>
          <w:sz w:val="32"/>
          <w:szCs w:val="32"/>
          <w:shd w:val="clear" w:color="auto" w:fill="FFFFFF"/>
        </w:rPr>
      </w:pPr>
    </w:p>
    <w:p w14:paraId="0AEDD72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Style w:val="10"/>
          <w:rFonts w:hint="eastAsia" w:ascii="仿宋_GB2312" w:hAnsi="仿宋_GB2312" w:eastAsia="仿宋_GB2312" w:cs="仿宋_GB2312"/>
          <w:bCs/>
          <w:color w:val="333333"/>
          <w:sz w:val="32"/>
          <w:szCs w:val="32"/>
          <w:shd w:val="clear" w:color="auto" w:fill="FFFFFF"/>
        </w:rPr>
      </w:pPr>
    </w:p>
    <w:p w14:paraId="155724BD">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jc w:val="righ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深圳市宝安区人民医院</w:t>
      </w:r>
    </w:p>
    <w:p w14:paraId="0178126D">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rPr>
        <w:t>202</w:t>
      </w:r>
      <w:r>
        <w:rPr>
          <w:rFonts w:hint="eastAsia" w:ascii="仿宋_GB2312" w:hAnsi="仿宋_GB2312" w:eastAsia="仿宋_GB2312" w:cs="仿宋_GB2312"/>
          <w:color w:val="333333"/>
          <w:sz w:val="32"/>
          <w:szCs w:val="32"/>
          <w:shd w:val="clear" w:color="auto" w:fill="FFFFFF"/>
          <w:lang w:val="en-US" w:eastAsia="zh-CN"/>
        </w:rPr>
        <w:t>6</w:t>
      </w:r>
      <w:r>
        <w:rPr>
          <w:rFonts w:hint="eastAsia" w:ascii="仿宋_GB2312" w:hAnsi="仿宋_GB2312" w:eastAsia="仿宋_GB2312" w:cs="仿宋_GB2312"/>
          <w:color w:val="333333"/>
          <w:sz w:val="32"/>
          <w:szCs w:val="32"/>
          <w:shd w:val="clear" w:color="auto" w:fill="FFFFFF"/>
        </w:rPr>
        <w:t>年</w:t>
      </w:r>
      <w:r>
        <w:rPr>
          <w:rFonts w:hint="eastAsia" w:ascii="仿宋_GB2312" w:hAnsi="仿宋_GB2312" w:eastAsia="仿宋_GB2312" w:cs="仿宋_GB2312"/>
          <w:color w:val="333333"/>
          <w:sz w:val="32"/>
          <w:szCs w:val="32"/>
          <w:shd w:val="clear" w:color="auto" w:fill="FFFFFF"/>
          <w:lang w:val="en-US" w:eastAsia="zh-CN"/>
        </w:rPr>
        <w:t>8</w:t>
      </w:r>
      <w:r>
        <w:rPr>
          <w:rFonts w:hint="eastAsia" w:ascii="仿宋_GB2312" w:hAnsi="仿宋_GB2312" w:eastAsia="仿宋_GB2312" w:cs="仿宋_GB2312"/>
          <w:color w:val="333333"/>
          <w:sz w:val="32"/>
          <w:szCs w:val="32"/>
          <w:shd w:val="clear" w:color="auto" w:fill="FFFFFF"/>
        </w:rPr>
        <w:t>月</w:t>
      </w:r>
      <w:r>
        <w:rPr>
          <w:rFonts w:hint="eastAsia" w:ascii="仿宋_GB2312" w:hAnsi="仿宋_GB2312" w:eastAsia="仿宋_GB2312" w:cs="仿宋_GB2312"/>
          <w:color w:val="333333"/>
          <w:sz w:val="32"/>
          <w:szCs w:val="32"/>
          <w:shd w:val="clear" w:color="auto" w:fill="FFFFFF"/>
          <w:lang w:val="en-US" w:eastAsia="zh-CN"/>
        </w:rPr>
        <w:t>12</w:t>
      </w:r>
      <w:r>
        <w:rPr>
          <w:rFonts w:hint="eastAsia" w:ascii="仿宋_GB2312" w:hAnsi="仿宋_GB2312" w:eastAsia="仿宋_GB2312" w:cs="仿宋_GB2312"/>
          <w:color w:val="333333"/>
          <w:sz w:val="32"/>
          <w:szCs w:val="32"/>
          <w:shd w:val="clear" w:color="auto"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20A6D8-FDF8-45A5-A4AA-E3FC6F97BA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8CE36A6-336D-4E9E-8181-F1815BF24F73}"/>
  </w:font>
  <w:font w:name="仿宋_GB2312">
    <w:panose1 w:val="02010609030101010101"/>
    <w:charset w:val="86"/>
    <w:family w:val="auto"/>
    <w:pitch w:val="default"/>
    <w:sig w:usb0="00000001" w:usb1="080E0000" w:usb2="00000000" w:usb3="00000000" w:csb0="00040000" w:csb1="00000000"/>
    <w:embedRegular r:id="rId3" w:fontKey="{F0B8B965-857C-4E27-8AAE-D46BC8AFD5EC}"/>
  </w:font>
  <w:font w:name="微软雅黑">
    <w:panose1 w:val="020B0503020204020204"/>
    <w:charset w:val="86"/>
    <w:family w:val="swiss"/>
    <w:pitch w:val="default"/>
    <w:sig w:usb0="80000287" w:usb1="2ACF3C50" w:usb2="00000016" w:usb3="00000000" w:csb0="0004001F" w:csb1="00000000"/>
    <w:embedRegular r:id="rId4" w:fontKey="{A200B2A7-B871-48D9-800B-420F3B1422B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lZDhhZTRiY2JiYTRkMzRjYzI1ZmE5ZDdmZTBiZGIifQ=="/>
  </w:docVars>
  <w:rsids>
    <w:rsidRoot w:val="002A78BF"/>
    <w:rsid w:val="00020092"/>
    <w:rsid w:val="000406C5"/>
    <w:rsid w:val="000A201E"/>
    <w:rsid w:val="002A78BF"/>
    <w:rsid w:val="004313D2"/>
    <w:rsid w:val="00551A3B"/>
    <w:rsid w:val="00634D8D"/>
    <w:rsid w:val="007268D6"/>
    <w:rsid w:val="007848D4"/>
    <w:rsid w:val="007B01E3"/>
    <w:rsid w:val="007D2863"/>
    <w:rsid w:val="008D41C0"/>
    <w:rsid w:val="00991A59"/>
    <w:rsid w:val="00A10601"/>
    <w:rsid w:val="00A809E3"/>
    <w:rsid w:val="00BA28F1"/>
    <w:rsid w:val="00DD2558"/>
    <w:rsid w:val="00DE74BE"/>
    <w:rsid w:val="00E205AA"/>
    <w:rsid w:val="00F1698F"/>
    <w:rsid w:val="00FD409B"/>
    <w:rsid w:val="029B5895"/>
    <w:rsid w:val="03863E70"/>
    <w:rsid w:val="03A40165"/>
    <w:rsid w:val="05A827C4"/>
    <w:rsid w:val="06454EA1"/>
    <w:rsid w:val="065842E5"/>
    <w:rsid w:val="066C5D09"/>
    <w:rsid w:val="07FA2C90"/>
    <w:rsid w:val="07FC2953"/>
    <w:rsid w:val="08432A10"/>
    <w:rsid w:val="0D285521"/>
    <w:rsid w:val="0D474BA9"/>
    <w:rsid w:val="0DB029F1"/>
    <w:rsid w:val="0E962B53"/>
    <w:rsid w:val="0F316649"/>
    <w:rsid w:val="100A4A82"/>
    <w:rsid w:val="12307643"/>
    <w:rsid w:val="131A540B"/>
    <w:rsid w:val="134C506D"/>
    <w:rsid w:val="13E64BE3"/>
    <w:rsid w:val="14446EDD"/>
    <w:rsid w:val="147D6BCA"/>
    <w:rsid w:val="14CB4CB9"/>
    <w:rsid w:val="16BA1D29"/>
    <w:rsid w:val="194A565F"/>
    <w:rsid w:val="19CC5E55"/>
    <w:rsid w:val="1A1A219C"/>
    <w:rsid w:val="1AF5395E"/>
    <w:rsid w:val="1E1A3442"/>
    <w:rsid w:val="1EC109F1"/>
    <w:rsid w:val="214473ED"/>
    <w:rsid w:val="215D3359"/>
    <w:rsid w:val="216D6944"/>
    <w:rsid w:val="21F764AF"/>
    <w:rsid w:val="22561186"/>
    <w:rsid w:val="24002495"/>
    <w:rsid w:val="26930ED9"/>
    <w:rsid w:val="26ED5E31"/>
    <w:rsid w:val="273A1CAC"/>
    <w:rsid w:val="27DC62E1"/>
    <w:rsid w:val="2886401D"/>
    <w:rsid w:val="2CEF3F37"/>
    <w:rsid w:val="2CF742D5"/>
    <w:rsid w:val="2D6A281F"/>
    <w:rsid w:val="2FCC4EF3"/>
    <w:rsid w:val="32424915"/>
    <w:rsid w:val="3278419A"/>
    <w:rsid w:val="33631B54"/>
    <w:rsid w:val="33C65445"/>
    <w:rsid w:val="34AE0208"/>
    <w:rsid w:val="35281247"/>
    <w:rsid w:val="35E033EA"/>
    <w:rsid w:val="367E0853"/>
    <w:rsid w:val="371B7BEF"/>
    <w:rsid w:val="38910B5D"/>
    <w:rsid w:val="39FC178F"/>
    <w:rsid w:val="3A713221"/>
    <w:rsid w:val="3A7A7135"/>
    <w:rsid w:val="3B3911ED"/>
    <w:rsid w:val="3C294576"/>
    <w:rsid w:val="3C3472F3"/>
    <w:rsid w:val="3D5C533D"/>
    <w:rsid w:val="3DEE7F8F"/>
    <w:rsid w:val="3E3A7AC0"/>
    <w:rsid w:val="3EA47FA9"/>
    <w:rsid w:val="3FB70569"/>
    <w:rsid w:val="41953F02"/>
    <w:rsid w:val="428776EC"/>
    <w:rsid w:val="43A93095"/>
    <w:rsid w:val="448A5486"/>
    <w:rsid w:val="44B51A44"/>
    <w:rsid w:val="44B813D4"/>
    <w:rsid w:val="474433F3"/>
    <w:rsid w:val="48E22EC4"/>
    <w:rsid w:val="4A8E030B"/>
    <w:rsid w:val="4C150901"/>
    <w:rsid w:val="4C2740E9"/>
    <w:rsid w:val="4D715F0D"/>
    <w:rsid w:val="4DFB1A7F"/>
    <w:rsid w:val="4ED20D23"/>
    <w:rsid w:val="4F003E39"/>
    <w:rsid w:val="5212481A"/>
    <w:rsid w:val="56933A4F"/>
    <w:rsid w:val="569713CC"/>
    <w:rsid w:val="578D049F"/>
    <w:rsid w:val="58EE3AD1"/>
    <w:rsid w:val="5B631C42"/>
    <w:rsid w:val="5B970EAE"/>
    <w:rsid w:val="5C2926F7"/>
    <w:rsid w:val="5DB524FD"/>
    <w:rsid w:val="5DD9443E"/>
    <w:rsid w:val="5E512B14"/>
    <w:rsid w:val="5E9A5DEE"/>
    <w:rsid w:val="61D513C0"/>
    <w:rsid w:val="62B31701"/>
    <w:rsid w:val="636409DA"/>
    <w:rsid w:val="64DA6466"/>
    <w:rsid w:val="66292568"/>
    <w:rsid w:val="67317098"/>
    <w:rsid w:val="68391488"/>
    <w:rsid w:val="6A53756A"/>
    <w:rsid w:val="6AA05F75"/>
    <w:rsid w:val="6D797342"/>
    <w:rsid w:val="6FC92BC7"/>
    <w:rsid w:val="72D336FA"/>
    <w:rsid w:val="76E934EC"/>
    <w:rsid w:val="7BB0282A"/>
    <w:rsid w:val="7DB87774"/>
    <w:rsid w:val="7DCE242C"/>
    <w:rsid w:val="7F054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autoRedefine/>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3"/>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autoRedefine/>
    <w:qFormat/>
    <w:uiPriority w:val="0"/>
    <w:rPr>
      <w:b/>
    </w:rPr>
  </w:style>
  <w:style w:type="character" w:styleId="11">
    <w:name w:val="Hyperlink"/>
    <w:basedOn w:val="9"/>
    <w:qFormat/>
    <w:uiPriority w:val="0"/>
    <w:rPr>
      <w:color w:val="0000FF"/>
      <w:u w:val="single"/>
    </w:rPr>
  </w:style>
  <w:style w:type="character" w:customStyle="1" w:styleId="12">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3">
    <w:name w:val="页脚 字符"/>
    <w:basedOn w:val="9"/>
    <w:link w:val="4"/>
    <w:autoRedefine/>
    <w:qFormat/>
    <w:uiPriority w:val="0"/>
    <w:rPr>
      <w:rFonts w:asciiTheme="minorHAnsi" w:hAnsiTheme="minorHAnsi" w:eastAsiaTheme="minorEastAsia" w:cstheme="minorBidi"/>
      <w:kern w:val="2"/>
      <w:sz w:val="18"/>
      <w:szCs w:val="18"/>
    </w:rPr>
  </w:style>
  <w:style w:type="character" w:customStyle="1" w:styleId="14">
    <w:name w:val="font11"/>
    <w:basedOn w:val="9"/>
    <w:qFormat/>
    <w:uiPriority w:val="0"/>
    <w:rPr>
      <w:rFonts w:hint="eastAsia" w:ascii="宋体" w:hAnsi="宋体" w:eastAsia="宋体" w:cs="宋体"/>
      <w:color w:val="000000"/>
      <w:sz w:val="20"/>
      <w:szCs w:val="20"/>
      <w:u w:val="none"/>
    </w:rPr>
  </w:style>
  <w:style w:type="character" w:customStyle="1" w:styleId="15">
    <w:name w:val="font51"/>
    <w:basedOn w:val="9"/>
    <w:qFormat/>
    <w:uiPriority w:val="0"/>
    <w:rPr>
      <w:rFonts w:ascii="Calibri" w:hAnsi="Calibri" w:cs="Calibri"/>
      <w:color w:val="000000"/>
      <w:sz w:val="20"/>
      <w:szCs w:val="20"/>
      <w:u w:val="none"/>
    </w:rPr>
  </w:style>
  <w:style w:type="character" w:customStyle="1" w:styleId="16">
    <w:name w:val="font41"/>
    <w:basedOn w:val="9"/>
    <w:qFormat/>
    <w:uiPriority w:val="0"/>
    <w:rPr>
      <w:rFonts w:hint="eastAsia" w:ascii="宋体" w:hAnsi="宋体" w:eastAsia="宋体" w:cs="宋体"/>
      <w:color w:val="000000"/>
      <w:sz w:val="18"/>
      <w:szCs w:val="18"/>
      <w:u w:val="none"/>
    </w:rPr>
  </w:style>
  <w:style w:type="character" w:customStyle="1" w:styleId="17">
    <w:name w:val="font61"/>
    <w:basedOn w:val="9"/>
    <w:qFormat/>
    <w:uiPriority w:val="0"/>
    <w:rPr>
      <w:rFonts w:ascii="Arial" w:hAnsi="Arial" w:cs="Arial"/>
      <w:color w:val="000000"/>
      <w:sz w:val="18"/>
      <w:szCs w:val="18"/>
      <w:u w:val="none"/>
    </w:rPr>
  </w:style>
  <w:style w:type="character" w:customStyle="1" w:styleId="18">
    <w:name w:val="font31"/>
    <w:basedOn w:val="9"/>
    <w:qFormat/>
    <w:uiPriority w:val="0"/>
    <w:rPr>
      <w:rFonts w:ascii="Calibri" w:hAnsi="Calibri" w:cs="Calibri"/>
      <w:color w:val="000000"/>
      <w:sz w:val="20"/>
      <w:szCs w:val="20"/>
      <w:u w:val="none"/>
    </w:rPr>
  </w:style>
  <w:style w:type="character" w:customStyle="1" w:styleId="19">
    <w:name w:val="font81"/>
    <w:basedOn w:val="9"/>
    <w:qFormat/>
    <w:uiPriority w:val="0"/>
    <w:rPr>
      <w:rFonts w:ascii="Calibri" w:hAnsi="Calibri" w:cs="Calibri"/>
      <w:color w:val="000000"/>
      <w:sz w:val="20"/>
      <w:szCs w:val="20"/>
      <w:u w:val="none"/>
    </w:rPr>
  </w:style>
  <w:style w:type="character" w:customStyle="1" w:styleId="20">
    <w:name w:val="font91"/>
    <w:basedOn w:val="9"/>
    <w:qFormat/>
    <w:uiPriority w:val="0"/>
    <w:rPr>
      <w:rFonts w:ascii="Arial" w:hAnsi="Arial" w:cs="Arial"/>
      <w:color w:val="000000"/>
      <w:sz w:val="18"/>
      <w:szCs w:val="18"/>
      <w:u w:val="none"/>
    </w:rPr>
  </w:style>
  <w:style w:type="character" w:customStyle="1" w:styleId="21">
    <w:name w:val="font21"/>
    <w:basedOn w:val="9"/>
    <w:qFormat/>
    <w:uiPriority w:val="0"/>
    <w:rPr>
      <w:rFonts w:hint="eastAsia" w:ascii="宋体" w:hAnsi="宋体" w:eastAsia="宋体" w:cs="宋体"/>
      <w:color w:val="000000"/>
      <w:sz w:val="18"/>
      <w:szCs w:val="18"/>
      <w:u w:val="none"/>
    </w:rPr>
  </w:style>
  <w:style w:type="character" w:customStyle="1" w:styleId="22">
    <w:name w:val="font71"/>
    <w:basedOn w:val="9"/>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1619</Words>
  <Characters>1729</Characters>
  <Lines>1179</Lines>
  <Paragraphs>1688</Paragraphs>
  <TotalTime>523</TotalTime>
  <ScaleCrop>false</ScaleCrop>
  <LinksUpToDate>false</LinksUpToDate>
  <CharactersWithSpaces>1765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2024-01-22T05:50:00Z</dcterms:created>
  <dc:creator>Administrator</dc:creator>
  <cp:lastModifiedBy>YJP</cp:lastModifiedBy>
  <dcterms:modified xsi:type="dcterms:W3CDTF">2026-08-11T08:32:53Z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0C13CA87FE764886B50EA50E778B78A8_13</vt:lpwstr>
  </property>
  <property fmtid="{D5CDD505-2E9C-101B-9397-08002B2CF9AE}" pid="4" name="KSOTemplateDocerSaveRecord">
    <vt:lpwstr>eyJoZGlkIjoiNWVlZDhhZTRiY2JiYTRkMzRjYzI1ZmE5ZDdmZTBiZGIiLCJ1c2VySWQiOiI0MDY3MTE3NzgifQ==</vt:lpwstr>
  </property>
</Properties>
</file>