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C0FF7">
      <w:pPr>
        <w:pStyle w:val="4"/>
        <w:widowControl/>
        <w:shd w:val="clear" w:color="auto" w:fill="FFFFFF"/>
        <w:spacing w:beforeAutospacing="0" w:after="225" w:afterAutospacing="0" w:line="560" w:lineRule="exact"/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附表：深圳市宝安区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福永人民医院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医用耗材遴选目录</w:t>
      </w:r>
    </w:p>
    <w:tbl>
      <w:tblPr>
        <w:tblStyle w:val="5"/>
        <w:tblW w:w="113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79"/>
        <w:gridCol w:w="864"/>
        <w:gridCol w:w="1641"/>
        <w:gridCol w:w="1799"/>
        <w:gridCol w:w="675"/>
        <w:gridCol w:w="1589"/>
        <w:gridCol w:w="3202"/>
      </w:tblGrid>
      <w:tr w14:paraId="47197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16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A8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2026年第九期医用耗材遴选采购需求表</w:t>
            </w:r>
          </w:p>
        </w:tc>
      </w:tr>
      <w:tr w14:paraId="682FD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16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8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项目编号：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66CC"/>
                <w:kern w:val="0"/>
                <w:sz w:val="32"/>
                <w:szCs w:val="32"/>
                <w:u w:val="none"/>
                <w:lang w:val="en-US" w:eastAsia="zh-CN" w:bidi="ar"/>
              </w:rPr>
              <w:t>SZBAFYYY202608-01</w:t>
            </w:r>
          </w:p>
        </w:tc>
      </w:tr>
      <w:tr w14:paraId="6C27D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52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使用科室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A0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C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包组</w:t>
            </w:r>
          </w:p>
        </w:tc>
        <w:tc>
          <w:tcPr>
            <w:tcW w:w="1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6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0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CA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参考规格   型号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5FC4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9A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预算单价    （元）</w:t>
            </w:r>
          </w:p>
        </w:tc>
        <w:tc>
          <w:tcPr>
            <w:tcW w:w="39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BE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适用范围</w:t>
            </w:r>
          </w:p>
        </w:tc>
      </w:tr>
      <w:tr w14:paraId="2E0B6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5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呼吸内科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C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0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呼吸内科1包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1B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负压引流器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0ml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5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F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9A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用于向外引出并收集体内液体（气管镜下灌洗回收灌洗液）。</w:t>
            </w:r>
          </w:p>
        </w:tc>
      </w:tr>
      <w:tr w14:paraId="71A8C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A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肾病学科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E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4A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肾病学科1包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9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碘液微型盖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5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0A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B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0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腹膜透析后保护外接短管的阴极锁定接头时一次性使用。</w:t>
            </w:r>
          </w:p>
        </w:tc>
      </w:tr>
      <w:tr w14:paraId="44EA0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5E7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321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A22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A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腹膜透析螺旋帽钛接头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C9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C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9F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39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用于腹透导管与带有锁扣接头的外接短管的连接。适用的腹透导管规格：内径2.6mm-外径5mm，内径3.5mm-外径5.1mm。</w:t>
            </w:r>
          </w:p>
        </w:tc>
      </w:tr>
      <w:tr w14:paraId="3C7E1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608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457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97A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A7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腹膜透析外接短管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B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89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1B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用于与分离管路或循环管路的接合点进行无菌操作连接及分离。</w:t>
            </w:r>
          </w:p>
        </w:tc>
      </w:tr>
      <w:tr w14:paraId="0083A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CD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0F7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7BE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1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腹透管路夹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B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B0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3F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2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用于腹膜透析过程中，夹住各种医用塑料导管，控制导管中液体的流动。</w:t>
            </w:r>
          </w:p>
        </w:tc>
      </w:tr>
      <w:tr w14:paraId="5E041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内镜中心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4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内镜中心1包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内镜医用清洗剂      （预处理型）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16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260ml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1E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7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3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用于内镜床边预处理，独立包装，避免交叉感染。</w:t>
            </w:r>
          </w:p>
        </w:tc>
      </w:tr>
      <w:tr w14:paraId="6B694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B76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87E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A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4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多酶湿巾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35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DE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06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9C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用于内镜床边预处理，特质无纺布，对镜子无划伤。</w:t>
            </w:r>
          </w:p>
        </w:tc>
      </w:tr>
      <w:tr w14:paraId="50EEE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中医肛肠科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B2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8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中医肛肠科1包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A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冲洗器（一次性坐浴盆）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0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参考桂林康兴A2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0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6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适配激光坐浴机KX2000A，用于对患者臀部、阴部部位（不包括阴道专用）的病患进行冲洗、浸泡。</w:t>
            </w:r>
          </w:p>
        </w:tc>
      </w:tr>
      <w:tr w14:paraId="56834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15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各科室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7B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通用耗材1包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EB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2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参考深圳硅基 GS1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F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22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9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用于糖尿病患者（≥3岁）的组织间液葡萄糖水平的连续或定期监测。 可提供并存储连续葡萄糖值，跟踪葡萄糖浓度变化的趋势。使用时间最长14天。免校准。</w:t>
            </w:r>
          </w:p>
        </w:tc>
      </w:tr>
      <w:tr w14:paraId="5AC93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14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BB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036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5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C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参考深圳硅基GS1-10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4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用于糖尿病患者（≥3岁）的组织间液葡萄糖水平的连续或定期监测。 可提供并存储连续葡萄糖值，跟踪葡萄糖浓度变化的趋势。使用时间最长14天。免校准。</w:t>
            </w:r>
          </w:p>
        </w:tc>
      </w:tr>
      <w:tr w14:paraId="1A07E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A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54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2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医学检验科1包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2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人运动神经原存活基因1（SMN1)检测试剂盒（PCR-荧光探针法）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B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1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8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73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适配荧光PCR扩增仪。用于体外检测人外周全血样本基因组DNA中运动神经元存活基因1（SMN1）外显子7的拷贝数变异。</w:t>
            </w:r>
          </w:p>
        </w:tc>
      </w:tr>
      <w:tr w14:paraId="61BDA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5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6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D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医学检验科2包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E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沙眼衣原体（CT）核酸定量检测试剂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4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62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93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24.78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B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适配荧光PCR扩增仪。用于对人体尿道、生殖道分泌物中沙眼衣原体的特异性DNA核酸片段进行荧光PCR定性检测。</w:t>
            </w:r>
          </w:p>
        </w:tc>
      </w:tr>
      <w:tr w14:paraId="073AB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6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A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医学检验科3包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4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解脲支原体（UU）核酸测定试剂盒（荧光PCR法）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6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B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0A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8E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适配荧光PCR扩增仪。用于对人体尿道、生殖道分泌物中解脲支原体（Ureaplasma urealyticum ，UU）的特异性DNA核酸片段进行荧光PCR定性检测。</w:t>
            </w:r>
          </w:p>
        </w:tc>
      </w:tr>
      <w:tr w14:paraId="4793D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DE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D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B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医学检验科4包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9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淋球菌(NG)核酸测定试剂盒(荧光PCR法)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6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2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19.58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9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适配荧光PCR扩增仪。用于对人尿道、生殖道分泌物中淋球菌（Neisseria Gonococcus ，NG）的特异性DNA核酸片段进行荧光PCR定性检测。</w:t>
            </w:r>
          </w:p>
        </w:tc>
      </w:tr>
      <w:tr w14:paraId="7C426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D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7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12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医学检验科5包</w:t>
            </w: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54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超敏C-反应蛋白测定试剂盒（免疫散射比浊法）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82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350测试×2/盒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4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4536.00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5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适配迈克全自动特定蛋白分析仪P100，用于体外定量测定人体全血样本中C-反应蛋白的含量。</w:t>
            </w:r>
          </w:p>
        </w:tc>
      </w:tr>
      <w:tr w14:paraId="70F3E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A8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9EB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C64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D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超敏C-反应蛋白测定试剂盒（免疫散射比浊法）校准品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51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校准1～7：0.5mL×7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2F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0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9F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适配迈克全自动特定蛋白分析仪P100。</w:t>
            </w:r>
          </w:p>
        </w:tc>
      </w:tr>
      <w:tr w14:paraId="759A8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911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60F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52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3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超敏C-反应蛋白测定试剂盒（免疫散射比浊法）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A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250测试×2/盒（F）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B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11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适配迈克全自动特定蛋白分析仪P100，用于体外定量测定人体全血样本中C-反应蛋白的含量。</w:t>
            </w:r>
          </w:p>
        </w:tc>
      </w:tr>
      <w:tr w14:paraId="3C236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02C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B78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0BF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D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缓冲液（CRP专用）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A9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1L×1/盒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1D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8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40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适配迈克全自动特定蛋白分析仪P100，用于维持反应环境。</w:t>
            </w:r>
          </w:p>
        </w:tc>
      </w:tr>
      <w:tr w14:paraId="1781E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6E0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15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97D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1D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缓冲液（SAA专用）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0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1L×1/盒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5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FA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B2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适配迈克全自动特定蛋白分析仪P100，用于维持反应环境。</w:t>
            </w:r>
          </w:p>
        </w:tc>
      </w:tr>
      <w:tr w14:paraId="0B62F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B1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105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FEB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24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全自动特定蛋白分析仪清洗液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C0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4L×1/盒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E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5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适配迈克全自动特定蛋白分析仪P100。</w:t>
            </w:r>
          </w:p>
        </w:tc>
      </w:tr>
      <w:tr w14:paraId="05CDA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D97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0A6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E1E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A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缓冲液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07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3.5L×1/盒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AE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E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适配迈克全自动特定蛋白分析仪P100，用于维持反应环境。</w:t>
            </w:r>
          </w:p>
        </w:tc>
      </w:tr>
      <w:tr w14:paraId="22312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E6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99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C2C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53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血清淀粉样蛋白A测定试剂盒（免疫散射比浊法）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100测试×2/盒（F）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1E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8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6C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适配迈克全自动特定蛋白分析仪P100，用于体外定量测定人全血样本中血清淀粉样蛋白A的含量。</w:t>
            </w:r>
          </w:p>
        </w:tc>
      </w:tr>
      <w:tr w14:paraId="76970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692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62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0E2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ED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血清淀粉样蛋白A测定试剂盒（免疫散射比浊法）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C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校准品1～5 0.5mL×5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C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D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52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适配迈克全自动特定蛋白分析仪P100，用于体外定量测定人全血样本中血清淀粉样蛋白A的含量。</w:t>
            </w:r>
          </w:p>
        </w:tc>
      </w:tr>
      <w:tr w14:paraId="40B67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30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35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1EF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3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全自动血细胞分析仪特定蛋白用反应杯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2只/盒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71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C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2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适配迈克全自动特定蛋白分析仪P100。</w:t>
            </w:r>
          </w:p>
        </w:tc>
      </w:tr>
      <w:tr w14:paraId="74301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B1E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2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038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C7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血细胞分析仪用校准品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2.5mL×1/盒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B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5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09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适配迈克全自动特定蛋白分析仪P100，用于全自动血细胞分析仪血细胞分析项目的校准。</w:t>
            </w:r>
          </w:p>
        </w:tc>
      </w:tr>
      <w:tr w14:paraId="7A261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A75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03B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319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A9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血细胞分析仪用质控品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4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水平1：2.5mL×3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C0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7C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6C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适配迈克全自动特定蛋白分析仪P100，用于全自动血细胞分析仪血细胞分析项目的质量控制。</w:t>
            </w:r>
          </w:p>
        </w:tc>
      </w:tr>
      <w:tr w14:paraId="2C4D3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B26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C7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0B4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2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血细胞分析仪用质控品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A1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水平2：2.5mL×3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A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BD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3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适配迈克全自动特定蛋白分析仪P100，用于全自动血细胞分析仪血细胞分析项目的质量控制。</w:t>
            </w:r>
          </w:p>
        </w:tc>
      </w:tr>
      <w:tr w14:paraId="3C891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15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132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1FA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7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血细胞分析仪用质控品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F2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水平3：2.5mL×3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37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4C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BD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适配迈克全自动特定蛋白分析仪P100，用于全自动血细胞分析仪血细胞分析项目的质量控制。</w:t>
            </w:r>
          </w:p>
        </w:tc>
      </w:tr>
      <w:tr w14:paraId="13316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333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E75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8F7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2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血细胞分析用F-CC清洁液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4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F-CC：4mlx6瓶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40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EA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F6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适配迈克全自动特定蛋白分析仪P100。</w:t>
            </w:r>
          </w:p>
        </w:tc>
      </w:tr>
      <w:tr w14:paraId="40C20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2D5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7F1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BB8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F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血细胞分析用稀释液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F-DK：20Lx1桶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D4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B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适配迈克全自动特定蛋白分析仪P100，用于血细胞分析前样本的稀释，制备细胞悬液。</w:t>
            </w:r>
          </w:p>
        </w:tc>
      </w:tr>
      <w:tr w14:paraId="52029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09E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85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8AB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9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血细胞分析用稀释液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7B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F-DR：1Lx1瓶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5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58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适配迈克全自动特定蛋白分析仪P100，用于血细胞分析前样本的稀释。</w:t>
            </w:r>
          </w:p>
        </w:tc>
      </w:tr>
      <w:tr w14:paraId="3F7CE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A9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37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31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80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血细胞分析用染色液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4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F-FA：10mL×1盒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51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7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7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适配迈克全自动特定蛋白分析仪P100，用于对血细胞进行染色，从而观察其形态与结构，以便于血液分析仪器进行血细胞分类计数。</w:t>
            </w:r>
          </w:p>
        </w:tc>
      </w:tr>
      <w:tr w14:paraId="30E41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2F3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0B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8FB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1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血细胞分析用染色液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9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F-FD：20mlx1盒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6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A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适配迈克全自动特定蛋白分析仪P100，用于对血细胞进行染色，以便于血细胞分析仪器进行血细胞分类计数。</w:t>
            </w:r>
          </w:p>
        </w:tc>
      </w:tr>
      <w:tr w14:paraId="181D6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9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B9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5CF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0A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血细胞分析用染色液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E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F-FP：10mL×1盒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48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21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9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适配迈克全自动特定蛋白分析仪P100，用于对血细胞进行染色，以便于血液分析仪器进行血细胞分类计数。</w:t>
            </w:r>
          </w:p>
        </w:tc>
      </w:tr>
      <w:tr w14:paraId="0C1ED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F8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6FE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290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7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血细胞分析用染色液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55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F-FR：10mL×1盒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CC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4D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C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适配迈克全自动特定蛋白分析仪P100，用于对血细胞进行染色，以便于血液分析仪器进行血细胞分类计数。</w:t>
            </w:r>
          </w:p>
        </w:tc>
      </w:tr>
      <w:tr w14:paraId="30BE2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FC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D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6A8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F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血细胞分析用染色液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BF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F-FW：20mL×1盒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E4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7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CB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适配迈克全自动特定蛋白分析仪P100，用于对血细胞进行染色，以便于血细胞分析仪器进行血细胞分类计数。</w:t>
            </w:r>
          </w:p>
        </w:tc>
      </w:tr>
      <w:tr w14:paraId="663A7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47D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974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814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C7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B4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F-LA：1L×1瓶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35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04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1562.26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1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适配迈克全自动特定蛋白分析仪P100，用于血细胞分析前破坏红细胞，从而便于细胞分类计数。</w:t>
            </w:r>
          </w:p>
        </w:tc>
      </w:tr>
      <w:tr w14:paraId="6F774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D16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4A3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EC3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6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0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F-LD：1L×1瓶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A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3D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适配迈克全自动特定蛋白分析仪P100，用于血细胞分析前破坏细胞，从而便于细胞分类计数。</w:t>
            </w:r>
          </w:p>
        </w:tc>
      </w:tr>
      <w:tr w14:paraId="4F800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B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755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5C3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D2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F-LS：1L×1瓶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6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F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52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适配迈克全自动特定蛋白分析仪P100，用于血细胞分析前破坏红细胞、溶出血红蛋白，从而便于血红蛋白定量测定。</w:t>
            </w:r>
          </w:p>
        </w:tc>
      </w:tr>
      <w:tr w14:paraId="7A757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E2F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67C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D1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F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F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F-LW：1Lx1瓶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BA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C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728.00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D7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适配迈克全自动特定蛋白分析仪P100，用于血细胞分析前破坏细胞，从而便于细胞分类计数。</w:t>
            </w:r>
          </w:p>
        </w:tc>
      </w:tr>
      <w:tr w14:paraId="16A35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30B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71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2D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D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血细胞分析用染色液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E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12mlx1盒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13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1646.00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B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适配迈克全自动特定蛋白分析仪P100，用于对血细胞进行染色，从而观察其形态与结构，以便于血液分析仪器进行血细胞分类计数。</w:t>
            </w:r>
          </w:p>
        </w:tc>
      </w:tr>
      <w:tr w14:paraId="2C116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69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7F0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E21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6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90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500mlx1瓶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45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34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1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适配迈克全自动特定蛋白分析仪P100，用于血细胞分析前破坏红细胞，从而便于细胞分类计数。</w:t>
            </w:r>
          </w:p>
        </w:tc>
      </w:tr>
      <w:tr w14:paraId="10A62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C34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21C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FF4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4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B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500mlx1瓶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AD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3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适配迈克全自动特定蛋白分析仪P100，用于血细胞分析前破坏红细胞、溶出血红蛋白，从而便于血红蛋白定量测定。</w:t>
            </w:r>
          </w:p>
        </w:tc>
      </w:tr>
      <w:tr w14:paraId="0F1F0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B2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6D1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370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3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全自动血细胞分析仪特定蛋白用反应杯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5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4只/盒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1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60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DA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适配迈克全自动特定蛋白分析仪P100。</w:t>
            </w:r>
          </w:p>
        </w:tc>
      </w:tr>
      <w:tr w14:paraId="45B2C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D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3A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E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医学检验科6包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25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C—反应蛋白(CRP)校准品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FD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a、b、c、d、e 五个浓度水平：5×0.5mL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9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8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4E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适配迈瑞血细胞分析流水线BC-7500(NR)CS，人血清基质的液体校准品。</w:t>
            </w:r>
          </w:p>
        </w:tc>
      </w:tr>
      <w:tr w14:paraId="698C1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78C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B37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27C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D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超敏C反应蛋白(hs—CRP)检测试剂盒(乳胶增强免疫散射比浊法)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87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2×100人份/盒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1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5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1663.00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EC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适配迈瑞血细胞分析流水线BC-7500(NR)CS，用于检测人全血样本中C反应蛋白的含量。</w:t>
            </w:r>
          </w:p>
        </w:tc>
      </w:tr>
      <w:tr w14:paraId="6153F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90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C15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30E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9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探头清洁液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7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50mL/盒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C9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19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4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适配迈瑞血细胞分析流水线BC-7500(NR)CS。</w:t>
            </w:r>
          </w:p>
        </w:tc>
      </w:tr>
      <w:tr w14:paraId="05B67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8B8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5F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0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F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血清淀粉样蛋白A (SAA)检测试剂盒(乳胶增强免疫散射比浊法)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7F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2×100人份/盒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29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D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2472.00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87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适配迈瑞血细胞分析流水线BC-7500(NR)CS，用于检测人全血样本中血清淀粉样蛋白A的含量。</w:t>
            </w:r>
          </w:p>
        </w:tc>
      </w:tr>
      <w:tr w14:paraId="72782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4C3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A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531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A9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血清淀粉样蛋白A 校准品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4B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五水平组合装（A、B、C、D、E）: 0.5 mL各个浓度水平各一支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38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9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5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适配迈瑞血细胞分析流水线BC-7500(NR)CS，用于校准血清淀粉样蛋白A检测系统。</w:t>
            </w:r>
          </w:p>
        </w:tc>
      </w:tr>
      <w:tr w14:paraId="45961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5C8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B14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985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7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血清淀粉样蛋白A 质控品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30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两水平组合装（水平I、水平II）：1.5mL各个浓度水平各一支（×1）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D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A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2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适配迈瑞血细胞分析流水线BC-7500(NR)CS，对血清淀粉样蛋白A项目检测时进行室内质量控制。</w:t>
            </w:r>
          </w:p>
        </w:tc>
      </w:tr>
      <w:tr w14:paraId="12823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7B8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1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99B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F8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血细胞分析仪用校准物(光学法)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3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3mL×1 (SC-CAL PLUS)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0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2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99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适配迈瑞血细胞分析流水线BC-7500(NR)CS。</w:t>
            </w:r>
          </w:p>
        </w:tc>
      </w:tr>
      <w:tr w14:paraId="1D3F1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DB6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AB0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CE8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0E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血细胞分析仪用质控物(光学法)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B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高值：4.5mL×1 (BC-6D)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2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8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D2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适配迈瑞血细胞分析流水线BC-7500(NR)CS。</w:t>
            </w:r>
          </w:p>
        </w:tc>
      </w:tr>
      <w:tr w14:paraId="24008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A4E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DB3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47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9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血细胞分析仪用质控物(光学法)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97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中值：4.5mL×1 (BC-6D)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58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E9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6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适配迈瑞血细胞分析流水线BC-7500(NR)CS。</w:t>
            </w:r>
          </w:p>
        </w:tc>
      </w:tr>
      <w:tr w14:paraId="5E1E8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A6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4B9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58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D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血细胞分析仪用质控物(光学法)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91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低值：4.5mL×1 (BC-6D)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7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7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88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适配迈瑞血细胞分析流水线BC-7500(NR)CS。</w:t>
            </w:r>
          </w:p>
        </w:tc>
      </w:tr>
      <w:tr w14:paraId="317DF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1CC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1E5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375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C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血细胞分析仪用质控物(光学法)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高值：4.5mL×1 (BC-RET)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2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B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8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适配迈瑞血细胞分析流水线BC-7500(NR)CS。</w:t>
            </w:r>
          </w:p>
        </w:tc>
      </w:tr>
      <w:tr w14:paraId="5ECE8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90D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880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CE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7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血细胞分析仪用质控物(光学法)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0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中值：4.5mL×1 (BC-RET)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8B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D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310.50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8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适配迈瑞血细胞分析流水线BC-7500(NR)CS。</w:t>
            </w:r>
          </w:p>
        </w:tc>
      </w:tr>
      <w:tr w14:paraId="45DFE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D6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E5E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71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4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血细胞分析仪用质控物(光学法)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C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低值：4.5mL×1 (BC-RET)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9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3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72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适配迈瑞血细胞分析流水线BC-7500(NR)CS。</w:t>
            </w:r>
          </w:p>
        </w:tc>
      </w:tr>
      <w:tr w14:paraId="6000B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F9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314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03E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2F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血细胞分析用染色液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A8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48mL×1（M-60FN）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1F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0E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4438.00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1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适配迈瑞血细胞分析流水线BC-7500(NR)CS，用于对血细胞进行染色，从而观察其形态与结构，以便于血液分析仪器进行血细胞分类计数。</w:t>
            </w:r>
          </w:p>
        </w:tc>
      </w:tr>
      <w:tr w14:paraId="311C4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77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30B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DE2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06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血细胞分析用染色液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65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48mL×1（M-60FD）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D3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1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2257.00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C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适配迈瑞血细胞分析流水线BC-7500(NR)CS，用于对血细胞进行染色，从而观察其形态与结构，以便于血液分析仪器进行血细胞分类计数。</w:t>
            </w:r>
          </w:p>
        </w:tc>
      </w:tr>
      <w:tr w14:paraId="33C21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C0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530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C00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32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血细胞分析用染色液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12mL×1（M-60FR）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1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2527.00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C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适配迈瑞血细胞分析流水线BC-7500(NR)CS，用于对血细胞进行染色，从而观察其形态与结构，以便于血液分析仪器进行血细胞分类计数。</w:t>
            </w:r>
          </w:p>
        </w:tc>
      </w:tr>
      <w:tr w14:paraId="0E35C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D99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B0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000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C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1L×4（M-60LH）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7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6B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A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适配迈瑞血细胞分析流水线BC-7500(NR)CS，用于血细胞分析前破坏红细胞、溶出血红蛋白、从而便于血红蛋白定量测定。</w:t>
            </w:r>
          </w:p>
        </w:tc>
      </w:tr>
      <w:tr w14:paraId="39B9B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426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996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3BE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A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5C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4L×1（M-60LN）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A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1239.00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5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适配迈瑞血细胞分析流水线BC-7500(NR)CS，用于血细胞分析前破坏红细胞、维持所需分析细胞的形态，从而便于细胞分类计数测定。</w:t>
            </w:r>
          </w:p>
        </w:tc>
      </w:tr>
      <w:tr w14:paraId="390CF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89E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285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FA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D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4L×1（M-60LD）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9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2029.00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2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适配迈瑞血细胞分析流水线BC-7500(NR)CS，用于血细胞分析前破坏红细胞、维持所需分析细胞的形态，从而便于细胞分类计数测定。</w:t>
            </w:r>
          </w:p>
        </w:tc>
      </w:tr>
      <w:tr w14:paraId="00C39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D0B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B31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E5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5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F5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200mL×1（LC）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F3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C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4E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适配迈瑞血细胞分析流水线BC-7500(NR)CS，用于血细胞分析前破坏红细胞。</w:t>
            </w:r>
          </w:p>
        </w:tc>
      </w:tr>
      <w:tr w14:paraId="3ED6F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BBD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F95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791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0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E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200mL×4（LC）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7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1D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适配迈瑞血细胞分析流水线BC-7500(NR)CS，用于血细胞分析前破坏红细胞。</w:t>
            </w:r>
          </w:p>
        </w:tc>
      </w:tr>
      <w:tr w14:paraId="6FA25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63B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586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52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FA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血细胞分析用稀释液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2A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20L×1（DS）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E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D3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0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适配迈瑞血细胞分析流水线BC-7500(NR)CS，用于血细胞分析前，样本的稀释，制备细胞悬液。</w:t>
            </w:r>
          </w:p>
        </w:tc>
      </w:tr>
      <w:tr w14:paraId="419D5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D7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831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308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4E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血细胞分析用稀释液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D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1L×1（M-60DR）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5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703.00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F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适配迈瑞血细胞分析流水线BC-7500(NR)CS，用于血细胞分析前，样本的稀释，制备细胞悬液。</w:t>
            </w:r>
          </w:p>
        </w:tc>
      </w:tr>
      <w:tr w14:paraId="7048B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A8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0C0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880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6EEA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载玻片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9AB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A1A7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DB41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2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适配迈瑞血细胞分析流水线BC-7500(NR)CS。</w:t>
            </w:r>
          </w:p>
        </w:tc>
      </w:tr>
      <w:tr w14:paraId="718A4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D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45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医学检验科7包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70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A群轮状病毒、腺病毒抗原检测试剂盒（胶体金法）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EB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50人份/盒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C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A2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1A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适配沃文特全自动粪便处理分析系统WWT-FA160，用于体外定性检测人粪便样本中的A群轮状病毒抗原和肠道腺病毒抗原。</w:t>
            </w:r>
          </w:p>
        </w:tc>
      </w:tr>
      <w:tr w14:paraId="58903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D7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215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2F7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8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便隐血(FOB)检测试剂盒（胶体金法）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0D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卡型：100人份/盒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77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F1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9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适配沃文特全自动粪便处理分析系统WWT-FA160，用于体外定性检测人粪便标本中的血红蛋白（Hb）。</w:t>
            </w:r>
          </w:p>
        </w:tc>
      </w:tr>
      <w:tr w14:paraId="7F357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6C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AD8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648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9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样本稀释液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9B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2.8L/桶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B1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C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A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适配沃文特全自动粪便处理分析系统WWT-FA160，用于粪便样本的稀释。</w:t>
            </w:r>
          </w:p>
        </w:tc>
      </w:tr>
      <w:tr w14:paraId="6D80F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F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5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3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医学检验科8包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41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C反应蛋白（CRP）校准品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7D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5x0.5mL/盒，包含水平1、水平2、水平3、水平4、水平5 五个不同浓度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D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37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4F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适用于普门全自动特定蛋白分析仪PA-990PRO，用于C反应蛋白项目检测时的校准。</w:t>
            </w:r>
          </w:p>
        </w:tc>
      </w:tr>
      <w:tr w14:paraId="23AB1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D86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4CE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033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C2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超敏C反应蛋白测定试剂盒（散射比浊法）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400测试/盒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A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7D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E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适用于普门全自动特定蛋白分析仪PA-990PRO，用于定量检测人全血中的C反应蛋白（CRP）的含量。</w:t>
            </w:r>
          </w:p>
        </w:tc>
      </w:tr>
      <w:tr w14:paraId="3DB4B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B2F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8E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5D3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22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血清淀粉样蛋白A(SAA)测定试剂盒（散射比浊法）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B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400测试/盒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DC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07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7200.00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C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适用于普门全自动特定蛋白分析仪PA-990PRO，用于检测人血清中的淀粉样蛋白A(SAA)的含量。</w:t>
            </w:r>
          </w:p>
        </w:tc>
      </w:tr>
      <w:tr w14:paraId="2D6D3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DB0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A25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2F7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样本稀释液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3F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1×10.0L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0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3C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3B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适用于普门全自动特定蛋白分析仪PA-990PRO，用于对待测样本进行稀释。</w:t>
            </w:r>
          </w:p>
        </w:tc>
      </w:tr>
      <w:tr w14:paraId="07DC2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67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C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6B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医学检验科9包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4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PAX1基因甲基化检测试剂盒（PCR-荧光探针法）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24人份/盒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2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F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6360.00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F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适配全自动医用PCR分析系统（宏石）SLAN-96S，全自动核酸提取仪（硕士）SSNP-9600A，用于体外定性检测人宫颈脱落细胞样本中PAX1基因的甲基化状态。</w:t>
            </w:r>
          </w:p>
        </w:tc>
      </w:tr>
      <w:tr w14:paraId="7BD4D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2C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5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E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医学检验科10包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B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诺如病毒抗原检测试剂盒（胶体金法）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0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D4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人份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2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D0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用于体外定性检测人粪便中的诺如病毒抗原(GⅠ)和诺如病毒抗原(GⅡ)。</w:t>
            </w:r>
          </w:p>
        </w:tc>
      </w:tr>
      <w:tr w14:paraId="7AA7E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2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0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E6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医学检验科11包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C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甲型/乙型流感病毒抗原检测试剂盒（胶体金法）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E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6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人份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B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3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用于定性检测人鼻咽拭子和口咽拭子样本中的甲型/乙型流感病毒抗原。</w:t>
            </w:r>
          </w:p>
        </w:tc>
      </w:tr>
      <w:tr w14:paraId="51E8B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7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C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F8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医学检验科12包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5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肺炎衣原体IgM抗体检测试剂（免疫层析法）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8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C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人份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56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4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用于体外检测人血清、血浆或全血中的肺炎衣原体IgM抗体。</w:t>
            </w:r>
          </w:p>
        </w:tc>
      </w:tr>
      <w:tr w14:paraId="5459F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4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AD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C3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免疫层析分析仪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6C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各型号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02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F6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D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配套设备</w:t>
            </w:r>
          </w:p>
        </w:tc>
      </w:tr>
      <w:tr w14:paraId="3BA56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8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7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医学检验科13包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C0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肺炎支原体抗原检测试剂盒（胶体金法）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0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人份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8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22.95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46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用于定性检测咽喉擦拭液样本中的肺炎支原体抗原。</w:t>
            </w:r>
          </w:p>
        </w:tc>
      </w:tr>
      <w:tr w14:paraId="53A7B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A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90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6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医学检验科14包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29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腺病毒抗原检测试剂盒（胶体金法）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CB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各规格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F5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人份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9B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B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用于体外定性检测人鼻腔抽吸液、口咽拭子和鼻咽拭子的标本中腺病毒抗原。</w:t>
            </w:r>
          </w:p>
        </w:tc>
      </w:tr>
      <w:tr w14:paraId="76157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8A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3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A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医学检验科15包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吉姆萨染液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E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100ml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4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EF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6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配套试剂</w:t>
            </w:r>
          </w:p>
        </w:tc>
      </w:tr>
      <w:tr w14:paraId="5F172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63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B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FA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医学检验科16包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C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幽门螺旋杆菌（HP）抗体检测试剂盒（胶体金法）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F4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40人份/盒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2A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3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280.00 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4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适用于定性检测全血、血清或血浆中的幽门螺旋杆菌抗体。</w:t>
            </w:r>
          </w:p>
        </w:tc>
      </w:tr>
    </w:tbl>
    <w:p w14:paraId="1548BF39">
      <w:pPr>
        <w:spacing w:line="560" w:lineRule="exact"/>
      </w:pPr>
    </w:p>
    <w:sectPr>
      <w:pgSz w:w="11906" w:h="16838"/>
      <w:pgMar w:top="1417" w:right="1134" w:bottom="1417" w:left="1134" w:header="1077" w:footer="850" w:gutter="0"/>
      <w:cols w:space="0" w:num="1"/>
      <w:docGrid w:type="lines" w:linePitch="36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4ZmExZWQ4ZWM1OWFjMmIwMWQ1YWFmMWUwY2Q2NTMifQ=="/>
    <w:docVar w:name="KSO_WPS_MARK_KEY" w:val="e82bc527-1c0e-438f-a827-2005e5b460a2"/>
  </w:docVars>
  <w:rsids>
    <w:rsidRoot w:val="3E8F67B9"/>
    <w:rsid w:val="001A1D78"/>
    <w:rsid w:val="0021579B"/>
    <w:rsid w:val="0022661F"/>
    <w:rsid w:val="002335F8"/>
    <w:rsid w:val="00244CDB"/>
    <w:rsid w:val="002513B0"/>
    <w:rsid w:val="002F72B6"/>
    <w:rsid w:val="00315900"/>
    <w:rsid w:val="00324F3E"/>
    <w:rsid w:val="0035229C"/>
    <w:rsid w:val="00372D18"/>
    <w:rsid w:val="00390645"/>
    <w:rsid w:val="00466AF4"/>
    <w:rsid w:val="00495157"/>
    <w:rsid w:val="004C577F"/>
    <w:rsid w:val="00535354"/>
    <w:rsid w:val="0058066A"/>
    <w:rsid w:val="005E0A53"/>
    <w:rsid w:val="006F5F31"/>
    <w:rsid w:val="00735510"/>
    <w:rsid w:val="00851169"/>
    <w:rsid w:val="0086284A"/>
    <w:rsid w:val="00913E23"/>
    <w:rsid w:val="00941DE6"/>
    <w:rsid w:val="00946E25"/>
    <w:rsid w:val="00950F0E"/>
    <w:rsid w:val="0095376C"/>
    <w:rsid w:val="009A6F8B"/>
    <w:rsid w:val="009F1914"/>
    <w:rsid w:val="00A354AD"/>
    <w:rsid w:val="00A51ED7"/>
    <w:rsid w:val="00AA2C94"/>
    <w:rsid w:val="00B30E03"/>
    <w:rsid w:val="00B618B2"/>
    <w:rsid w:val="00B74C41"/>
    <w:rsid w:val="00BE4E53"/>
    <w:rsid w:val="00C07A94"/>
    <w:rsid w:val="00C97A69"/>
    <w:rsid w:val="00CB6B20"/>
    <w:rsid w:val="00D07918"/>
    <w:rsid w:val="00D91970"/>
    <w:rsid w:val="00E579DB"/>
    <w:rsid w:val="00E73ED3"/>
    <w:rsid w:val="00E962BD"/>
    <w:rsid w:val="00F30A59"/>
    <w:rsid w:val="00FA1D77"/>
    <w:rsid w:val="00FC25D3"/>
    <w:rsid w:val="00FC6DD1"/>
    <w:rsid w:val="00FF42B4"/>
    <w:rsid w:val="03E219EE"/>
    <w:rsid w:val="05DC01DE"/>
    <w:rsid w:val="0ADF7A5A"/>
    <w:rsid w:val="0EE07F3B"/>
    <w:rsid w:val="10806186"/>
    <w:rsid w:val="116F2743"/>
    <w:rsid w:val="13157423"/>
    <w:rsid w:val="16F921A6"/>
    <w:rsid w:val="17AE041B"/>
    <w:rsid w:val="19337E0F"/>
    <w:rsid w:val="19DB64D0"/>
    <w:rsid w:val="1A052BAE"/>
    <w:rsid w:val="1C076BD4"/>
    <w:rsid w:val="1F30765A"/>
    <w:rsid w:val="1FFD0DBF"/>
    <w:rsid w:val="221E16E1"/>
    <w:rsid w:val="23713B49"/>
    <w:rsid w:val="25054131"/>
    <w:rsid w:val="28374F6D"/>
    <w:rsid w:val="2A2C57A8"/>
    <w:rsid w:val="2B5A0C20"/>
    <w:rsid w:val="2D9075E5"/>
    <w:rsid w:val="2F43108E"/>
    <w:rsid w:val="30F13477"/>
    <w:rsid w:val="32B224DF"/>
    <w:rsid w:val="33201FFC"/>
    <w:rsid w:val="3684411F"/>
    <w:rsid w:val="389F3FB7"/>
    <w:rsid w:val="3935059B"/>
    <w:rsid w:val="3CED65AC"/>
    <w:rsid w:val="3D2A3C76"/>
    <w:rsid w:val="3DA24F6D"/>
    <w:rsid w:val="3E8F67B9"/>
    <w:rsid w:val="3EB71F45"/>
    <w:rsid w:val="42AB4C1A"/>
    <w:rsid w:val="443822DF"/>
    <w:rsid w:val="4694617A"/>
    <w:rsid w:val="4A5733B6"/>
    <w:rsid w:val="4C39734F"/>
    <w:rsid w:val="4C8578C0"/>
    <w:rsid w:val="4D8B048A"/>
    <w:rsid w:val="4E7A6A58"/>
    <w:rsid w:val="52423E1A"/>
    <w:rsid w:val="54B32A59"/>
    <w:rsid w:val="55D875AF"/>
    <w:rsid w:val="57A47D24"/>
    <w:rsid w:val="589970AB"/>
    <w:rsid w:val="58C80334"/>
    <w:rsid w:val="59AD3D74"/>
    <w:rsid w:val="5B112E19"/>
    <w:rsid w:val="5BD55674"/>
    <w:rsid w:val="5D3F223B"/>
    <w:rsid w:val="5EB05FCD"/>
    <w:rsid w:val="5FA05520"/>
    <w:rsid w:val="620C15E0"/>
    <w:rsid w:val="63DD26D6"/>
    <w:rsid w:val="643D32C2"/>
    <w:rsid w:val="64480366"/>
    <w:rsid w:val="6549229A"/>
    <w:rsid w:val="65B40052"/>
    <w:rsid w:val="661E306C"/>
    <w:rsid w:val="662E05EF"/>
    <w:rsid w:val="66681576"/>
    <w:rsid w:val="6679455F"/>
    <w:rsid w:val="670F7E84"/>
    <w:rsid w:val="68ED0097"/>
    <w:rsid w:val="6EA15BDC"/>
    <w:rsid w:val="7000585A"/>
    <w:rsid w:val="702E445C"/>
    <w:rsid w:val="74EC23CC"/>
    <w:rsid w:val="752200E7"/>
    <w:rsid w:val="77474830"/>
    <w:rsid w:val="780F6DFD"/>
    <w:rsid w:val="78EC54C6"/>
    <w:rsid w:val="7BC07A6C"/>
    <w:rsid w:val="7DD1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51"/>
    <w:basedOn w:val="6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9">
    <w:name w:val="font01"/>
    <w:basedOn w:val="6"/>
    <w:qFormat/>
    <w:uiPriority w:val="0"/>
    <w:rPr>
      <w:rFonts w:hint="eastAsia" w:ascii="宋体" w:hAnsi="宋体" w:eastAsia="宋体" w:cs="宋体"/>
      <w:b/>
      <w:bCs/>
      <w:color w:val="0066CC"/>
      <w:sz w:val="32"/>
      <w:szCs w:val="32"/>
      <w:u w:val="none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b/>
      <w:bCs/>
      <w:color w:val="0066CC"/>
      <w:sz w:val="32"/>
      <w:szCs w:val="32"/>
      <w:u w:val="none"/>
    </w:rPr>
  </w:style>
  <w:style w:type="character" w:customStyle="1" w:styleId="11">
    <w:name w:val="font61"/>
    <w:basedOn w:val="6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12">
    <w:name w:val="font31"/>
    <w:basedOn w:val="6"/>
    <w:qFormat/>
    <w:uiPriority w:val="0"/>
    <w:rPr>
      <w:rFonts w:hint="eastAsia" w:ascii="宋体" w:hAnsi="宋体" w:eastAsia="宋体" w:cs="宋体"/>
      <w:b/>
      <w:bCs/>
      <w:color w:val="0066CC"/>
      <w:sz w:val="32"/>
      <w:szCs w:val="32"/>
      <w:u w:val="none"/>
    </w:rPr>
  </w:style>
  <w:style w:type="character" w:customStyle="1" w:styleId="13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font122"/>
    <w:basedOn w:val="6"/>
    <w:qFormat/>
    <w:uiPriority w:val="0"/>
    <w:rPr>
      <w:rFonts w:hint="eastAsia" w:ascii="宋体" w:hAnsi="宋体" w:eastAsia="宋体" w:cs="宋体"/>
      <w:b/>
      <w:bCs/>
      <w:color w:val="0066CC"/>
      <w:sz w:val="32"/>
      <w:szCs w:val="32"/>
      <w:u w:val="none"/>
    </w:rPr>
  </w:style>
  <w:style w:type="character" w:customStyle="1" w:styleId="16">
    <w:name w:val="font121"/>
    <w:basedOn w:val="6"/>
    <w:qFormat/>
    <w:uiPriority w:val="0"/>
    <w:rPr>
      <w:rFonts w:hint="eastAsia" w:ascii="宋体" w:hAnsi="宋体" w:eastAsia="宋体" w:cs="宋体"/>
      <w:b/>
      <w:bCs/>
      <w:color w:val="0066CC"/>
      <w:sz w:val="32"/>
      <w:szCs w:val="32"/>
      <w:u w:val="none"/>
    </w:rPr>
  </w:style>
  <w:style w:type="character" w:customStyle="1" w:styleId="17">
    <w:name w:val="font112"/>
    <w:basedOn w:val="6"/>
    <w:qFormat/>
    <w:uiPriority w:val="0"/>
    <w:rPr>
      <w:rFonts w:hint="eastAsia" w:ascii="宋体" w:hAnsi="宋体" w:eastAsia="宋体" w:cs="宋体"/>
      <w:b/>
      <w:bCs/>
      <w:color w:val="0066CC"/>
      <w:sz w:val="32"/>
      <w:szCs w:val="32"/>
      <w:u w:val="none"/>
    </w:rPr>
  </w:style>
  <w:style w:type="character" w:customStyle="1" w:styleId="18">
    <w:name w:val="font141"/>
    <w:basedOn w:val="6"/>
    <w:qFormat/>
    <w:uiPriority w:val="0"/>
    <w:rPr>
      <w:rFonts w:hint="eastAsia" w:ascii="宋体" w:hAnsi="宋体" w:eastAsia="宋体" w:cs="宋体"/>
      <w:b/>
      <w:bCs/>
      <w:color w:val="0066CC"/>
      <w:sz w:val="32"/>
      <w:szCs w:val="32"/>
      <w:u w:val="none"/>
    </w:rPr>
  </w:style>
  <w:style w:type="character" w:customStyle="1" w:styleId="19">
    <w:name w:val="font91"/>
    <w:basedOn w:val="6"/>
    <w:qFormat/>
    <w:uiPriority w:val="0"/>
    <w:rPr>
      <w:rFonts w:hint="eastAsia" w:ascii="宋体" w:hAnsi="宋体" w:eastAsia="宋体" w:cs="宋体"/>
      <w:b/>
      <w:bCs/>
      <w:color w:val="0066CC"/>
      <w:sz w:val="32"/>
      <w:szCs w:val="32"/>
      <w:u w:val="none"/>
    </w:rPr>
  </w:style>
  <w:style w:type="character" w:customStyle="1" w:styleId="20">
    <w:name w:val="font101"/>
    <w:basedOn w:val="6"/>
    <w:qFormat/>
    <w:uiPriority w:val="0"/>
    <w:rPr>
      <w:rFonts w:hint="eastAsia" w:ascii="宋体" w:hAnsi="宋体" w:eastAsia="宋体" w:cs="宋体"/>
      <w:b/>
      <w:bCs/>
      <w:color w:val="0066CC"/>
      <w:sz w:val="32"/>
      <w:szCs w:val="32"/>
      <w:u w:val="none"/>
    </w:rPr>
  </w:style>
  <w:style w:type="character" w:customStyle="1" w:styleId="21">
    <w:name w:val="font8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131"/>
    <w:basedOn w:val="6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23">
    <w:name w:val="font12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151"/>
    <w:basedOn w:val="6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4983</Words>
  <Characters>6394</Characters>
  <Lines>14</Lines>
  <Paragraphs>4</Paragraphs>
  <TotalTime>64</TotalTime>
  <ScaleCrop>false</ScaleCrop>
  <LinksUpToDate>false</LinksUpToDate>
  <CharactersWithSpaces>6514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2025-07-11T02:03:00Z</dcterms:created>
  <dc:creator>燕子</dc:creator>
  <cp:lastModifiedBy>刘镜光</cp:lastModifiedBy>
  <dcterms:modified xsi:type="dcterms:W3CDTF">2026-08-05T08:01:12Z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C30213C8ADB04A63A51BF53485587EA5_13</vt:lpwstr>
  </property>
  <property fmtid="{D5CDD505-2E9C-101B-9397-08002B2CF9AE}" pid="4" name="KSOTemplateDocerSaveRecord">
    <vt:lpwstr>eyJoZGlkIjoiMTkzZGI0YjkwMGVkZTYzY2YxOWJhZTExZTk5YjgwODEiLCJ1c2VySWQiOiI1OTQyMDIyNzcifQ==</vt:lpwstr>
  </property>
</Properties>
</file>