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2026年第12期一次性使用灭菌橡胶外科手套采购公告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采购编号:SYYYZBCG2026-12</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965"/>
        <w:gridCol w:w="900"/>
        <w:gridCol w:w="1468"/>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965"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900"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468"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一次性使用灭菌橡胶外科手套</w:t>
            </w:r>
          </w:p>
        </w:tc>
        <w:tc>
          <w:tcPr>
            <w:tcW w:w="965"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180000</w:t>
            </w:r>
          </w:p>
        </w:tc>
        <w:tc>
          <w:tcPr>
            <w:tcW w:w="900"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双</w:t>
            </w:r>
          </w:p>
        </w:tc>
        <w:tc>
          <w:tcPr>
            <w:tcW w:w="1468"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手术室</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29</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w:t>
      </w:r>
      <w:bookmarkStart w:id="13" w:name="_GoBack"/>
      <w:bookmarkEnd w:id="13"/>
      <w:r>
        <w:rPr>
          <w:rFonts w:hint="eastAsia" w:ascii="宋体" w:hAnsi="宋体" w:cs="Arial"/>
          <w:bCs/>
          <w:color w:val="000000"/>
          <w:szCs w:val="21"/>
        </w:rPr>
        <w:t>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7B4CFEF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20" w:firstLineChars="200"/>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Cs w:val="21"/>
          <w:lang w:val="en-US" w:eastAsia="zh-CN"/>
        </w:rPr>
        <w:t>。</w:t>
      </w:r>
    </w:p>
    <w:p w14:paraId="1D9A914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20" w:firstLineChars="200"/>
        <w:textAlignment w:val="auto"/>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17</w:t>
      </w:r>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3"/>
        <w:gridCol w:w="960"/>
        <w:gridCol w:w="5481"/>
      </w:tblGrid>
      <w:tr w14:paraId="789F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14:paraId="3A09E3C2">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序号</w:t>
            </w:r>
          </w:p>
        </w:tc>
        <w:tc>
          <w:tcPr>
            <w:tcW w:w="1263" w:type="dxa"/>
            <w:noWrap w:val="0"/>
            <w:vAlign w:val="center"/>
          </w:tcPr>
          <w:p w14:paraId="7F79FB30">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评分因素</w:t>
            </w:r>
          </w:p>
        </w:tc>
        <w:tc>
          <w:tcPr>
            <w:tcW w:w="960" w:type="dxa"/>
            <w:noWrap w:val="0"/>
            <w:vAlign w:val="center"/>
          </w:tcPr>
          <w:p w14:paraId="20A9B324">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cs="宋体"/>
                <w:szCs w:val="21"/>
              </w:rPr>
              <w:t>分值</w:t>
            </w:r>
          </w:p>
        </w:tc>
        <w:tc>
          <w:tcPr>
            <w:tcW w:w="5481" w:type="dxa"/>
            <w:noWrap w:val="0"/>
            <w:vAlign w:val="center"/>
          </w:tcPr>
          <w:p w14:paraId="64866380">
            <w:pPr>
              <w:keepNext w:val="0"/>
              <w:keepLines w:val="0"/>
              <w:suppressLineNumbers w:val="0"/>
              <w:wordWrap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评分准则</w:t>
            </w:r>
          </w:p>
        </w:tc>
      </w:tr>
      <w:tr w14:paraId="6552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14:paraId="03F130CC">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技术商务(</w:t>
            </w:r>
            <w:r>
              <w:rPr>
                <w:rFonts w:hint="eastAsia" w:ascii="宋体" w:hAnsi="宋体" w:eastAsia="宋体"/>
                <w:b/>
                <w:szCs w:val="21"/>
                <w:lang w:val="en-US" w:eastAsia="zh-CN"/>
              </w:rPr>
              <w:t>70</w:t>
            </w:r>
            <w:r>
              <w:rPr>
                <w:rFonts w:hint="default" w:ascii="宋体" w:hAnsi="宋体" w:eastAsia="宋体"/>
                <w:b/>
                <w:szCs w:val="21"/>
              </w:rPr>
              <w:t>分)</w:t>
            </w:r>
          </w:p>
        </w:tc>
        <w:tc>
          <w:tcPr>
            <w:tcW w:w="1263" w:type="dxa"/>
            <w:noWrap w:val="0"/>
            <w:vAlign w:val="center"/>
          </w:tcPr>
          <w:p w14:paraId="5344F128">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zh-CN"/>
              </w:rPr>
            </w:pPr>
            <w:r>
              <w:rPr>
                <w:rFonts w:hint="eastAsia" w:ascii="宋体" w:hAnsi="宋体" w:cs="宋体"/>
                <w:kern w:val="0"/>
                <w:szCs w:val="21"/>
              </w:rPr>
              <w:t>技术响应</w:t>
            </w:r>
          </w:p>
        </w:tc>
        <w:tc>
          <w:tcPr>
            <w:tcW w:w="960" w:type="dxa"/>
            <w:noWrap w:val="0"/>
            <w:vAlign w:val="center"/>
          </w:tcPr>
          <w:p w14:paraId="1369EF55">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en-US"/>
              </w:rPr>
            </w:pPr>
            <w:r>
              <w:rPr>
                <w:rFonts w:hint="eastAsia" w:ascii="宋体" w:hAnsi="宋体" w:cs="宋体"/>
                <w:szCs w:val="21"/>
                <w:lang w:val="en-US" w:eastAsia="zh-CN"/>
              </w:rPr>
              <w:t>33</w:t>
            </w:r>
          </w:p>
        </w:tc>
        <w:tc>
          <w:tcPr>
            <w:tcW w:w="5481" w:type="dxa"/>
            <w:noWrap w:val="0"/>
            <w:vAlign w:val="center"/>
          </w:tcPr>
          <w:p w14:paraId="48B281E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01E26A0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14:paraId="3801B0F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39B902E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满</w:t>
            </w:r>
            <w:r>
              <w:rPr>
                <w:rFonts w:hint="eastAsia" w:ascii="宋体" w:hAnsi="宋体" w:cs="宋体"/>
                <w:szCs w:val="21"/>
              </w:rPr>
              <w:t>分；标“▲”为重点参数，未响应或每负偏离一项扣</w:t>
            </w:r>
            <w:r>
              <w:rPr>
                <w:rFonts w:hint="eastAsia" w:ascii="宋体" w:hAnsi="宋体" w:cs="宋体"/>
                <w:color w:val="FF0000"/>
                <w:szCs w:val="21"/>
                <w:u w:val="single"/>
                <w:lang w:val="en-US" w:eastAsia="zh-CN"/>
              </w:rPr>
              <w:t>6</w:t>
            </w:r>
            <w:r>
              <w:rPr>
                <w:rFonts w:hint="eastAsia" w:ascii="宋体" w:hAnsi="宋体" w:cs="宋体"/>
                <w:szCs w:val="21"/>
              </w:rPr>
              <w:t>分；一般参数，未响应或每负偏离一项扣</w:t>
            </w:r>
            <w:r>
              <w:rPr>
                <w:rFonts w:hint="eastAsia" w:ascii="宋体" w:hAnsi="宋体" w:cs="宋体"/>
                <w:color w:val="FF0000"/>
                <w:szCs w:val="21"/>
                <w:u w:val="single"/>
                <w:lang w:val="en-US" w:eastAsia="zh-CN"/>
              </w:rPr>
              <w:t>3</w:t>
            </w:r>
            <w:r>
              <w:rPr>
                <w:rFonts w:hint="eastAsia" w:ascii="宋体" w:hAnsi="宋体" w:cs="宋体"/>
                <w:szCs w:val="21"/>
              </w:rPr>
              <w:t>分。扣完为止。</w:t>
            </w:r>
          </w:p>
          <w:p w14:paraId="7CC2A36A">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14:paraId="582CBA37">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标记“▲”的重要参数是否响应以投标人提供的检测报告数据为准；对应参数在检测报告中标注，需与检测报告名称一致</w:t>
            </w:r>
            <w:r>
              <w:rPr>
                <w:rFonts w:hint="eastAsia" w:ascii="宋体" w:hAnsi="宋体" w:cs="宋体"/>
                <w:szCs w:val="21"/>
                <w:lang w:eastAsia="zh-CN"/>
              </w:rPr>
              <w:t>。</w:t>
            </w:r>
          </w:p>
          <w:p w14:paraId="1D41329B">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tc>
      </w:tr>
      <w:tr w14:paraId="4D3A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14:paraId="0B6985F7">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14:paraId="6D9F8168">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0"/>
                <w:szCs w:val="21"/>
                <w:lang w:eastAsia="zh-CN"/>
              </w:rPr>
            </w:pPr>
            <w:r>
              <w:rPr>
                <w:rFonts w:hint="eastAsia" w:ascii="宋体" w:hAnsi="宋体" w:cs="Times New Roman"/>
                <w:szCs w:val="21"/>
                <w:lang w:val="en-US" w:eastAsia="zh-CN"/>
              </w:rPr>
              <w:t>样品</w:t>
            </w:r>
          </w:p>
        </w:tc>
        <w:tc>
          <w:tcPr>
            <w:tcW w:w="960" w:type="dxa"/>
            <w:noWrap w:val="0"/>
            <w:vAlign w:val="center"/>
          </w:tcPr>
          <w:p w14:paraId="5C0C2BA1">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12</w:t>
            </w:r>
          </w:p>
        </w:tc>
        <w:tc>
          <w:tcPr>
            <w:tcW w:w="5481" w:type="dxa"/>
            <w:noWrap w:val="0"/>
            <w:vAlign w:val="top"/>
          </w:tcPr>
          <w:p w14:paraId="3DFE8C2D">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评标委员会根据</w:t>
            </w:r>
            <w:r>
              <w:rPr>
                <w:rFonts w:hint="eastAsia" w:ascii="宋体" w:hAnsi="宋体" w:eastAsia="宋体" w:cs="宋体"/>
                <w:sz w:val="21"/>
                <w:szCs w:val="21"/>
              </w:rPr>
              <w:t>供应商</w:t>
            </w:r>
            <w:r>
              <w:rPr>
                <w:rFonts w:hint="eastAsia" w:ascii="宋体" w:hAnsi="宋体" w:eastAsia="宋体" w:cs="宋体"/>
                <w:sz w:val="21"/>
                <w:szCs w:val="21"/>
                <w:lang w:val="en-US" w:eastAsia="zh-CN"/>
              </w:rPr>
              <w:t>提供</w:t>
            </w:r>
            <w:r>
              <w:rPr>
                <w:rFonts w:hint="eastAsia" w:ascii="宋体" w:hAnsi="宋体" w:cs="宋体"/>
                <w:szCs w:val="21"/>
              </w:rPr>
              <w:t>样品的</w:t>
            </w:r>
            <w:r>
              <w:rPr>
                <w:rFonts w:hint="eastAsia" w:ascii="宋体" w:hAnsi="宋体" w:cs="宋体"/>
                <w:szCs w:val="21"/>
                <w:lang w:eastAsia="zh-CN"/>
              </w:rPr>
              <w:t>（</w:t>
            </w:r>
            <w:r>
              <w:rPr>
                <w:rFonts w:hint="eastAsia" w:ascii="宋体" w:hAnsi="宋体" w:cs="宋体"/>
                <w:szCs w:val="21"/>
                <w:lang w:val="en-US" w:eastAsia="zh-CN"/>
              </w:rPr>
              <w:t>包括但不限于：包装耐用性</w:t>
            </w:r>
            <w:r>
              <w:rPr>
                <w:rFonts w:hint="eastAsia" w:ascii="宋体" w:hAnsi="宋体" w:cs="宋体"/>
                <w:szCs w:val="21"/>
              </w:rPr>
              <w:t>、</w:t>
            </w:r>
            <w:r>
              <w:rPr>
                <w:rFonts w:hint="eastAsia" w:ascii="宋体" w:hAnsi="宋体" w:cs="宋体"/>
                <w:szCs w:val="21"/>
                <w:lang w:val="en-US" w:eastAsia="zh-CN"/>
              </w:rPr>
              <w:t>适配度、工艺设计</w:t>
            </w:r>
            <w:r>
              <w:rPr>
                <w:rFonts w:hint="eastAsia" w:ascii="宋体" w:hAnsi="宋体" w:cs="宋体"/>
                <w:szCs w:val="21"/>
              </w:rPr>
              <w:t>等</w:t>
            </w:r>
            <w:r>
              <w:rPr>
                <w:rFonts w:hint="eastAsia" w:ascii="宋体" w:hAnsi="宋体" w:cs="宋体"/>
                <w:szCs w:val="21"/>
                <w:lang w:eastAsia="zh-CN"/>
              </w:rPr>
              <w:t>）</w:t>
            </w:r>
            <w:r>
              <w:rPr>
                <w:rFonts w:hint="eastAsia" w:ascii="宋体" w:hAnsi="宋体" w:cs="宋体"/>
                <w:szCs w:val="21"/>
              </w:rPr>
              <w:t>情况</w:t>
            </w:r>
            <w:r>
              <w:rPr>
                <w:rFonts w:hint="eastAsia" w:ascii="宋体" w:hAnsi="宋体" w:cs="宋体"/>
                <w:szCs w:val="21"/>
                <w:lang w:val="en-US" w:eastAsia="zh-CN"/>
              </w:rPr>
              <w:t>介绍方案</w:t>
            </w:r>
            <w:r>
              <w:rPr>
                <w:rFonts w:hint="eastAsia" w:ascii="宋体" w:hAnsi="宋体" w:cs="宋体"/>
                <w:szCs w:val="21"/>
              </w:rPr>
              <w:t>进行打分，</w:t>
            </w:r>
          </w:p>
          <w:p w14:paraId="73B08B0A">
            <w:pPr>
              <w:pStyle w:val="71"/>
              <w:keepNext w:val="0"/>
              <w:keepLines w:val="0"/>
              <w:suppressLineNumbers w:val="0"/>
              <w:spacing w:before="0" w:beforeAutospacing="0" w:after="0" w:afterAutospacing="0"/>
              <w:ind w:left="0" w:right="0"/>
              <w:rPr>
                <w:rFonts w:hint="default" w:eastAsia="宋体"/>
                <w:lang w:val="en-US" w:eastAsia="zh-CN"/>
              </w:rPr>
            </w:pPr>
            <w:r>
              <w:rPr>
                <w:rFonts w:hint="eastAsia" w:ascii="宋体" w:hAnsi="宋体" w:cs="宋体"/>
                <w:szCs w:val="21"/>
                <w:lang w:val="en-US" w:eastAsia="zh-CN"/>
              </w:rPr>
              <w:t>1.</w:t>
            </w:r>
            <w:r>
              <w:rPr>
                <w:rFonts w:hint="eastAsia" w:ascii="宋体" w:hAnsi="宋体" w:eastAsia="宋体" w:cs="宋体"/>
                <w:color w:val="auto"/>
                <w:kern w:val="2"/>
                <w:sz w:val="21"/>
                <w:szCs w:val="21"/>
                <w:lang w:val="en-US" w:eastAsia="zh-CN" w:bidi="ar-SA"/>
              </w:rPr>
              <w:t>包装耐用性；</w:t>
            </w:r>
          </w:p>
          <w:p w14:paraId="2A680545">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w:t>
            </w:r>
            <w:r>
              <w:rPr>
                <w:rFonts w:hint="eastAsia" w:ascii="宋体" w:hAnsi="宋体" w:cs="宋体"/>
                <w:szCs w:val="21"/>
                <w:lang w:val="en-US" w:eastAsia="zh-CN"/>
              </w:rPr>
              <w:t>使用适配度</w:t>
            </w:r>
            <w:r>
              <w:rPr>
                <w:rFonts w:hint="eastAsia" w:ascii="宋体" w:hAnsi="宋体" w:cs="宋体"/>
                <w:szCs w:val="21"/>
              </w:rPr>
              <w:t>；</w:t>
            </w:r>
          </w:p>
          <w:p w14:paraId="50FE5E2E">
            <w:pPr>
              <w:keepNext w:val="0"/>
              <w:keepLines w:val="0"/>
              <w:suppressLineNumbers w:val="0"/>
              <w:spacing w:before="0" w:beforeAutospacing="0" w:after="0" w:afterAutospacing="0" w:line="360" w:lineRule="exact"/>
              <w:ind w:left="0" w:right="0"/>
              <w:rPr>
                <w:rFonts w:hint="default" w:ascii="宋体" w:hAnsi="宋体" w:cs="宋体"/>
                <w:szCs w:val="21"/>
                <w:lang w:val="en-US"/>
              </w:rPr>
            </w:pPr>
            <w:r>
              <w:rPr>
                <w:rFonts w:hint="eastAsia" w:ascii="宋体" w:hAnsi="宋体" w:cs="宋体"/>
                <w:szCs w:val="21"/>
                <w:lang w:val="en-US" w:eastAsia="zh-CN"/>
              </w:rPr>
              <w:t>3.工艺和设计</w:t>
            </w:r>
            <w:r>
              <w:rPr>
                <w:rFonts w:hint="eastAsia" w:ascii="宋体" w:hAnsi="宋体" w:cs="宋体"/>
                <w:szCs w:val="21"/>
              </w:rPr>
              <w:t>；</w:t>
            </w:r>
          </w:p>
          <w:p w14:paraId="0EB2E23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以上内容，每满足一项得</w:t>
            </w:r>
            <w:r>
              <w:rPr>
                <w:rFonts w:hint="eastAsia" w:hAnsi="宋体" w:cs="仿宋"/>
                <w:szCs w:val="21"/>
                <w:lang w:val="en-US" w:eastAsia="zh-CN"/>
              </w:rPr>
              <w:t>2</w:t>
            </w:r>
            <w:r>
              <w:rPr>
                <w:rFonts w:hint="eastAsia" w:ascii="Times New Roman" w:hAnsi="宋体" w:eastAsia="宋体" w:cs="仿宋"/>
                <w:szCs w:val="21"/>
              </w:rPr>
              <w:t>分，最高得</w:t>
            </w:r>
            <w:r>
              <w:rPr>
                <w:rFonts w:hint="eastAsia" w:hAnsi="宋体" w:cs="仿宋"/>
                <w:szCs w:val="21"/>
                <w:lang w:val="en-US" w:eastAsia="zh-CN"/>
              </w:rPr>
              <w:t>6</w:t>
            </w:r>
            <w:r>
              <w:rPr>
                <w:rFonts w:hint="eastAsia" w:ascii="Times New Roman" w:hAnsi="宋体" w:eastAsia="宋体" w:cs="仿宋"/>
                <w:szCs w:val="21"/>
              </w:rPr>
              <w:t>分。</w:t>
            </w:r>
          </w:p>
          <w:p w14:paraId="632A9579">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6E3DB0B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lang w:val="zh-CN"/>
              </w:rPr>
              <w:t>包装</w:t>
            </w:r>
            <w:r>
              <w:rPr>
                <w:rFonts w:hint="eastAsia" w:ascii="宋体" w:hAnsi="宋体" w:cs="宋体"/>
                <w:szCs w:val="21"/>
                <w:lang w:val="en-US" w:eastAsia="zh-CN"/>
              </w:rPr>
              <w:t>耐用性强、使用适配度高、工艺设计科学合理，</w:t>
            </w:r>
            <w:r>
              <w:rPr>
                <w:rFonts w:hint="eastAsia" w:ascii="宋体" w:hAnsi="宋体" w:cs="宋体"/>
                <w:szCs w:val="21"/>
              </w:rPr>
              <w:t>得</w:t>
            </w:r>
            <w:r>
              <w:rPr>
                <w:rFonts w:hint="eastAsia" w:ascii="宋体" w:hAnsi="宋体" w:cs="宋体"/>
                <w:szCs w:val="21"/>
                <w:lang w:val="en-US" w:eastAsia="zh-CN"/>
              </w:rPr>
              <w:t>6</w:t>
            </w:r>
            <w:r>
              <w:rPr>
                <w:rFonts w:hint="eastAsia" w:ascii="宋体" w:hAnsi="宋体" w:cs="宋体"/>
                <w:szCs w:val="21"/>
              </w:rPr>
              <w:t>分；</w:t>
            </w:r>
          </w:p>
          <w:p w14:paraId="09221C9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w:t>
            </w:r>
            <w:r>
              <w:rPr>
                <w:rFonts w:hint="eastAsia" w:ascii="宋体" w:hAnsi="宋体"/>
                <w:color w:val="000000"/>
                <w:szCs w:val="21"/>
                <w:lang w:val="zh-CN"/>
              </w:rPr>
              <w:t>包装</w:t>
            </w:r>
            <w:r>
              <w:rPr>
                <w:rFonts w:hint="eastAsia" w:ascii="宋体" w:hAnsi="宋体" w:cs="宋体"/>
                <w:szCs w:val="21"/>
                <w:lang w:val="en-US" w:eastAsia="zh-CN"/>
              </w:rPr>
              <w:t>耐用性</w:t>
            </w:r>
            <w:r>
              <w:rPr>
                <w:rFonts w:hint="eastAsia" w:ascii="宋体" w:hAnsi="宋体"/>
                <w:color w:val="000000"/>
                <w:szCs w:val="21"/>
                <w:lang w:val="en-US" w:eastAsia="zh-CN"/>
              </w:rPr>
              <w:t>较好</w:t>
            </w:r>
            <w:r>
              <w:rPr>
                <w:rFonts w:hint="eastAsia" w:ascii="宋体" w:hAnsi="宋体" w:cs="宋体"/>
                <w:szCs w:val="21"/>
                <w:lang w:val="en-US" w:eastAsia="zh-CN"/>
              </w:rPr>
              <w:t>、使用适配度</w:t>
            </w:r>
            <w:r>
              <w:rPr>
                <w:rFonts w:hint="eastAsia" w:ascii="宋体" w:hAnsi="宋体"/>
                <w:color w:val="000000"/>
                <w:szCs w:val="21"/>
                <w:lang w:val="en-US" w:eastAsia="zh-CN"/>
              </w:rPr>
              <w:t>较高</w:t>
            </w:r>
            <w:r>
              <w:rPr>
                <w:rFonts w:hint="eastAsia" w:ascii="宋体" w:hAnsi="宋体" w:cs="宋体"/>
                <w:szCs w:val="21"/>
                <w:lang w:val="en-US" w:eastAsia="zh-CN"/>
              </w:rPr>
              <w:t>、工艺设计科学规范合理，</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14:paraId="483B096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w:t>
            </w:r>
            <w:r>
              <w:rPr>
                <w:rFonts w:hint="eastAsia" w:ascii="宋体" w:hAnsi="宋体"/>
                <w:color w:val="000000"/>
                <w:szCs w:val="21"/>
                <w:lang w:val="zh-CN"/>
              </w:rPr>
              <w:t>包装</w:t>
            </w:r>
            <w:r>
              <w:rPr>
                <w:rFonts w:hint="eastAsia" w:ascii="宋体" w:hAnsi="宋体" w:cs="宋体"/>
                <w:szCs w:val="21"/>
                <w:lang w:val="en-US" w:eastAsia="zh-CN"/>
              </w:rPr>
              <w:t>耐用性尚可、使用适配度有限、工艺设计基本合规</w:t>
            </w:r>
            <w:r>
              <w:rPr>
                <w:rFonts w:hint="eastAsia" w:ascii="宋体" w:hAnsi="宋体"/>
                <w:color w:val="000000"/>
                <w:szCs w:val="21"/>
                <w:lang w:val="zh-CN"/>
              </w:rPr>
              <w:t>，</w:t>
            </w:r>
            <w:r>
              <w:rPr>
                <w:rFonts w:hint="eastAsia" w:ascii="宋体" w:hAnsi="宋体"/>
                <w:color w:val="000000"/>
                <w:szCs w:val="21"/>
              </w:rPr>
              <w:t>得</w:t>
            </w:r>
            <w:r>
              <w:rPr>
                <w:rFonts w:hint="eastAsia" w:ascii="宋体" w:hAnsi="宋体"/>
                <w:color w:val="000000"/>
                <w:szCs w:val="21"/>
                <w:lang w:val="en-US" w:eastAsia="zh-CN"/>
              </w:rPr>
              <w:t>2</w:t>
            </w:r>
            <w:r>
              <w:rPr>
                <w:rFonts w:hint="eastAsia" w:ascii="宋体" w:hAnsi="宋体"/>
                <w:color w:val="000000"/>
                <w:szCs w:val="21"/>
                <w:lang w:val="zh-CN"/>
              </w:rPr>
              <w:t>分</w:t>
            </w:r>
            <w:r>
              <w:rPr>
                <w:rFonts w:hint="eastAsia" w:ascii="宋体" w:hAnsi="宋体" w:cs="宋体"/>
                <w:szCs w:val="21"/>
              </w:rPr>
              <w:t>；</w:t>
            </w:r>
          </w:p>
          <w:p w14:paraId="42551675">
            <w:pPr>
              <w:pStyle w:val="2"/>
              <w:rPr>
                <w:rFonts w:hint="eastAsia"/>
              </w:rPr>
            </w:pPr>
            <w:r>
              <w:rPr>
                <w:rFonts w:hint="eastAsia" w:ascii="宋体" w:hAnsi="宋体" w:cs="宋体"/>
                <w:szCs w:val="21"/>
              </w:rPr>
              <w:t>4.</w:t>
            </w:r>
            <w:r>
              <w:rPr>
                <w:rFonts w:hint="eastAsia" w:ascii="宋体" w:hAnsi="宋体" w:eastAsia="宋体" w:cs="Times New Roman"/>
                <w:color w:val="000000"/>
                <w:kern w:val="2"/>
                <w:sz w:val="21"/>
                <w:szCs w:val="21"/>
                <w:lang w:val="en-US" w:eastAsia="zh-CN" w:bidi="ar-SA"/>
              </w:rPr>
              <w:t>不提供样品</w:t>
            </w:r>
            <w:r>
              <w:rPr>
                <w:rFonts w:hint="eastAsia" w:ascii="宋体" w:hAnsi="宋体" w:eastAsia="宋体" w:cs="Times New Roman"/>
                <w:color w:val="000000"/>
                <w:kern w:val="2"/>
                <w:sz w:val="21"/>
                <w:szCs w:val="21"/>
                <w:lang w:val="zh-CN" w:eastAsia="zh-CN" w:bidi="ar-SA"/>
              </w:rPr>
              <w:t>，</w:t>
            </w:r>
            <w:r>
              <w:rPr>
                <w:rFonts w:hint="eastAsia" w:ascii="宋体" w:hAnsi="宋体" w:eastAsia="宋体" w:cs="Times New Roman"/>
                <w:color w:val="000000"/>
                <w:kern w:val="2"/>
                <w:sz w:val="21"/>
                <w:szCs w:val="21"/>
                <w:lang w:val="en-US" w:eastAsia="zh-CN" w:bidi="ar-SA"/>
              </w:rPr>
              <w:t>不得分。</w:t>
            </w:r>
          </w:p>
          <w:p w14:paraId="7E3390AF">
            <w:pPr>
              <w:keepNext w:val="0"/>
              <w:keepLines w:val="0"/>
              <w:suppressLineNumbers w:val="0"/>
              <w:spacing w:before="0" w:beforeAutospacing="0" w:after="0" w:afterAutospacing="0" w:line="240" w:lineRule="auto"/>
              <w:ind w:left="0" w:right="-73" w:rightChars="-35"/>
              <w:jc w:val="left"/>
              <w:rPr>
                <w:rFonts w:hint="eastAsia" w:ascii="宋体" w:hAnsi="宋体" w:eastAsia="宋体" w:cs="宋体"/>
                <w:color w:val="auto"/>
                <w:kern w:val="0"/>
                <w:szCs w:val="21"/>
                <w:lang w:val="en-US" w:eastAsia="zh-CN"/>
              </w:rPr>
            </w:pPr>
            <w:r>
              <w:rPr>
                <w:rFonts w:hint="eastAsia" w:ascii="宋体" w:hAnsi="宋体" w:eastAsia="宋体" w:cs="宋体"/>
                <w:b/>
                <w:bCs/>
                <w:color w:val="FF0000"/>
                <w:lang w:val="en-US" w:eastAsia="zh-CN"/>
              </w:rPr>
              <w:t>备注：</w:t>
            </w:r>
            <w:r>
              <w:rPr>
                <w:rFonts w:hint="eastAsia" w:ascii="宋体" w:hAnsi="宋体" w:eastAsia="宋体" w:cs="宋体"/>
                <w:b/>
                <w:bCs/>
                <w:color w:val="FF0000"/>
              </w:rPr>
              <w:t>开标现场递交样品</w:t>
            </w:r>
            <w:r>
              <w:rPr>
                <w:rFonts w:hint="eastAsia" w:ascii="宋体" w:hAnsi="宋体" w:eastAsia="宋体" w:cs="宋体"/>
                <w:b/>
                <w:bCs/>
                <w:color w:val="FF0000"/>
                <w:lang w:eastAsia="zh-CN"/>
              </w:rPr>
              <w:t>。</w:t>
            </w:r>
          </w:p>
        </w:tc>
      </w:tr>
      <w:tr w14:paraId="4219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32ADE201">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3CC4E94C">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eastAsia="宋体" w:cs="宋体"/>
                <w:color w:val="auto"/>
                <w:kern w:val="0"/>
                <w:szCs w:val="21"/>
              </w:rPr>
              <w:t>售后服务方案</w:t>
            </w:r>
          </w:p>
        </w:tc>
        <w:tc>
          <w:tcPr>
            <w:tcW w:w="960" w:type="dxa"/>
            <w:noWrap w:val="0"/>
            <w:vAlign w:val="center"/>
          </w:tcPr>
          <w:p w14:paraId="74A7BDA2">
            <w:pPr>
              <w:keepNext w:val="0"/>
              <w:keepLines w:val="0"/>
              <w:suppressLineNumbers w:val="0"/>
              <w:spacing w:before="0" w:beforeAutospacing="0" w:after="0" w:afterAutospacing="0" w:line="360" w:lineRule="auto"/>
              <w:ind w:left="0" w:right="0"/>
              <w:jc w:val="center"/>
              <w:rPr>
                <w:rFonts w:hint="default" w:ascii="宋体" w:hAnsi="宋体" w:cs="宋体"/>
                <w:szCs w:val="21"/>
                <w:lang w:val="en-US" w:eastAsia="zh-CN"/>
              </w:rPr>
            </w:pPr>
            <w:r>
              <w:rPr>
                <w:rFonts w:hint="eastAsia" w:ascii="宋体" w:hAnsi="宋体" w:cs="宋体"/>
                <w:szCs w:val="21"/>
                <w:lang w:val="en-US" w:eastAsia="zh-CN"/>
              </w:rPr>
              <w:t>14</w:t>
            </w:r>
          </w:p>
        </w:tc>
        <w:tc>
          <w:tcPr>
            <w:tcW w:w="5481" w:type="dxa"/>
            <w:noWrap w:val="0"/>
            <w:vAlign w:val="center"/>
          </w:tcPr>
          <w:p w14:paraId="1C0C71D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评审标准：</w:t>
            </w:r>
          </w:p>
          <w:p w14:paraId="672AB87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14:paraId="4CE6B4D8">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b/>
                <w:bCs/>
                <w:sz w:val="21"/>
                <w:szCs w:val="21"/>
              </w:rPr>
            </w:pPr>
            <w:r>
              <w:rPr>
                <w:rFonts w:hint="eastAsia" w:ascii="宋体" w:hAnsi="宋体" w:eastAsia="宋体" w:cs="宋体"/>
                <w:b/>
                <w:bCs/>
                <w:sz w:val="21"/>
                <w:szCs w:val="21"/>
              </w:rPr>
              <w:t>评分标准：</w:t>
            </w:r>
          </w:p>
          <w:p w14:paraId="7E165EF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14:paraId="5919BB5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14:paraId="3FBE7E42">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14:paraId="54A0788C">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14:paraId="63087294">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14:paraId="5A3E517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2</w:t>
            </w:r>
            <w:r>
              <w:rPr>
                <w:rFonts w:hint="eastAsia" w:ascii="Times New Roman" w:hAnsi="宋体" w:eastAsia="宋体" w:cs="仿宋"/>
                <w:szCs w:val="21"/>
              </w:rPr>
              <w:t>分，最高得</w:t>
            </w:r>
            <w:r>
              <w:rPr>
                <w:rFonts w:hint="eastAsia" w:hAnsi="宋体" w:cs="仿宋"/>
                <w:szCs w:val="21"/>
                <w:lang w:val="en-US" w:eastAsia="zh-CN"/>
              </w:rPr>
              <w:t>10</w:t>
            </w:r>
            <w:r>
              <w:rPr>
                <w:rFonts w:hint="eastAsia" w:ascii="Times New Roman" w:hAnsi="宋体" w:eastAsia="宋体" w:cs="仿宋"/>
                <w:szCs w:val="21"/>
              </w:rPr>
              <w:t>分。</w:t>
            </w:r>
          </w:p>
          <w:p w14:paraId="61C08C2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4FB38AD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14:paraId="5C2502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2</w:t>
            </w:r>
            <w:r>
              <w:rPr>
                <w:rFonts w:hint="eastAsia" w:ascii="宋体" w:hAnsi="宋体" w:cs="宋体"/>
                <w:szCs w:val="21"/>
              </w:rPr>
              <w:t>分；</w:t>
            </w:r>
          </w:p>
          <w:p w14:paraId="02C0401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14:paraId="34D8E5AB">
            <w:pPr>
              <w:keepNext w:val="0"/>
              <w:keepLines w:val="0"/>
              <w:suppressLineNumbers w:val="0"/>
              <w:wordWrap w:val="0"/>
              <w:spacing w:before="0" w:beforeAutospacing="0" w:after="60" w:afterAutospacing="0"/>
              <w:ind w:left="0" w:right="0"/>
              <w:jc w:val="left"/>
              <w:rPr>
                <w:rFonts w:hint="eastAsia" w:ascii="宋体" w:hAnsi="宋体" w:eastAsia="宋体" w:cs="宋体"/>
                <w:color w:val="auto"/>
                <w:kern w:val="0"/>
                <w:szCs w:val="21"/>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p>
        </w:tc>
      </w:tr>
      <w:tr w14:paraId="3E64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14:paraId="17A577E2">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2F23F1FF">
            <w:pPr>
              <w:keepNext w:val="0"/>
              <w:keepLines w:val="0"/>
              <w:suppressLineNumbers w:val="0"/>
              <w:wordWrap w:val="0"/>
              <w:spacing w:before="0" w:beforeAutospacing="0" w:after="0" w:afterAutospacing="0"/>
              <w:ind w:left="0" w:right="0"/>
              <w:jc w:val="center"/>
              <w:rPr>
                <w:rFonts w:hint="eastAsia" w:ascii="宋体" w:hAnsi="宋体" w:eastAsia="宋体"/>
                <w:color w:val="000000"/>
                <w:szCs w:val="21"/>
                <w:lang w:val="en-US" w:eastAsia="zh-CN"/>
              </w:rPr>
            </w:pPr>
            <w:r>
              <w:rPr>
                <w:rFonts w:hint="eastAsia" w:ascii="宋体" w:hAnsi="宋体" w:cs="宋体"/>
                <w:szCs w:val="21"/>
              </w:rPr>
              <w:t>同类项目业绩</w:t>
            </w:r>
          </w:p>
        </w:tc>
        <w:tc>
          <w:tcPr>
            <w:tcW w:w="960" w:type="dxa"/>
            <w:noWrap w:val="0"/>
            <w:vAlign w:val="center"/>
          </w:tcPr>
          <w:p w14:paraId="2EEA4E69">
            <w:pPr>
              <w:keepNext w:val="0"/>
              <w:keepLines w:val="0"/>
              <w:suppressLineNumbers w:val="0"/>
              <w:wordWrap w:val="0"/>
              <w:spacing w:before="0" w:beforeAutospacing="0" w:after="0" w:afterAutospacing="0"/>
              <w:ind w:left="0" w:right="0"/>
              <w:jc w:val="center"/>
              <w:rPr>
                <w:rFonts w:hint="default" w:ascii="宋体" w:hAnsi="宋体" w:eastAsia="宋体"/>
                <w:color w:val="000000"/>
                <w:szCs w:val="21"/>
                <w:lang w:val="en-US" w:eastAsia="zh-CN"/>
              </w:rPr>
            </w:pPr>
            <w:r>
              <w:rPr>
                <w:rFonts w:hint="eastAsia" w:ascii="宋体" w:hAnsi="宋体" w:cs="宋体"/>
                <w:szCs w:val="21"/>
                <w:lang w:val="en-US" w:eastAsia="zh-CN"/>
              </w:rPr>
              <w:t>6</w:t>
            </w:r>
          </w:p>
        </w:tc>
        <w:tc>
          <w:tcPr>
            <w:tcW w:w="5481" w:type="dxa"/>
            <w:noWrap w:val="0"/>
            <w:vAlign w:val="top"/>
          </w:tcPr>
          <w:p w14:paraId="563A5B02">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773B5647">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lang w:val="en-US" w:eastAsia="zh-CN"/>
              </w:rPr>
              <w:t>提供</w:t>
            </w:r>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月1日至本项目投标截止之日</w:t>
            </w:r>
            <w:r>
              <w:rPr>
                <w:rFonts w:hint="default" w:ascii="宋体" w:hAnsi="宋体" w:cs="宋体"/>
                <w:szCs w:val="21"/>
                <w:lang w:val="en-US" w:eastAsia="zh-CN"/>
              </w:rPr>
              <w:t>一次性使用灭菌橡胶外科手套</w:t>
            </w:r>
            <w:r>
              <w:rPr>
                <w:rFonts w:hint="eastAsia" w:ascii="宋体" w:hAnsi="宋体" w:cs="宋体"/>
                <w:szCs w:val="21"/>
                <w:lang w:val="en-US" w:eastAsia="zh-CN"/>
              </w:rPr>
              <w:t>业绩</w:t>
            </w:r>
            <w:r>
              <w:rPr>
                <w:rFonts w:hint="eastAsia" w:ascii="宋体" w:hAnsi="宋体" w:cs="宋体"/>
                <w:szCs w:val="21"/>
              </w:rPr>
              <w:t>（以合同签订时间为准）</w:t>
            </w:r>
            <w:r>
              <w:rPr>
                <w:rFonts w:hint="eastAsia" w:ascii="宋体" w:hAnsi="宋体" w:cs="宋体"/>
                <w:szCs w:val="21"/>
                <w:lang w:eastAsia="zh-CN"/>
              </w:rPr>
              <w:t>，</w:t>
            </w:r>
            <w:r>
              <w:rPr>
                <w:rFonts w:hint="eastAsia" w:ascii="宋体" w:hAnsi="宋体" w:cs="宋体"/>
                <w:szCs w:val="21"/>
              </w:rPr>
              <w:t>每提供一个得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14:paraId="415621D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14:paraId="616574FC">
            <w:pPr>
              <w:keepNext w:val="0"/>
              <w:keepLines w:val="0"/>
              <w:suppressLineNumbers w:val="0"/>
              <w:wordWrap w:val="0"/>
              <w:spacing w:before="0" w:beforeAutospacing="0" w:after="60" w:afterAutospacing="0"/>
              <w:ind w:left="0" w:right="0"/>
              <w:jc w:val="left"/>
              <w:rPr>
                <w:rFonts w:hint="default" w:ascii="宋体" w:hAnsi="宋体" w:eastAsia="宋体"/>
                <w:szCs w:val="21"/>
              </w:rPr>
            </w:pPr>
            <w:r>
              <w:rPr>
                <w:rFonts w:hint="eastAsia" w:ascii="宋体" w:hAnsi="宋体" w:cs="宋体"/>
                <w:szCs w:val="21"/>
              </w:rPr>
              <w:t>投标人须提供合同关键页</w:t>
            </w:r>
            <w:r>
              <w:rPr>
                <w:rFonts w:hint="eastAsia" w:ascii="宋体" w:hAnsi="宋体" w:cs="宋体"/>
                <w:szCs w:val="21"/>
                <w:lang w:val="en-US" w:eastAsia="zh-CN"/>
              </w:rPr>
              <w:t>或</w:t>
            </w:r>
            <w:r>
              <w:rPr>
                <w:rFonts w:hint="eastAsia" w:ascii="宋体" w:hAnsi="宋体" w:eastAsia="宋体" w:cs="宋体"/>
                <w:szCs w:val="21"/>
              </w:rPr>
              <w:t>发票</w:t>
            </w:r>
            <w:r>
              <w:rPr>
                <w:rFonts w:hint="eastAsia" w:ascii="宋体" w:hAnsi="宋体" w:eastAsia="宋体" w:cs="宋体"/>
                <w:szCs w:val="21"/>
                <w:lang w:eastAsia="zh-CN"/>
              </w:rPr>
              <w:t>（</w:t>
            </w:r>
            <w:r>
              <w:rPr>
                <w:rFonts w:hint="eastAsia" w:ascii="宋体" w:hAnsi="宋体" w:eastAsia="宋体" w:cs="宋体"/>
                <w:szCs w:val="21"/>
              </w:rPr>
              <w:t>在国家税务总局全国增值税发票查验平台验证打印）</w:t>
            </w:r>
            <w:r>
              <w:rPr>
                <w:rFonts w:hint="eastAsia" w:ascii="宋体" w:hAnsi="宋体" w:eastAsia="宋体" w:cs="宋体"/>
                <w:szCs w:val="21"/>
                <w:lang w:val="en-US" w:eastAsia="zh-CN"/>
              </w:rPr>
              <w:t>的扫描件或复印析件，并加盖公章。</w:t>
            </w:r>
          </w:p>
        </w:tc>
      </w:tr>
      <w:tr w14:paraId="7FB7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047982FE">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772620F8">
            <w:pPr>
              <w:keepNext w:val="0"/>
              <w:keepLines w:val="0"/>
              <w:suppressLineNumbers w:val="0"/>
              <w:spacing w:before="0" w:beforeAutospacing="0" w:after="0" w:afterAutospacing="0"/>
              <w:ind w:left="0" w:right="0" w:rightChars="0"/>
              <w:jc w:val="center"/>
              <w:rPr>
                <w:rFonts w:hint="default" w:ascii="宋体" w:hAnsi="宋体" w:eastAsia="宋体"/>
                <w:color w:val="000000"/>
                <w:szCs w:val="21"/>
                <w:lang w:val="zh-CN"/>
              </w:rPr>
            </w:pPr>
            <w:r>
              <w:rPr>
                <w:rFonts w:hint="default" w:ascii="宋体" w:hAnsi="宋体" w:eastAsia="宋体"/>
                <w:color w:val="000000"/>
                <w:szCs w:val="21"/>
                <w:lang w:val="zh-CN"/>
              </w:rPr>
              <w:t>企业诚信</w:t>
            </w:r>
          </w:p>
        </w:tc>
        <w:tc>
          <w:tcPr>
            <w:tcW w:w="960" w:type="dxa"/>
            <w:noWrap w:val="0"/>
            <w:vAlign w:val="center"/>
          </w:tcPr>
          <w:p w14:paraId="384F8A74">
            <w:pPr>
              <w:keepNext w:val="0"/>
              <w:keepLines w:val="0"/>
              <w:suppressLineNumbers w:val="0"/>
              <w:spacing w:before="0" w:beforeAutospacing="0" w:after="0" w:afterAutospacing="0"/>
              <w:ind w:left="0" w:leftChars="0" w:right="0" w:rightChars="0"/>
              <w:jc w:val="center"/>
              <w:rPr>
                <w:rFonts w:hint="default" w:ascii="宋体" w:hAnsi="宋体" w:eastAsia="宋体"/>
                <w:color w:val="000000"/>
                <w:szCs w:val="21"/>
                <w:lang w:val="zh-CN"/>
              </w:rPr>
            </w:pPr>
            <w:r>
              <w:rPr>
                <w:rFonts w:hint="eastAsia" w:ascii="宋体" w:hAnsi="宋体" w:eastAsia="宋体"/>
                <w:color w:val="000000"/>
                <w:szCs w:val="21"/>
                <w:lang w:val="en-US" w:eastAsia="zh-CN"/>
              </w:rPr>
              <w:t>5</w:t>
            </w:r>
          </w:p>
        </w:tc>
        <w:tc>
          <w:tcPr>
            <w:tcW w:w="5481" w:type="dxa"/>
            <w:noWrap w:val="0"/>
            <w:vAlign w:val="top"/>
          </w:tcPr>
          <w:p w14:paraId="395622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50F1BD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62CB68AE">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6D8FCD5A">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33528F14">
            <w:pPr>
              <w:keepNext w:val="0"/>
              <w:keepLines w:val="0"/>
              <w:suppressLineNumbers w:val="0"/>
              <w:spacing w:before="0" w:beforeAutospacing="0" w:after="0" w:afterAutospacing="0"/>
              <w:ind w:left="0" w:right="0"/>
              <w:rPr>
                <w:rFonts w:hint="default" w:ascii="宋体" w:hAnsi="宋体" w:eastAsia="宋体"/>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85B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noWrap w:val="0"/>
            <w:textDirection w:val="tbRlV"/>
            <w:vAlign w:val="center"/>
          </w:tcPr>
          <w:p w14:paraId="1505A4C8">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报价(3</w:t>
            </w:r>
            <w:r>
              <w:rPr>
                <w:rFonts w:hint="eastAsia" w:ascii="宋体" w:hAnsi="宋体" w:eastAsia="宋体"/>
                <w:b/>
                <w:szCs w:val="21"/>
                <w:lang w:val="en-US" w:eastAsia="zh-CN"/>
              </w:rPr>
              <w:t>0</w:t>
            </w:r>
            <w:r>
              <w:rPr>
                <w:rFonts w:hint="default" w:ascii="宋体" w:hAnsi="宋体" w:eastAsia="宋体"/>
                <w:b/>
                <w:szCs w:val="21"/>
              </w:rPr>
              <w:t>分)</w:t>
            </w:r>
          </w:p>
        </w:tc>
        <w:tc>
          <w:tcPr>
            <w:tcW w:w="7704" w:type="dxa"/>
            <w:gridSpan w:val="3"/>
            <w:noWrap w:val="0"/>
            <w:vAlign w:val="center"/>
          </w:tcPr>
          <w:p w14:paraId="6631B99C">
            <w:pPr>
              <w:keepNext w:val="0"/>
              <w:keepLines w:val="0"/>
              <w:suppressLineNumbers w:val="0"/>
              <w:spacing w:before="0" w:beforeAutospacing="0" w:after="0" w:afterAutospacing="0"/>
              <w:ind w:left="0" w:right="0"/>
              <w:rPr>
                <w:rFonts w:hint="eastAsia" w:ascii="宋体" w:hAnsi="宋体" w:eastAsia="宋体"/>
                <w:szCs w:val="21"/>
                <w:lang w:val="zh-CN" w:eastAsia="zh-CN"/>
              </w:rPr>
            </w:pPr>
            <w:r>
              <w:rPr>
                <w:rFonts w:hint="default" w:ascii="宋体" w:hAnsi="宋体" w:eastAsia="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szCs w:val="21"/>
                <w:lang w:val="en-US" w:eastAsia="zh-CN"/>
              </w:rPr>
              <w:t>0</w:t>
            </w:r>
            <w:r>
              <w:rPr>
                <w:rFonts w:hint="default" w:ascii="宋体" w:hAnsi="宋体" w:eastAsia="宋体"/>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宋体" w:hAnsi="宋体" w:eastAsia="宋体"/>
                <w:szCs w:val="21"/>
                <w:lang w:val="zh-CN"/>
              </w:rPr>
              <w:t>的价格分按照下列公式计算:</w:t>
            </w:r>
            <w:r>
              <w:rPr>
                <w:rFonts w:hint="default" w:ascii="宋体" w:hAnsi="宋体" w:eastAsia="宋体"/>
                <w:b/>
                <w:szCs w:val="21"/>
                <w:lang w:val="zh-CN"/>
              </w:rPr>
              <w:t>投标报价得分=(评标基准价/投标报价)×3</w:t>
            </w:r>
            <w:r>
              <w:rPr>
                <w:rFonts w:hint="eastAsia" w:ascii="宋体" w:hAnsi="宋体" w:eastAsia="宋体"/>
                <w:b/>
                <w:szCs w:val="21"/>
                <w:lang w:val="en-US" w:eastAsia="zh-CN"/>
              </w:rPr>
              <w:t>0</w:t>
            </w:r>
          </w:p>
        </w:tc>
      </w:tr>
    </w:tbl>
    <w:p w14:paraId="40375295">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b/>
          <w:bCs/>
          <w:sz w:val="32"/>
          <w:szCs w:val="32"/>
          <w:lang w:eastAsia="zh-CN"/>
        </w:rPr>
      </w:pPr>
      <w:r>
        <w:rPr>
          <w:rFonts w:hint="eastAsia" w:ascii="宋体" w:hAnsi="宋体"/>
          <w:b/>
          <w:bCs/>
          <w:sz w:val="32"/>
          <w:szCs w:val="32"/>
          <w:lang w:eastAsia="zh-CN"/>
        </w:rPr>
        <w:t>一次性使用灭菌橡胶外科手套</w:t>
      </w:r>
    </w:p>
    <w:p w14:paraId="443FF534">
      <w:pPr>
        <w:widowControl/>
        <w:shd w:val="clear" w:color="auto" w:fill="FFFFFF"/>
        <w:outlineLvl w:val="1"/>
        <w:rPr>
          <w:rFonts w:hint="eastAsia" w:asciiTheme="minorEastAsia" w:hAnsiTheme="minorEastAsia" w:eastAsiaTheme="minorEastAsia"/>
          <w:b/>
          <w:color w:val="FF0000"/>
          <w:szCs w:val="21"/>
          <w:highlight w:val="none"/>
          <w:lang w:val="en-US" w:eastAsia="zh-CN"/>
        </w:rPr>
      </w:pPr>
      <w:r>
        <w:rPr>
          <w:rFonts w:hint="eastAsia" w:asciiTheme="minorEastAsia" w:hAnsiTheme="minorEastAsia" w:eastAsiaTheme="minorEastAsia"/>
          <w:b/>
          <w:color w:val="auto"/>
          <w:szCs w:val="21"/>
          <w:highlight w:val="none"/>
          <w:lang w:val="en-US" w:eastAsia="zh-CN"/>
        </w:rPr>
        <w:t>【</w:t>
      </w:r>
      <w:r>
        <w:rPr>
          <w:rFonts w:hint="eastAsia" w:ascii="宋体" w:hAnsi="宋体" w:cs="宋体"/>
          <w:b/>
          <w:bCs/>
          <w:color w:val="auto"/>
          <w:kern w:val="0"/>
          <w:sz w:val="24"/>
          <w:highlight w:val="none"/>
        </w:rPr>
        <w:t>项目基本情况</w:t>
      </w:r>
      <w:r>
        <w:rPr>
          <w:rFonts w:hint="eastAsia" w:asciiTheme="minorEastAsia" w:hAnsiTheme="minorEastAsia" w:eastAsiaTheme="minorEastAsia"/>
          <w:b/>
          <w:color w:val="auto"/>
          <w:szCs w:val="21"/>
          <w:highlight w:val="none"/>
          <w:lang w:val="en-US" w:eastAsia="zh-CN"/>
        </w:rPr>
        <w:t>】</w:t>
      </w:r>
      <w:r>
        <w:rPr>
          <w:rFonts w:hint="eastAsia" w:cs="Times New Roman" w:asciiTheme="minorEastAsia" w:hAnsiTheme="minorEastAsia" w:eastAsiaTheme="minorEastAsia"/>
          <w:b/>
          <w:szCs w:val="21"/>
          <w:highlight w:val="none"/>
          <w:lang w:val="en-US" w:eastAsia="zh-CN"/>
        </w:rPr>
        <w:t xml:space="preserve"> </w:t>
      </w:r>
    </w:p>
    <w:p w14:paraId="338360DF">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【配置清单】</w:t>
      </w:r>
    </w:p>
    <w:tbl>
      <w:tblPr>
        <w:tblStyle w:val="25"/>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477"/>
        <w:gridCol w:w="1323"/>
        <w:gridCol w:w="818"/>
        <w:gridCol w:w="1991"/>
        <w:gridCol w:w="1800"/>
        <w:gridCol w:w="805"/>
      </w:tblGrid>
      <w:tr w14:paraId="69ED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5D31EEC8">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序号</w:t>
            </w:r>
          </w:p>
        </w:tc>
        <w:tc>
          <w:tcPr>
            <w:tcW w:w="1477" w:type="dxa"/>
            <w:vAlign w:val="center"/>
          </w:tcPr>
          <w:p w14:paraId="21DA27DD">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货物名称</w:t>
            </w:r>
          </w:p>
        </w:tc>
        <w:tc>
          <w:tcPr>
            <w:tcW w:w="1323" w:type="dxa"/>
            <w:vAlign w:val="center"/>
          </w:tcPr>
          <w:p w14:paraId="2D73137D">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年预估数量</w:t>
            </w:r>
          </w:p>
        </w:tc>
        <w:tc>
          <w:tcPr>
            <w:tcW w:w="818" w:type="dxa"/>
            <w:vAlign w:val="center"/>
          </w:tcPr>
          <w:p w14:paraId="440AD214">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单位</w:t>
            </w:r>
          </w:p>
        </w:tc>
        <w:tc>
          <w:tcPr>
            <w:tcW w:w="1991" w:type="dxa"/>
            <w:vAlign w:val="center"/>
          </w:tcPr>
          <w:p w14:paraId="3B25A6FA">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最高单价限价（元）</w:t>
            </w:r>
          </w:p>
        </w:tc>
        <w:tc>
          <w:tcPr>
            <w:tcW w:w="1800" w:type="dxa"/>
            <w:vAlign w:val="center"/>
          </w:tcPr>
          <w:p w14:paraId="333419DB">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年预算金额（元）</w:t>
            </w:r>
          </w:p>
        </w:tc>
        <w:tc>
          <w:tcPr>
            <w:tcW w:w="805" w:type="dxa"/>
            <w:vAlign w:val="center"/>
          </w:tcPr>
          <w:p w14:paraId="22EF7466">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备注</w:t>
            </w:r>
          </w:p>
        </w:tc>
      </w:tr>
      <w:tr w14:paraId="1AB1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35B43676">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1</w:t>
            </w:r>
          </w:p>
        </w:tc>
        <w:tc>
          <w:tcPr>
            <w:tcW w:w="1477" w:type="dxa"/>
            <w:vAlign w:val="center"/>
          </w:tcPr>
          <w:p w14:paraId="37A3FEF4">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t>一次性使用灭菌橡胶外科手套</w:t>
            </w:r>
          </w:p>
        </w:tc>
        <w:tc>
          <w:tcPr>
            <w:tcW w:w="1323" w:type="dxa"/>
            <w:vAlign w:val="center"/>
          </w:tcPr>
          <w:p w14:paraId="742A40B0">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180000</w:t>
            </w:r>
          </w:p>
        </w:tc>
        <w:tc>
          <w:tcPr>
            <w:tcW w:w="818" w:type="dxa"/>
            <w:vAlign w:val="center"/>
          </w:tcPr>
          <w:p w14:paraId="201B75B6">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双</w:t>
            </w:r>
          </w:p>
        </w:tc>
        <w:tc>
          <w:tcPr>
            <w:tcW w:w="1991" w:type="dxa"/>
            <w:vAlign w:val="center"/>
          </w:tcPr>
          <w:p w14:paraId="3D07A003">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1.6</w:t>
            </w:r>
          </w:p>
        </w:tc>
        <w:tc>
          <w:tcPr>
            <w:tcW w:w="1800" w:type="dxa"/>
            <w:vAlign w:val="center"/>
          </w:tcPr>
          <w:p w14:paraId="3CECDEAA">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color w:val="000000" w:themeColor="text1"/>
                <w:kern w:val="0"/>
                <w:szCs w:val="21"/>
                <w:highlight w:val="none"/>
                <w:lang w:val="en-US" w:eastAsia="zh-CN"/>
                <w14:textFill>
                  <w14:solidFill>
                    <w14:schemeClr w14:val="tx1"/>
                  </w14:solidFill>
                </w14:textFill>
              </w:rPr>
              <w:t>288000</w:t>
            </w:r>
          </w:p>
        </w:tc>
        <w:tc>
          <w:tcPr>
            <w:tcW w:w="805" w:type="dxa"/>
            <w:vAlign w:val="center"/>
          </w:tcPr>
          <w:p w14:paraId="6B7C30D5">
            <w:pPr>
              <w:widowControl/>
              <w:spacing w:line="380" w:lineRule="exact"/>
              <w:ind w:right="84" w:rightChars="40"/>
              <w:jc w:val="center"/>
              <w:rPr>
                <w:rFonts w:hint="default" w:ascii="宋体" w:hAnsi="宋体" w:eastAsia="宋体" w:cs="Times New Roman"/>
                <w:b w:val="0"/>
                <w:bCs/>
                <w:color w:val="000000" w:themeColor="text1"/>
                <w:kern w:val="0"/>
                <w:szCs w:val="21"/>
                <w:highlight w:val="none"/>
                <w:lang w:val="en-US" w:eastAsia="zh-CN"/>
                <w14:textFill>
                  <w14:solidFill>
                    <w14:schemeClr w14:val="tx1"/>
                  </w14:solidFill>
                </w14:textFill>
              </w:rPr>
            </w:pPr>
          </w:p>
        </w:tc>
      </w:tr>
    </w:tbl>
    <w:p w14:paraId="364D5C6E">
      <w:pPr>
        <w:rPr>
          <w:rFonts w:hint="eastAsia" w:ascii="宋体" w:hAnsi="宋体" w:eastAsia="宋体" w:cs="宋体"/>
          <w:b/>
          <w:bCs/>
          <w:color w:val="auto"/>
          <w:sz w:val="21"/>
          <w:szCs w:val="21"/>
          <w:highlight w:val="none"/>
          <w:lang w:val="en-US" w:eastAsia="zh-CN"/>
        </w:rPr>
      </w:pPr>
    </w:p>
    <w:p w14:paraId="2458F064">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备注</w:t>
      </w:r>
      <w:r>
        <w:rPr>
          <w:rFonts w:hint="eastAsia" w:ascii="宋体" w:hAnsi="宋体" w:eastAsia="宋体" w:cs="宋体"/>
          <w:b/>
          <w:bCs/>
          <w:color w:val="auto"/>
          <w:sz w:val="21"/>
          <w:szCs w:val="21"/>
          <w:highlight w:val="none"/>
        </w:rPr>
        <w:t>：</w:t>
      </w:r>
    </w:p>
    <w:p w14:paraId="544F95A5">
      <w:pPr>
        <w:rPr>
          <w:rFonts w:hint="eastAsia" w:ascii="宋体" w:hAnsi="宋体" w:eastAsia="宋体" w:cs="宋体"/>
          <w:sz w:val="21"/>
          <w:szCs w:val="21"/>
          <w:lang w:val="en-US" w:eastAsia="zh-CN"/>
        </w:rPr>
      </w:pPr>
      <w:r>
        <w:rPr>
          <w:rFonts w:hint="eastAsia" w:ascii="宋体" w:hAnsi="宋体" w:cs="宋体"/>
          <w:color w:val="FF0000"/>
          <w:sz w:val="21"/>
          <w:szCs w:val="21"/>
          <w:lang w:val="en-US" w:eastAsia="zh-CN"/>
        </w:rPr>
        <w:t>1</w:t>
      </w:r>
      <w:r>
        <w:rPr>
          <w:rFonts w:hint="eastAsia" w:ascii="宋体" w:hAnsi="宋体" w:eastAsia="宋体" w:cs="宋体"/>
          <w:color w:val="FF0000"/>
          <w:sz w:val="21"/>
          <w:szCs w:val="21"/>
          <w:lang w:val="en-US" w:eastAsia="zh-CN"/>
        </w:rPr>
        <w:t>.按实际产生（成交）数量结算；</w:t>
      </w:r>
    </w:p>
    <w:p w14:paraId="56A8BACC">
      <w:pPr>
        <w:numPr>
          <w:ilvl w:val="0"/>
          <w:numId w:val="0"/>
        </w:numPr>
        <w:rPr>
          <w:rFonts w:hint="eastAsia" w:ascii="宋体" w:hAnsi="宋体" w:eastAsia="宋体" w:cs="宋体"/>
          <w:sz w:val="21"/>
          <w:szCs w:val="21"/>
          <w:lang w:val="en-US" w:eastAsia="zh-CN"/>
        </w:rPr>
      </w:pPr>
      <w:r>
        <w:rPr>
          <w:rFonts w:hint="eastAsia" w:ascii="宋体" w:hAnsi="宋体" w:cs="宋体"/>
          <w:color w:val="FF0000"/>
          <w:sz w:val="21"/>
          <w:szCs w:val="21"/>
          <w:lang w:val="en-US" w:eastAsia="zh-CN"/>
        </w:rPr>
        <w:t>2.</w:t>
      </w:r>
      <w:r>
        <w:rPr>
          <w:rFonts w:hint="eastAsia" w:ascii="宋体" w:hAnsi="宋体" w:eastAsia="宋体" w:cs="宋体"/>
          <w:color w:val="FF0000"/>
          <w:sz w:val="21"/>
          <w:szCs w:val="21"/>
          <w:lang w:val="en-US" w:eastAsia="zh-CN"/>
        </w:rPr>
        <w:t>报价超预算金额，本项目废标。</w:t>
      </w:r>
    </w:p>
    <w:p w14:paraId="1980424E">
      <w:pPr>
        <w:pStyle w:val="31"/>
        <w:ind w:firstLine="630" w:firstLineChars="300"/>
        <w:rPr>
          <w:rFonts w:asciiTheme="minorEastAsia" w:hAnsiTheme="minorEastAsia" w:eastAsiaTheme="minorEastAsia"/>
          <w:b/>
          <w:szCs w:val="21"/>
          <w:highlight w:val="none"/>
        </w:rPr>
      </w:pP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p w14:paraId="1D1EA4A6">
      <w:pPr>
        <w:spacing w:line="240" w:lineRule="auto"/>
        <w:ind w:firstLine="210" w:firstLineChars="100"/>
        <w:jc w:val="left"/>
        <w:rPr>
          <w:rFonts w:hint="eastAsia" w:hAnsi="宋体"/>
          <w:b/>
          <w:color w:val="auto"/>
          <w:highlight w:val="none"/>
          <w:lang w:val="en-US" w:eastAsia="zh-CN"/>
        </w:rPr>
      </w:pPr>
      <w:r>
        <w:rPr>
          <w:rFonts w:hint="eastAsia" w:asciiTheme="minorEastAsia" w:hAnsiTheme="minorEastAsia" w:eastAsiaTheme="minorEastAsia"/>
          <w:b/>
          <w:color w:val="FF0000"/>
          <w:szCs w:val="21"/>
          <w:highlight w:val="none"/>
          <w:lang w:val="en-US" w:eastAsia="zh-CN"/>
        </w:rPr>
        <w:t>★</w:t>
      </w:r>
      <w:r>
        <w:rPr>
          <w:rFonts w:hint="eastAsia" w:hAnsi="宋体"/>
          <w:b/>
          <w:color w:val="auto"/>
          <w:highlight w:val="none"/>
          <w:lang w:val="en-US" w:eastAsia="zh-CN"/>
        </w:rPr>
        <w:t>1.手指向手掌面弯曲部分纹理无粉，至少包含6.5、7、7.5、8、8.5型号。</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w:t>
      </w:r>
      <w:r>
        <w:rPr>
          <w:rFonts w:hint="eastAsia"/>
          <w:color w:val="000000" w:themeColor="text1"/>
          <w14:textFill>
            <w14:solidFill>
              <w14:schemeClr w14:val="tx1"/>
            </w14:solidFill>
          </w14:textFill>
        </w:rPr>
        <w:t>▲</w:t>
      </w:r>
      <w:r>
        <w:rPr>
          <w:rFonts w:hint="eastAsia" w:hAnsi="宋体"/>
          <w:b/>
          <w:color w:val="000000" w:themeColor="text1"/>
          <w:highlight w:val="none"/>
          <w:lang w:val="en-US" w:eastAsia="zh-CN"/>
          <w14:textFill>
            <w14:solidFill>
              <w14:schemeClr w14:val="tx1"/>
            </w14:solidFill>
          </w14:textFill>
        </w:rPr>
        <w:t>2</w:t>
      </w:r>
      <w:r>
        <w:rPr>
          <w:rFonts w:hint="eastAsia" w:hAnsi="宋体"/>
          <w:b/>
          <w:color w:val="auto"/>
          <w:highlight w:val="none"/>
          <w:lang w:val="en-US" w:eastAsia="zh-CN"/>
        </w:rPr>
        <w:t>.符合国标GB/T 7543-2020《一次性使用灭菌橡胶外科手套》标准要求；</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3.老化前扯断力不低于12.5N，老化前扯断伸长率的最小值≥700%；老化后扯断力的最小值≥9.5N，老化后扯断伸长率的最小值≥550%；</w:t>
      </w:r>
    </w:p>
    <w:p w14:paraId="44C58FE6">
      <w:pPr>
        <w:spacing w:line="240" w:lineRule="auto"/>
        <w:jc w:val="left"/>
        <w:rPr>
          <w:rFonts w:hint="eastAsia" w:hAnsi="宋体"/>
          <w:b/>
          <w:color w:val="auto"/>
          <w:highlight w:val="none"/>
          <w:lang w:val="en-US" w:eastAsia="zh-CN"/>
        </w:rPr>
      </w:pPr>
      <w:r>
        <w:rPr>
          <w:rFonts w:hint="eastAsia" w:hAnsi="宋体"/>
          <w:b/>
          <w:color w:val="auto"/>
          <w:highlight w:val="none"/>
          <w:lang w:val="en-US" w:eastAsia="zh-CN"/>
        </w:rPr>
        <w:t xml:space="preserve">  4.老化前300%定伸负荷最大值≤2.0N；</w:t>
      </w:r>
    </w:p>
    <w:p w14:paraId="64D9B996">
      <w:pPr>
        <w:spacing w:line="240" w:lineRule="auto"/>
        <w:jc w:val="left"/>
        <w:rPr>
          <w:rFonts w:hint="eastAsia" w:hAnsi="宋体"/>
          <w:b/>
          <w:color w:val="auto"/>
          <w:highlight w:val="none"/>
          <w:lang w:val="en-US" w:eastAsia="zh-CN"/>
        </w:rPr>
      </w:pPr>
      <w:r>
        <w:rPr>
          <w:rFonts w:hint="eastAsia" w:hAnsi="宋体"/>
          <w:b/>
          <w:color w:val="auto"/>
          <w:highlight w:val="none"/>
          <w:lang w:val="en-US" w:eastAsia="zh-CN"/>
        </w:rPr>
        <w:t xml:space="preserve">  </w:t>
      </w:r>
      <w:r>
        <w:rPr>
          <w:rFonts w:hint="eastAsia"/>
          <w:color w:val="000000" w:themeColor="text1"/>
          <w14:textFill>
            <w14:solidFill>
              <w14:schemeClr w14:val="tx1"/>
            </w14:solidFill>
          </w14:textFill>
        </w:rPr>
        <w:t>▲</w:t>
      </w:r>
      <w:r>
        <w:rPr>
          <w:rFonts w:hint="eastAsia" w:hAnsi="宋体"/>
          <w:b/>
          <w:color w:val="auto"/>
          <w:highlight w:val="none"/>
          <w:lang w:val="en-US" w:eastAsia="zh-CN"/>
        </w:rPr>
        <w:t>5.按GB/T21870-2008《天然胶乳医用手套水抽提蛋白质的测定改进Lowry法》检验，水抽提蛋白质含量≤200μg/dm2；</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5210E7C2">
      <w:pPr>
        <w:spacing w:line="240" w:lineRule="auto"/>
        <w:jc w:val="left"/>
        <w:rPr>
          <w:rFonts w:hint="eastAsia" w:hAnsi="宋体"/>
          <w:b/>
          <w:color w:val="auto"/>
          <w:highlight w:val="none"/>
          <w:lang w:val="en-US" w:eastAsia="zh-CN"/>
        </w:rPr>
      </w:pPr>
      <w:r>
        <w:rPr>
          <w:rFonts w:hint="eastAsia" w:hAnsi="宋体"/>
          <w:b/>
          <w:color w:val="auto"/>
          <w:highlight w:val="none"/>
          <w:lang w:val="en-US" w:eastAsia="zh-CN"/>
        </w:rPr>
        <w:t xml:space="preserve">  6.纹理手套最小厚度≥0.13mm；</w:t>
      </w:r>
    </w:p>
    <w:p w14:paraId="7E45F0AE">
      <w:pPr>
        <w:spacing w:line="240" w:lineRule="auto"/>
        <w:jc w:val="left"/>
        <w:rPr>
          <w:rFonts w:hint="eastAsia" w:hAnsi="宋体"/>
          <w:b/>
          <w:color w:val="auto"/>
          <w:highlight w:val="none"/>
          <w:lang w:val="en-US" w:eastAsia="zh-CN"/>
        </w:rPr>
      </w:pPr>
      <w:r>
        <w:rPr>
          <w:rFonts w:hint="eastAsia" w:hAnsi="宋体"/>
          <w:b/>
          <w:color w:val="auto"/>
          <w:highlight w:val="none"/>
          <w:lang w:val="en-US" w:eastAsia="zh-CN"/>
        </w:rPr>
        <w:t xml:space="preserve">  7.表面粉末残余量≤2.0mg/只；</w:t>
      </w:r>
    </w:p>
    <w:p w14:paraId="18FC7C7B">
      <w:pPr>
        <w:spacing w:line="240" w:lineRule="auto"/>
        <w:jc w:val="left"/>
        <w:rPr>
          <w:rFonts w:hint="eastAsia" w:hAnsi="宋体"/>
          <w:b/>
          <w:color w:val="auto"/>
          <w:highlight w:val="none"/>
          <w:lang w:val="en-US" w:eastAsia="zh-CN"/>
        </w:rPr>
      </w:pPr>
      <w:r>
        <w:rPr>
          <w:rFonts w:hint="eastAsia" w:hAnsi="宋体"/>
          <w:b/>
          <w:color w:val="auto"/>
          <w:highlight w:val="none"/>
          <w:lang w:val="en-US" w:eastAsia="zh-CN"/>
        </w:rPr>
        <w:t xml:space="preserve">  8.经过电子束辐照（射）灭菌，产品应无菌；</w:t>
      </w:r>
    </w:p>
    <w:p w14:paraId="0CE06339">
      <w:pPr>
        <w:spacing w:line="240" w:lineRule="auto"/>
        <w:jc w:val="left"/>
        <w:rPr>
          <w:rFonts w:hint="eastAsia" w:ascii="Times New Roman" w:hAnsi="Times New Roman" w:eastAsia="宋体" w:cs="Times New Roman"/>
          <w:b w:val="0"/>
          <w:bCs/>
          <w:color w:val="00B050"/>
          <w:kern w:val="0"/>
          <w:szCs w:val="21"/>
          <w:highlight w:val="none"/>
          <w:lang w:val="en-US" w:eastAsia="zh-CN"/>
        </w:rPr>
      </w:pPr>
      <w:r>
        <w:rPr>
          <w:rFonts w:hint="eastAsia" w:hAnsi="宋体"/>
          <w:b/>
          <w:color w:val="auto"/>
          <w:highlight w:val="none"/>
          <w:lang w:val="en-US" w:eastAsia="zh-CN"/>
        </w:rPr>
        <w:t xml:space="preserve"> </w:t>
      </w:r>
      <w:r>
        <w:rPr>
          <w:rFonts w:hint="eastAsia"/>
          <w:color w:val="000000" w:themeColor="text1"/>
          <w14:textFill>
            <w14:solidFill>
              <w14:schemeClr w14:val="tx1"/>
            </w14:solidFill>
          </w14:textFill>
        </w:rPr>
        <w:t>▲</w:t>
      </w:r>
      <w:r>
        <w:rPr>
          <w:rFonts w:hint="eastAsia" w:hAnsi="宋体"/>
          <w:b/>
          <w:color w:val="000000" w:themeColor="text1"/>
          <w:highlight w:val="none"/>
          <w:lang w:val="en-US" w:eastAsia="zh-CN"/>
          <w14:textFill>
            <w14:solidFill>
              <w14:schemeClr w14:val="tx1"/>
            </w14:solidFill>
          </w14:textFill>
        </w:rPr>
        <w:t xml:space="preserve"> </w:t>
      </w:r>
      <w:r>
        <w:rPr>
          <w:rFonts w:hint="eastAsia" w:hAnsi="宋体"/>
          <w:b/>
          <w:color w:val="auto"/>
          <w:highlight w:val="none"/>
          <w:lang w:val="en-US" w:eastAsia="zh-CN"/>
        </w:rPr>
        <w:t>9.产品生物应满足相容性测试报告，符合GB/T 16886.10-2017。</w:t>
      </w:r>
      <w:r>
        <w:rPr>
          <w:rFonts w:hint="eastAsia" w:ascii="宋体" w:hAnsi="宋体" w:eastAsia="宋体" w:cs="宋体"/>
          <w:sz w:val="21"/>
          <w:szCs w:val="21"/>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73CC5267">
      <w:pPr>
        <w:pStyle w:val="2"/>
        <w:rPr>
          <w:rFonts w:hint="eastAsia"/>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587E6AFF">
      <w:pPr>
        <w:snapToGrid w:val="0"/>
        <w:spacing w:line="240" w:lineRule="auto"/>
        <w:ind w:firstLine="420" w:firstLineChars="200"/>
        <w:rPr>
          <w:rFonts w:hint="eastAsia" w:ascii="宋体" w:hAnsi="宋体" w:eastAsia="宋体" w:cs="宋体"/>
          <w:b/>
          <w:bCs/>
          <w:kern w:val="2"/>
          <w:sz w:val="21"/>
          <w:szCs w:val="21"/>
          <w:lang w:val="en-US" w:eastAsia="zh-CN" w:bidi="ar-SA"/>
        </w:rPr>
      </w:pPr>
      <w:r>
        <w:rPr>
          <w:rFonts w:hint="eastAsia" w:ascii="宋体" w:hAnsi="宋体" w:eastAsia="宋体" w:cs="宋体"/>
          <w:bCs/>
          <w:color w:val="FF0000"/>
          <w:sz w:val="21"/>
          <w:szCs w:val="21"/>
        </w:rPr>
        <w:t>★</w:t>
      </w:r>
      <w:r>
        <w:rPr>
          <w:rFonts w:hint="eastAsia" w:ascii="宋体" w:hAnsi="宋体" w:eastAsia="宋体" w:cs="宋体"/>
          <w:b/>
          <w:bCs/>
          <w:color w:val="0000FF"/>
          <w:sz w:val="21"/>
          <w:szCs w:val="21"/>
          <w:highlight w:val="none"/>
          <w:lang w:val="en-US" w:eastAsia="zh-CN"/>
        </w:rPr>
        <w:t>四、商务及服务要求：</w:t>
      </w:r>
      <w:r>
        <w:rPr>
          <w:rFonts w:hint="eastAsia" w:ascii="宋体" w:hAnsi="宋体" w:eastAsia="宋体" w:cs="宋体"/>
          <w:b/>
          <w:bCs/>
          <w:color w:val="0000FF"/>
          <w:sz w:val="21"/>
          <w:szCs w:val="21"/>
          <w:highlight w:val="none"/>
          <w:lang w:val="en-US" w:eastAsia="zh-CN"/>
        </w:rPr>
        <w:br w:type="textWrapping"/>
      </w:r>
      <w:r>
        <w:rPr>
          <w:rFonts w:hint="eastAsia" w:ascii="宋体" w:hAnsi="宋体" w:eastAsia="宋体" w:cs="宋体"/>
          <w:b/>
          <w:bCs/>
          <w:color w:val="0000FF"/>
          <w:sz w:val="21"/>
          <w:szCs w:val="21"/>
          <w:highlight w:val="none"/>
          <w:lang w:val="en-US" w:eastAsia="zh-CN"/>
        </w:rPr>
        <w:t xml:space="preserve">   </w:t>
      </w:r>
      <w:r>
        <w:rPr>
          <w:rFonts w:hint="eastAsia" w:ascii="宋体" w:hAnsi="宋体" w:eastAsia="宋体" w:cs="宋体"/>
          <w:b/>
          <w:bCs/>
          <w:kern w:val="2"/>
          <w:sz w:val="21"/>
          <w:szCs w:val="21"/>
          <w:lang w:val="en-US" w:eastAsia="zh-CN" w:bidi="ar-SA"/>
        </w:rPr>
        <w:t>（一）报价要求</w:t>
      </w:r>
      <w:r>
        <w:rPr>
          <w:rFonts w:hint="eastAsia" w:ascii="宋体" w:hAnsi="宋体" w:cs="宋体"/>
          <w:b/>
          <w:bCs/>
          <w:kern w:val="2"/>
          <w:sz w:val="21"/>
          <w:szCs w:val="21"/>
          <w:lang w:val="en-US" w:eastAsia="zh-CN" w:bidi="ar-SA"/>
        </w:rPr>
        <w:t>：</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1、投标人对产品进行报价，本项目以投标人对本次招标的拟采购清单总金额作为报价评分依据。</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2、产品报价金额包含产品价格、运费、包装、通关费、保险费、税金等及为完成本合同项下购销产品及服务的全部费用。</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w:t>
      </w:r>
      <w:r>
        <w:rPr>
          <w:rFonts w:hint="eastAsia" w:ascii="宋体" w:hAnsi="宋体" w:eastAsia="宋体" w:cs="宋体"/>
          <w:b/>
          <w:bCs/>
          <w:kern w:val="2"/>
          <w:sz w:val="21"/>
          <w:szCs w:val="21"/>
          <w:lang w:val="en-US" w:eastAsia="zh-CN" w:bidi="ar-SA"/>
        </w:rPr>
        <w:t>（二）交货：</w:t>
      </w:r>
    </w:p>
    <w:p w14:paraId="0EE5234F">
      <w:pPr>
        <w:numPr>
          <w:ilvl w:val="0"/>
          <w:numId w:val="1"/>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日常需求时，采购人向供应商发出订货通知后，供应商应于一周内送达采购人指定地点，紧急情况下供应商需自接到采购人通知后24小时内送达采购人指定地点。</w:t>
      </w:r>
    </w:p>
    <w:p w14:paraId="73A5BEA5">
      <w:pPr>
        <w:numPr>
          <w:ilvl w:val="0"/>
          <w:numId w:val="0"/>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供应商需为配送办理运输和保险并承担相应费用，保证将产品按时运抵采购人指定地点，同时做货物、产品合格证、该批次货物检测报告同时送达，并配合采购人验收人员做好入库验货工作，确保实物与订单、送货单、合格证、检测报告等相符。</w:t>
      </w:r>
    </w:p>
    <w:p w14:paraId="36696890">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要冷链管理的耗材，除符合上述要求外，必须附随生产厂家至采购人指定地点的温度和湿度记录单（连续记录、不得间断），并与送货单随行，缺记录单或记录出现断链的，采购人有权拒绝验收，影响采购人使用并造成采购人、第三人损害的，供应商应赔偿因此造成的损失。有质量问题的及时调整或换货。货到验收合格后，采购人及时入库。</w:t>
      </w:r>
    </w:p>
    <w:p w14:paraId="00A5A780">
      <w:pPr>
        <w:numPr>
          <w:ilvl w:val="0"/>
          <w:numId w:val="2"/>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所有货物运抵采购人收货地点的日期为交货日期（备用耗材以采购人使用日期为交货期）。</w:t>
      </w:r>
    </w:p>
    <w:p w14:paraId="132B82E3">
      <w:pPr>
        <w:pStyle w:val="2"/>
        <w:ind w:firstLine="420" w:firstLineChars="200"/>
        <w:rPr>
          <w:rFonts w:hint="eastAsia"/>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交货期（供货期限）：自合同签订之日起一年。本项目为长期货物项目，一年期满后，采购单位可根据中标供应商履约情况确定合同期限是否延长，合同总期最长不超过24个月，合同一年一签，若采购单位对中标供应履约情况不满意的，可不续签。</w:t>
      </w:r>
    </w:p>
    <w:p w14:paraId="1145DD8D">
      <w:pPr>
        <w:ind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（三）售后服务要求：</w:t>
      </w:r>
      <w:r>
        <w:rPr>
          <w:rFonts w:hint="eastAsia" w:ascii="宋体" w:hAnsi="宋体" w:eastAsia="宋体" w:cs="宋体"/>
          <w:b/>
          <w:bCs/>
          <w:sz w:val="21"/>
          <w:szCs w:val="21"/>
        </w:rPr>
        <w:t xml:space="preserve"> </w:t>
      </w:r>
    </w:p>
    <w:p w14:paraId="63C434FF">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若在有效期内出现质量问题，投标人需按其质量保证，由投标人负责退货并承担因此而导致的经济和法律责任。对开箱时发现的破损、临近有效期产品或其它不合格包装等质量异议产品，投标人应无条件及时更换。运输途中的破损，丢失由投标人负责。投标人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b/>
          <w:bCs/>
          <w:kern w:val="2"/>
          <w:sz w:val="21"/>
          <w:szCs w:val="21"/>
          <w:lang w:val="en-US" w:eastAsia="zh-CN" w:bidi="ar-SA"/>
        </w:rPr>
        <w:t>（四）验收方式：</w:t>
      </w:r>
    </w:p>
    <w:p w14:paraId="005B2B1C">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产品运至采购人指定地点后，采购人按合同中规定的产品的品种、型号、规格、数量、质量等进行验收，并签署验收证明，采购人办理验收入库手续。</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br w:type="textWrapping"/>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 xml:space="preserve">   </w:t>
      </w:r>
      <w:r>
        <w:rPr>
          <w:rFonts w:hint="eastAsia" w:ascii="宋体" w:hAnsi="宋体" w:eastAsia="宋体" w:cs="宋体"/>
          <w:b/>
          <w:bCs/>
          <w:kern w:val="2"/>
          <w:sz w:val="21"/>
          <w:szCs w:val="21"/>
          <w:lang w:val="en-US" w:eastAsia="zh-CN" w:bidi="ar-SA"/>
        </w:rPr>
        <w:t>（</w:t>
      </w:r>
      <w:r>
        <w:rPr>
          <w:rFonts w:hint="eastAsia" w:ascii="宋体" w:hAnsi="宋体" w:cs="宋体"/>
          <w:b/>
          <w:bCs/>
          <w:kern w:val="2"/>
          <w:sz w:val="21"/>
          <w:szCs w:val="21"/>
          <w:lang w:val="en-US" w:eastAsia="zh-CN" w:bidi="ar-SA"/>
        </w:rPr>
        <w:t>五</w:t>
      </w:r>
      <w:r>
        <w:rPr>
          <w:rFonts w:hint="eastAsia" w:ascii="宋体" w:hAnsi="宋体" w:eastAsia="宋体" w:cs="宋体"/>
          <w:b/>
          <w:bCs/>
          <w:kern w:val="2"/>
          <w:sz w:val="21"/>
          <w:szCs w:val="21"/>
          <w:lang w:val="en-US" w:eastAsia="zh-CN" w:bidi="ar-SA"/>
        </w:rPr>
        <w:t>）付款方式：</w:t>
      </w:r>
    </w:p>
    <w:p w14:paraId="20B62278">
      <w:pPr>
        <w:ind w:firstLine="420" w:firstLineChars="200"/>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经验收合格，办理入库后，供应商提供发票，</w:t>
      </w:r>
      <w:r>
        <w:rPr>
          <w:rFonts w:hint="eastAsia" w:ascii="宋体" w:hAnsi="宋体" w:eastAsia="宋体" w:cs="宋体"/>
          <w:b w:val="0"/>
          <w:bCs/>
          <w:color w:val="000000"/>
          <w:kern w:val="2"/>
          <w:sz w:val="21"/>
          <w:szCs w:val="21"/>
          <w:lang w:val="en-US" w:eastAsia="zh-CN" w:bidi="ar-SA"/>
        </w:rPr>
        <w:t>采购人以银行转账的方式支付货款给乙方（未使用的存放于甲方处的备用耗材除外）。</w:t>
      </w:r>
    </w:p>
    <w:p w14:paraId="1F1116E0">
      <w:pPr>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w:t>
      </w:r>
      <w:r>
        <w:rPr>
          <w:rFonts w:hint="eastAsia" w:ascii="宋体" w:hAnsi="宋体" w:cs="宋体"/>
          <w:b/>
          <w:bCs/>
          <w:kern w:val="2"/>
          <w:sz w:val="21"/>
          <w:szCs w:val="21"/>
          <w:lang w:val="en-US" w:eastAsia="zh-CN" w:bidi="ar-SA"/>
        </w:rPr>
        <w:t>六</w:t>
      </w:r>
      <w:r>
        <w:rPr>
          <w:rFonts w:hint="eastAsia" w:ascii="宋体" w:hAnsi="宋体" w:eastAsia="宋体" w:cs="宋体"/>
          <w:b/>
          <w:bCs/>
          <w:kern w:val="2"/>
          <w:sz w:val="21"/>
          <w:szCs w:val="21"/>
          <w:lang w:val="en-US" w:eastAsia="zh-CN" w:bidi="ar-SA"/>
        </w:rPr>
        <w:t>）其他要求：</w:t>
      </w:r>
    </w:p>
    <w:p w14:paraId="5C4FB195">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1、供应商所提供产品的剩余有效期应占产品保质期的三分之二以上。若在有效期内出现质量问题，需按其质量保证，由供应商负责退货并承担因此而导致的经济和法律责任。   </w:t>
      </w:r>
    </w:p>
    <w:p w14:paraId="1203D53A">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2.供应商需提供货物的备货服务，供应商同意按采购人临床需要提供一定数量的合同产品/耗材在采购人处备货（所备耗材由采购人按需使用，并按实际使用量结算），不得因供货不及时影响采购人正常医疗工作。</w:t>
      </w:r>
    </w:p>
    <w:p w14:paraId="0D73DA7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3.所有货物，必须先经采购人现场验收合格（拟在采购人处存放的货物需事先验收合格）。</w:t>
      </w:r>
    </w:p>
    <w:p w14:paraId="12823BEC">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4.供应商在申请付款前除应提供合法有效的发票和外，同时提供双方签字的送货单、验收单，否则采购人可延迟付款且不需要承担违约责任。</w:t>
      </w:r>
    </w:p>
    <w:p w14:paraId="2BA033B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5.供应商提供的全部产品均应按国家标准规定的保护措施进行包装，以防止产品在运输途中损坏或变质，确保产品安全无损坏的运抵采购人指定地点。</w:t>
      </w:r>
    </w:p>
    <w:p w14:paraId="21F1517D">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6.货物未启封前发生的破损（含包装及产品破损），由供应商负责进行更换，影响采购人使用并造成采购人、第三人损害的，同时应赔偿因此造成的损失。</w:t>
      </w:r>
    </w:p>
    <w:p w14:paraId="44880008">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7.启封后发生破损的，在分清双方责任的基础上由责任方承担相应的赔偿责任。</w:t>
      </w:r>
    </w:p>
    <w:p w14:paraId="5E27FD56">
      <w:pPr>
        <w:rPr>
          <w:rFonts w:cs="Arial" w:asciiTheme="minorEastAsia" w:hAnsiTheme="minorEastAsia" w:eastAsiaTheme="minorEastAsia"/>
          <w:b/>
          <w:color w:val="000000"/>
          <w:sz w:val="32"/>
          <w:szCs w:val="32"/>
          <w:highlight w:val="none"/>
        </w:rPr>
      </w:pPr>
      <w:r>
        <w:rPr>
          <w:rFonts w:hint="eastAsia" w:ascii="宋体" w:hAnsi="宋体" w:eastAsia="宋体" w:cs="宋体"/>
          <w:sz w:val="21"/>
          <w:szCs w:val="21"/>
          <w:lang w:val="en-US" w:eastAsia="zh-CN"/>
        </w:rPr>
        <w:t>8.运输途中的破损，丢失由供应商负责。供应商保证按时将货物运送到采购人指定地点，包括紧急调用。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9.知识产权:供应商须保证采购人在使用该货物时，不会受到第三方关于侵犯专利权、商标权等的指控。如任何第三方提出侵权指控，供应商须与第三方交涉并承担可能发生的一切费用。投标人在使用中因知识产权问题遭收索赔导致损失的，供应商应赔偿采购人的损失（包括但不限于侵权事件造成的赔偿费损失、侵权事件处理及追偿程序所需支出的鉴定费、调查取证费、保全费、诉讼费、仲裁费、律师费、差旅费、人员误工费等），同时供应商仍应按上述损失的2倍承担违约责任。</w:t>
      </w:r>
      <w:r>
        <w:rPr>
          <w:rFonts w:hint="eastAsia" w:ascii="宋体" w:hAnsi="宋体" w:eastAsia="宋体" w:cs="宋体"/>
          <w:sz w:val="21"/>
          <w:szCs w:val="21"/>
          <w:lang w:val="en-US" w:eastAsia="zh-CN"/>
        </w:rPr>
        <w:br w:type="textWrapping"/>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10.</w:t>
      </w:r>
      <w:r>
        <w:rPr>
          <w:rFonts w:hint="eastAsia" w:ascii="宋体" w:hAnsi="宋体" w:eastAsia="宋体" w:cs="宋体"/>
          <w:b/>
          <w:bCs/>
          <w:color w:val="FF0000"/>
          <w:sz w:val="21"/>
          <w:szCs w:val="21"/>
          <w:highlight w:val="none"/>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深圳市宝安区石岩人民医院2026年第12期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项目编号:SYYYZBCG2026-12</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2"/>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68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719"/>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719"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71"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34"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61EBFD9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71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4"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719"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宋体"/>
                <w:szCs w:val="21"/>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商务及服务要求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435515295"/>
      <w:bookmarkStart w:id="8" w:name="_Toc24650"/>
      <w:bookmarkStart w:id="9" w:name="_Toc435514855"/>
      <w:bookmarkStart w:id="10"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深圳市宝安区石岩人民医院2026年第12期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项目编号:SYYYZBCG2026-12</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227"/>
        <w:gridCol w:w="2005"/>
        <w:gridCol w:w="805"/>
        <w:gridCol w:w="1213"/>
        <w:gridCol w:w="709"/>
        <w:gridCol w:w="696"/>
        <w:gridCol w:w="1104"/>
        <w:gridCol w:w="969"/>
        <w:gridCol w:w="969"/>
      </w:tblGrid>
      <w:tr w14:paraId="01A1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6"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27"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2005"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lang w:val="en-US" w:eastAsia="zh-CN"/>
              </w:rPr>
            </w:pPr>
            <w:r>
              <w:rPr>
                <w:rFonts w:hint="default" w:asciiTheme="minorEastAsia" w:hAnsiTheme="minorEastAsia" w:eastAsiaTheme="minorEastAsia"/>
                <w:szCs w:val="21"/>
              </w:rPr>
              <w:t>投标产品注册名称</w:t>
            </w:r>
            <w:r>
              <w:rPr>
                <w:rFonts w:hint="eastAsia" w:asciiTheme="minorEastAsia" w:hAnsiTheme="minorEastAsia" w:eastAsiaTheme="minorEastAsia"/>
                <w:szCs w:val="21"/>
                <w:lang w:val="en-US" w:eastAsia="zh-CN"/>
              </w:rPr>
              <w:t>或（备案名称）</w:t>
            </w:r>
          </w:p>
        </w:tc>
        <w:tc>
          <w:tcPr>
            <w:tcW w:w="805"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213"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709"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696"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0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969"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c>
          <w:tcPr>
            <w:tcW w:w="969" w:type="dxa"/>
            <w:shd w:val="clear" w:color="auto" w:fill="auto"/>
            <w:vAlign w:val="center"/>
          </w:tcPr>
          <w:p w14:paraId="77F81266">
            <w:pPr>
              <w:keepNext w:val="0"/>
              <w:keepLines w:val="0"/>
              <w:suppressLineNumbers w:val="0"/>
              <w:spacing w:before="0" w:beforeAutospacing="0" w:after="0" w:afterAutospacing="0" w:line="360" w:lineRule="auto"/>
              <w:ind w:left="0" w:leftChars="0" w:right="0" w:rightChars="0"/>
              <w:jc w:val="center"/>
              <w:rPr>
                <w:rFonts w:hint="default" w:cs="Times New Roman"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color w:val="000000"/>
                <w:kern w:val="0"/>
                <w:szCs w:val="21"/>
                <w:lang w:val="en-US" w:eastAsia="zh-CN"/>
              </w:rPr>
              <w:t>总</w:t>
            </w:r>
            <w:r>
              <w:rPr>
                <w:rFonts w:hint="default" w:cs="Arial" w:asciiTheme="minorEastAsia" w:hAnsiTheme="minorEastAsia" w:eastAsiaTheme="minorEastAsia"/>
                <w:color w:val="000000"/>
                <w:kern w:val="0"/>
                <w:szCs w:val="21"/>
              </w:rPr>
              <w:t>价(元)</w:t>
            </w:r>
          </w:p>
        </w:tc>
      </w:tr>
      <w:tr w14:paraId="3C9A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6" w:type="dxa"/>
            <w:vAlign w:val="center"/>
          </w:tcPr>
          <w:p w14:paraId="2133AE5F">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1227"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2005" w:type="dxa"/>
            <w:vAlign w:val="center"/>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05"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13" w:type="dxa"/>
            <w:vAlign w:val="center"/>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696"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0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157D63F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267A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6" w:type="dxa"/>
            <w:vAlign w:val="center"/>
          </w:tcPr>
          <w:p w14:paraId="000092B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szCs w:val="21"/>
                <w:lang w:val="en-US" w:eastAsia="zh-CN"/>
              </w:rPr>
            </w:pPr>
            <w:r>
              <w:rPr>
                <w:rFonts w:hint="eastAsia" w:cs="Arial" w:asciiTheme="minorEastAsia" w:hAnsiTheme="minorEastAsia" w:eastAsiaTheme="minorEastAsia"/>
                <w:color w:val="000000"/>
                <w:kern w:val="0"/>
                <w:sz w:val="18"/>
                <w:szCs w:val="18"/>
                <w:lang w:eastAsia="zh-CN"/>
              </w:rPr>
              <w:t>…</w:t>
            </w:r>
          </w:p>
        </w:tc>
        <w:tc>
          <w:tcPr>
            <w:tcW w:w="1227"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2005" w:type="dxa"/>
            <w:vAlign w:val="center"/>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05"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13" w:type="dxa"/>
            <w:vAlign w:val="center"/>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696"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0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969" w:type="dxa"/>
            <w:vAlign w:val="center"/>
          </w:tcPr>
          <w:p w14:paraId="0272B62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52D87AFA">
      <w:pPr>
        <w:widowControl/>
        <w:spacing w:line="360" w:lineRule="atLeast"/>
        <w:ind w:firstLine="240" w:firstLineChars="100"/>
        <w:jc w:val="left"/>
        <w:rPr>
          <w:rFonts w:cs="Arial" w:asciiTheme="minorEastAsia" w:hAnsiTheme="minorEastAsia" w:eastAsiaTheme="minorEastAsia"/>
          <w:b/>
          <w:color w:val="000000"/>
          <w:sz w:val="24"/>
        </w:rPr>
      </w:pPr>
    </w:p>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046B2659">
      <w:pPr>
        <w:widowControl/>
        <w:spacing w:line="360" w:lineRule="atLeast"/>
        <w:ind w:firstLine="300" w:firstLineChars="100"/>
        <w:jc w:val="left"/>
        <w:rPr>
          <w:rFonts w:asciiTheme="minorEastAsia" w:hAnsiTheme="minorEastAsia" w:eastAsiaTheme="minorEastAsia"/>
          <w:sz w:val="36"/>
          <w:szCs w:val="36"/>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color w:val="FF0000"/>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FF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FF0000"/>
          <w:kern w:val="0"/>
          <w:szCs w:val="21"/>
        </w:rPr>
        <w:t>｡</w:t>
      </w:r>
    </w:p>
    <w:p w14:paraId="3C901DB2">
      <w:pPr>
        <w:tabs>
          <w:tab w:val="left" w:pos="425"/>
        </w:tabs>
        <w:ind w:firstLine="420" w:firstLineChars="200"/>
        <w:rPr>
          <w:rFonts w:hint="eastAsia" w:ascii="宋体" w:hAnsi="宋体" w:eastAsia="宋体" w:cs="宋体"/>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7FFAEFF" w:usb1="F9DFFFFF" w:usb2="0000007F" w:usb3="00000000" w:csb0="203F01FF" w:csb1="DFFF0000"/>
  </w:font>
  <w:font w:name="FZLTHJW--GB1-0">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066EBB"/>
    <w:multiLevelType w:val="singleLevel"/>
    <w:tmpl w:val="B4066EBB"/>
    <w:lvl w:ilvl="0" w:tentative="0">
      <w:start w:val="1"/>
      <w:numFmt w:val="decimal"/>
      <w:lvlText w:val="%1."/>
      <w:lvlJc w:val="left"/>
      <w:pPr>
        <w:tabs>
          <w:tab w:val="left" w:pos="312"/>
        </w:tabs>
      </w:p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6DE6D64D"/>
    <w:multiLevelType w:val="singleLevel"/>
    <w:tmpl w:val="6DE6D64D"/>
    <w:lvl w:ilvl="0" w:tentative="0">
      <w:start w:val="3"/>
      <w:numFmt w:val="decimal"/>
      <w:lvlText w:val="%1."/>
      <w:lvlJc w:val="left"/>
      <w:pPr>
        <w:tabs>
          <w:tab w:val="left" w:pos="312"/>
        </w:tabs>
      </w:pPr>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A226EC"/>
    <w:rsid w:val="03CE5557"/>
    <w:rsid w:val="04147B6B"/>
    <w:rsid w:val="04410970"/>
    <w:rsid w:val="0458764A"/>
    <w:rsid w:val="045E78EA"/>
    <w:rsid w:val="046D23D6"/>
    <w:rsid w:val="050E1A51"/>
    <w:rsid w:val="053900D9"/>
    <w:rsid w:val="05663875"/>
    <w:rsid w:val="058003D3"/>
    <w:rsid w:val="0585243C"/>
    <w:rsid w:val="05A70ABC"/>
    <w:rsid w:val="05A916FD"/>
    <w:rsid w:val="05C85AC2"/>
    <w:rsid w:val="05EA06F1"/>
    <w:rsid w:val="06311C08"/>
    <w:rsid w:val="063D2F0C"/>
    <w:rsid w:val="064F28F7"/>
    <w:rsid w:val="06540256"/>
    <w:rsid w:val="06604E4C"/>
    <w:rsid w:val="06606E3A"/>
    <w:rsid w:val="06826A2E"/>
    <w:rsid w:val="06947DDF"/>
    <w:rsid w:val="0695239C"/>
    <w:rsid w:val="06A4344F"/>
    <w:rsid w:val="07235607"/>
    <w:rsid w:val="07750484"/>
    <w:rsid w:val="07CB416F"/>
    <w:rsid w:val="07D50310"/>
    <w:rsid w:val="08277A83"/>
    <w:rsid w:val="084148CC"/>
    <w:rsid w:val="08634ECD"/>
    <w:rsid w:val="08874912"/>
    <w:rsid w:val="08A6467E"/>
    <w:rsid w:val="08B43E5E"/>
    <w:rsid w:val="08CB0CA3"/>
    <w:rsid w:val="08DF3D52"/>
    <w:rsid w:val="094009C2"/>
    <w:rsid w:val="09435467"/>
    <w:rsid w:val="09975CDD"/>
    <w:rsid w:val="09A03EDE"/>
    <w:rsid w:val="09A12E0A"/>
    <w:rsid w:val="09B72B26"/>
    <w:rsid w:val="09DB5757"/>
    <w:rsid w:val="0A2B08CC"/>
    <w:rsid w:val="0A454A85"/>
    <w:rsid w:val="0ACF69F6"/>
    <w:rsid w:val="0AD42A6C"/>
    <w:rsid w:val="0ADB6776"/>
    <w:rsid w:val="0B6E5B51"/>
    <w:rsid w:val="0BF4035C"/>
    <w:rsid w:val="0C026B10"/>
    <w:rsid w:val="0C61289A"/>
    <w:rsid w:val="0C95623A"/>
    <w:rsid w:val="0D0137BF"/>
    <w:rsid w:val="0D476125"/>
    <w:rsid w:val="0D607708"/>
    <w:rsid w:val="0DA7141F"/>
    <w:rsid w:val="0DAD030B"/>
    <w:rsid w:val="0DB87CD2"/>
    <w:rsid w:val="0DFB52FC"/>
    <w:rsid w:val="0E272DDC"/>
    <w:rsid w:val="0E2B440C"/>
    <w:rsid w:val="0E415753"/>
    <w:rsid w:val="0E572FD9"/>
    <w:rsid w:val="0E6E1608"/>
    <w:rsid w:val="0EEF2A8D"/>
    <w:rsid w:val="0F065696"/>
    <w:rsid w:val="0F0C2F2C"/>
    <w:rsid w:val="0F293116"/>
    <w:rsid w:val="0F467170"/>
    <w:rsid w:val="0F7B0BBA"/>
    <w:rsid w:val="0FC916F5"/>
    <w:rsid w:val="0FCE0F47"/>
    <w:rsid w:val="0FE12519"/>
    <w:rsid w:val="0FE26120"/>
    <w:rsid w:val="0FFB6426"/>
    <w:rsid w:val="10135DCB"/>
    <w:rsid w:val="10304395"/>
    <w:rsid w:val="108C7EE0"/>
    <w:rsid w:val="10B25721"/>
    <w:rsid w:val="10D34359"/>
    <w:rsid w:val="11107554"/>
    <w:rsid w:val="11537214"/>
    <w:rsid w:val="11A304BB"/>
    <w:rsid w:val="11F01C84"/>
    <w:rsid w:val="120078F0"/>
    <w:rsid w:val="12097B18"/>
    <w:rsid w:val="123B1F6E"/>
    <w:rsid w:val="12495F8E"/>
    <w:rsid w:val="12594A2B"/>
    <w:rsid w:val="12655DAA"/>
    <w:rsid w:val="12752FAF"/>
    <w:rsid w:val="12C53CBF"/>
    <w:rsid w:val="12FA4D3D"/>
    <w:rsid w:val="13111E52"/>
    <w:rsid w:val="13324923"/>
    <w:rsid w:val="13640A4D"/>
    <w:rsid w:val="137C08A6"/>
    <w:rsid w:val="138342C3"/>
    <w:rsid w:val="13873A19"/>
    <w:rsid w:val="13A60619"/>
    <w:rsid w:val="14201F34"/>
    <w:rsid w:val="1469095F"/>
    <w:rsid w:val="15022918"/>
    <w:rsid w:val="151C63E2"/>
    <w:rsid w:val="15271495"/>
    <w:rsid w:val="158B6386"/>
    <w:rsid w:val="15941E22"/>
    <w:rsid w:val="15A3227A"/>
    <w:rsid w:val="15D12470"/>
    <w:rsid w:val="15E52C78"/>
    <w:rsid w:val="161D2575"/>
    <w:rsid w:val="167F3E50"/>
    <w:rsid w:val="16B37F65"/>
    <w:rsid w:val="16BA2357"/>
    <w:rsid w:val="16CD72D2"/>
    <w:rsid w:val="16D72D03"/>
    <w:rsid w:val="16F4534A"/>
    <w:rsid w:val="17193B6F"/>
    <w:rsid w:val="171E4558"/>
    <w:rsid w:val="172C618F"/>
    <w:rsid w:val="17424826"/>
    <w:rsid w:val="174B2FAF"/>
    <w:rsid w:val="1791646E"/>
    <w:rsid w:val="17CF144B"/>
    <w:rsid w:val="17D6136C"/>
    <w:rsid w:val="17E943D9"/>
    <w:rsid w:val="18B828C6"/>
    <w:rsid w:val="18DB3095"/>
    <w:rsid w:val="195C4BF4"/>
    <w:rsid w:val="197C0007"/>
    <w:rsid w:val="197F4EC9"/>
    <w:rsid w:val="198B7AEE"/>
    <w:rsid w:val="19B749E9"/>
    <w:rsid w:val="1A295829"/>
    <w:rsid w:val="1A451613"/>
    <w:rsid w:val="1A7B35E5"/>
    <w:rsid w:val="1A943556"/>
    <w:rsid w:val="1AAB623F"/>
    <w:rsid w:val="1AB258A4"/>
    <w:rsid w:val="1AC008F7"/>
    <w:rsid w:val="1ADF133B"/>
    <w:rsid w:val="1AE810AB"/>
    <w:rsid w:val="1B5D4C6F"/>
    <w:rsid w:val="1BA86430"/>
    <w:rsid w:val="1BBE3026"/>
    <w:rsid w:val="1BE61E30"/>
    <w:rsid w:val="1C3D2105"/>
    <w:rsid w:val="1C4A1E12"/>
    <w:rsid w:val="1C765FA5"/>
    <w:rsid w:val="1C813548"/>
    <w:rsid w:val="1C8F27F1"/>
    <w:rsid w:val="1CA36361"/>
    <w:rsid w:val="1CF82E88"/>
    <w:rsid w:val="1DC454C9"/>
    <w:rsid w:val="1DE57900"/>
    <w:rsid w:val="1DF01A8F"/>
    <w:rsid w:val="1E105B1F"/>
    <w:rsid w:val="1EBA1E08"/>
    <w:rsid w:val="1ED701A5"/>
    <w:rsid w:val="1EDD501A"/>
    <w:rsid w:val="1EE96648"/>
    <w:rsid w:val="1F277B72"/>
    <w:rsid w:val="1F6C5D0D"/>
    <w:rsid w:val="1F884DA0"/>
    <w:rsid w:val="1F951999"/>
    <w:rsid w:val="1FB262C1"/>
    <w:rsid w:val="1FEC3EF0"/>
    <w:rsid w:val="1FF27875"/>
    <w:rsid w:val="20005D65"/>
    <w:rsid w:val="20142AD8"/>
    <w:rsid w:val="20254EDC"/>
    <w:rsid w:val="2055466D"/>
    <w:rsid w:val="2058454C"/>
    <w:rsid w:val="206E6027"/>
    <w:rsid w:val="209D4C41"/>
    <w:rsid w:val="20AA2093"/>
    <w:rsid w:val="211F048E"/>
    <w:rsid w:val="214C4304"/>
    <w:rsid w:val="21A217E8"/>
    <w:rsid w:val="21A41CD4"/>
    <w:rsid w:val="21AD2898"/>
    <w:rsid w:val="21B7404D"/>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797F62"/>
    <w:rsid w:val="258204E4"/>
    <w:rsid w:val="263C68E5"/>
    <w:rsid w:val="26400EBA"/>
    <w:rsid w:val="2650148C"/>
    <w:rsid w:val="26847AD3"/>
    <w:rsid w:val="26DF58EA"/>
    <w:rsid w:val="26E86FA4"/>
    <w:rsid w:val="26F369E1"/>
    <w:rsid w:val="27266C81"/>
    <w:rsid w:val="272A0284"/>
    <w:rsid w:val="275D3A0A"/>
    <w:rsid w:val="278A7B32"/>
    <w:rsid w:val="27D26266"/>
    <w:rsid w:val="27DA025D"/>
    <w:rsid w:val="28011B74"/>
    <w:rsid w:val="2861644F"/>
    <w:rsid w:val="286245F5"/>
    <w:rsid w:val="28683667"/>
    <w:rsid w:val="286E6127"/>
    <w:rsid w:val="28787037"/>
    <w:rsid w:val="287D074A"/>
    <w:rsid w:val="28832A7D"/>
    <w:rsid w:val="28B75145"/>
    <w:rsid w:val="28F76ACD"/>
    <w:rsid w:val="29614CAB"/>
    <w:rsid w:val="2978138E"/>
    <w:rsid w:val="29835E2E"/>
    <w:rsid w:val="29B02846"/>
    <w:rsid w:val="29DE0C9C"/>
    <w:rsid w:val="29EE0BED"/>
    <w:rsid w:val="29FE6F59"/>
    <w:rsid w:val="2A5F682C"/>
    <w:rsid w:val="2B1616AD"/>
    <w:rsid w:val="2B675D67"/>
    <w:rsid w:val="2B753823"/>
    <w:rsid w:val="2B903A3A"/>
    <w:rsid w:val="2BB92785"/>
    <w:rsid w:val="2BE11EED"/>
    <w:rsid w:val="2BE47A1F"/>
    <w:rsid w:val="2BEA5A48"/>
    <w:rsid w:val="2C035F1F"/>
    <w:rsid w:val="2C1F6752"/>
    <w:rsid w:val="2C3342E6"/>
    <w:rsid w:val="2C3B319A"/>
    <w:rsid w:val="2C6234F2"/>
    <w:rsid w:val="2C707634"/>
    <w:rsid w:val="2CCC7151"/>
    <w:rsid w:val="2CD07D87"/>
    <w:rsid w:val="2CD6118A"/>
    <w:rsid w:val="2CF008E7"/>
    <w:rsid w:val="2D03418D"/>
    <w:rsid w:val="2D216D06"/>
    <w:rsid w:val="2D5568C4"/>
    <w:rsid w:val="2D5C355C"/>
    <w:rsid w:val="2D7059A5"/>
    <w:rsid w:val="2DB33DE8"/>
    <w:rsid w:val="2DBB1C5C"/>
    <w:rsid w:val="2DE85EFD"/>
    <w:rsid w:val="2DE97EEE"/>
    <w:rsid w:val="2E3576D7"/>
    <w:rsid w:val="2E40760B"/>
    <w:rsid w:val="2E6356A7"/>
    <w:rsid w:val="2EA1520D"/>
    <w:rsid w:val="2F2D07B2"/>
    <w:rsid w:val="2F36293F"/>
    <w:rsid w:val="2F600347"/>
    <w:rsid w:val="2F7A5790"/>
    <w:rsid w:val="2F834F89"/>
    <w:rsid w:val="2F9B5244"/>
    <w:rsid w:val="2FA02C29"/>
    <w:rsid w:val="2FC54455"/>
    <w:rsid w:val="30110A49"/>
    <w:rsid w:val="304235BD"/>
    <w:rsid w:val="307579EC"/>
    <w:rsid w:val="30EC75C0"/>
    <w:rsid w:val="30F30B8C"/>
    <w:rsid w:val="311F45E1"/>
    <w:rsid w:val="314074A8"/>
    <w:rsid w:val="314550AB"/>
    <w:rsid w:val="31600B93"/>
    <w:rsid w:val="31B42A02"/>
    <w:rsid w:val="321761DD"/>
    <w:rsid w:val="324A2A66"/>
    <w:rsid w:val="3273368E"/>
    <w:rsid w:val="32A035D1"/>
    <w:rsid w:val="32D2354E"/>
    <w:rsid w:val="32D32385"/>
    <w:rsid w:val="33092F71"/>
    <w:rsid w:val="337F4D09"/>
    <w:rsid w:val="33BC7EC4"/>
    <w:rsid w:val="33E10ACB"/>
    <w:rsid w:val="34BA1016"/>
    <w:rsid w:val="34C409E9"/>
    <w:rsid w:val="352173FD"/>
    <w:rsid w:val="352F4FEE"/>
    <w:rsid w:val="356E1DA3"/>
    <w:rsid w:val="35A74A00"/>
    <w:rsid w:val="35CC0D27"/>
    <w:rsid w:val="35E90F65"/>
    <w:rsid w:val="35F52429"/>
    <w:rsid w:val="36064F2B"/>
    <w:rsid w:val="36117B51"/>
    <w:rsid w:val="36282051"/>
    <w:rsid w:val="36490B63"/>
    <w:rsid w:val="366B6DD7"/>
    <w:rsid w:val="367902B5"/>
    <w:rsid w:val="367D5F75"/>
    <w:rsid w:val="36DF3C32"/>
    <w:rsid w:val="37B80232"/>
    <w:rsid w:val="37EF5645"/>
    <w:rsid w:val="384E323D"/>
    <w:rsid w:val="388574E5"/>
    <w:rsid w:val="388E2006"/>
    <w:rsid w:val="38CD48A4"/>
    <w:rsid w:val="391705BD"/>
    <w:rsid w:val="392419CF"/>
    <w:rsid w:val="394413FB"/>
    <w:rsid w:val="397658F0"/>
    <w:rsid w:val="39800EB5"/>
    <w:rsid w:val="398203D3"/>
    <w:rsid w:val="399F2BC2"/>
    <w:rsid w:val="39C67CBC"/>
    <w:rsid w:val="39D23390"/>
    <w:rsid w:val="39D435F1"/>
    <w:rsid w:val="3A015D92"/>
    <w:rsid w:val="3A676BB4"/>
    <w:rsid w:val="3AB818AA"/>
    <w:rsid w:val="3AC206D5"/>
    <w:rsid w:val="3B220635"/>
    <w:rsid w:val="3B3A1DA3"/>
    <w:rsid w:val="3B3D42BE"/>
    <w:rsid w:val="3B753098"/>
    <w:rsid w:val="3B8713C1"/>
    <w:rsid w:val="3BCA412D"/>
    <w:rsid w:val="3C4A6A2B"/>
    <w:rsid w:val="3C650E53"/>
    <w:rsid w:val="3C680688"/>
    <w:rsid w:val="3C757B77"/>
    <w:rsid w:val="3D121CF5"/>
    <w:rsid w:val="3DAC5CA6"/>
    <w:rsid w:val="3DB50E5B"/>
    <w:rsid w:val="3DBC024A"/>
    <w:rsid w:val="3DC456E6"/>
    <w:rsid w:val="3DFA1540"/>
    <w:rsid w:val="3E1C3315"/>
    <w:rsid w:val="3E247A94"/>
    <w:rsid w:val="3E2D18ED"/>
    <w:rsid w:val="3E723E2B"/>
    <w:rsid w:val="3E7B7697"/>
    <w:rsid w:val="3ED23E32"/>
    <w:rsid w:val="3F1955BD"/>
    <w:rsid w:val="3F6260FB"/>
    <w:rsid w:val="3FA41E8B"/>
    <w:rsid w:val="3FE82935"/>
    <w:rsid w:val="3FF8211E"/>
    <w:rsid w:val="3FFB33B2"/>
    <w:rsid w:val="400511F4"/>
    <w:rsid w:val="401D2DFC"/>
    <w:rsid w:val="402715B4"/>
    <w:rsid w:val="403E3527"/>
    <w:rsid w:val="404F3622"/>
    <w:rsid w:val="4071181D"/>
    <w:rsid w:val="40CA3130"/>
    <w:rsid w:val="410F655E"/>
    <w:rsid w:val="411A6C40"/>
    <w:rsid w:val="41673E54"/>
    <w:rsid w:val="416D2F7D"/>
    <w:rsid w:val="41A44BEA"/>
    <w:rsid w:val="41BA25F5"/>
    <w:rsid w:val="41D97346"/>
    <w:rsid w:val="41E060B7"/>
    <w:rsid w:val="41EE25BB"/>
    <w:rsid w:val="422E7B30"/>
    <w:rsid w:val="4281305B"/>
    <w:rsid w:val="429409BF"/>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5F75F2C"/>
    <w:rsid w:val="46026FB0"/>
    <w:rsid w:val="46297974"/>
    <w:rsid w:val="466B0DF4"/>
    <w:rsid w:val="46A264BD"/>
    <w:rsid w:val="46C93BCD"/>
    <w:rsid w:val="46F221FE"/>
    <w:rsid w:val="47D75D20"/>
    <w:rsid w:val="47D91706"/>
    <w:rsid w:val="47FA2D2E"/>
    <w:rsid w:val="48132128"/>
    <w:rsid w:val="4876582E"/>
    <w:rsid w:val="488E0DCA"/>
    <w:rsid w:val="48DF33D4"/>
    <w:rsid w:val="49222B01"/>
    <w:rsid w:val="49682E11"/>
    <w:rsid w:val="49744031"/>
    <w:rsid w:val="49D3002D"/>
    <w:rsid w:val="4A012B81"/>
    <w:rsid w:val="4A361F60"/>
    <w:rsid w:val="4A48091A"/>
    <w:rsid w:val="4A842484"/>
    <w:rsid w:val="4AAE19D8"/>
    <w:rsid w:val="4AB56303"/>
    <w:rsid w:val="4AD14F9E"/>
    <w:rsid w:val="4AE253FD"/>
    <w:rsid w:val="4B0C247A"/>
    <w:rsid w:val="4B547FB0"/>
    <w:rsid w:val="4B783852"/>
    <w:rsid w:val="4BC62629"/>
    <w:rsid w:val="4BE63637"/>
    <w:rsid w:val="4C0A53D5"/>
    <w:rsid w:val="4C3C4C39"/>
    <w:rsid w:val="4C432784"/>
    <w:rsid w:val="4C664853"/>
    <w:rsid w:val="4CB311FE"/>
    <w:rsid w:val="4CE60A20"/>
    <w:rsid w:val="4D0A1CC7"/>
    <w:rsid w:val="4D3A3304"/>
    <w:rsid w:val="4D6C00E7"/>
    <w:rsid w:val="4D6C0AE1"/>
    <w:rsid w:val="4DD21613"/>
    <w:rsid w:val="4DE2449F"/>
    <w:rsid w:val="4E2054D7"/>
    <w:rsid w:val="4E212877"/>
    <w:rsid w:val="4E274B68"/>
    <w:rsid w:val="4E394F2A"/>
    <w:rsid w:val="4E4F1146"/>
    <w:rsid w:val="4E5C1022"/>
    <w:rsid w:val="4ED51CE3"/>
    <w:rsid w:val="4F4A14E2"/>
    <w:rsid w:val="4F4E4E0F"/>
    <w:rsid w:val="4F5435A5"/>
    <w:rsid w:val="4F7F0B09"/>
    <w:rsid w:val="4FA87C2D"/>
    <w:rsid w:val="4FF80594"/>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095C1D"/>
    <w:rsid w:val="5333015A"/>
    <w:rsid w:val="537C7D09"/>
    <w:rsid w:val="538325A7"/>
    <w:rsid w:val="53B51712"/>
    <w:rsid w:val="53B54930"/>
    <w:rsid w:val="53CE3177"/>
    <w:rsid w:val="53F87A3F"/>
    <w:rsid w:val="5409540B"/>
    <w:rsid w:val="548A7C35"/>
    <w:rsid w:val="54A36C24"/>
    <w:rsid w:val="54BA31B3"/>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C8623C"/>
    <w:rsid w:val="58EB214D"/>
    <w:rsid w:val="59144BD1"/>
    <w:rsid w:val="59363211"/>
    <w:rsid w:val="59606088"/>
    <w:rsid w:val="59D9502B"/>
    <w:rsid w:val="5A1F5B49"/>
    <w:rsid w:val="5A26385E"/>
    <w:rsid w:val="5A952A70"/>
    <w:rsid w:val="5AAF3568"/>
    <w:rsid w:val="5B5C4C1C"/>
    <w:rsid w:val="5B6156CC"/>
    <w:rsid w:val="5B8A4A8F"/>
    <w:rsid w:val="5BC2434E"/>
    <w:rsid w:val="5C12034F"/>
    <w:rsid w:val="5C1F1FD5"/>
    <w:rsid w:val="5C735EB5"/>
    <w:rsid w:val="5C834BA6"/>
    <w:rsid w:val="5C991000"/>
    <w:rsid w:val="5CBC47AD"/>
    <w:rsid w:val="5CE32F49"/>
    <w:rsid w:val="5CE458ED"/>
    <w:rsid w:val="5D0B04AC"/>
    <w:rsid w:val="5D445AA3"/>
    <w:rsid w:val="5D4C58A3"/>
    <w:rsid w:val="5D620393"/>
    <w:rsid w:val="5D873829"/>
    <w:rsid w:val="5D88386E"/>
    <w:rsid w:val="5DB22597"/>
    <w:rsid w:val="5E106CF5"/>
    <w:rsid w:val="5E4F7594"/>
    <w:rsid w:val="5E651423"/>
    <w:rsid w:val="5E943229"/>
    <w:rsid w:val="5EBA3E20"/>
    <w:rsid w:val="5ED35A81"/>
    <w:rsid w:val="5F1D0AEB"/>
    <w:rsid w:val="5F5D0FE7"/>
    <w:rsid w:val="5F8A33DA"/>
    <w:rsid w:val="5FA43909"/>
    <w:rsid w:val="5FA83F53"/>
    <w:rsid w:val="5FB174C5"/>
    <w:rsid w:val="601E4304"/>
    <w:rsid w:val="602844BB"/>
    <w:rsid w:val="604A30CD"/>
    <w:rsid w:val="606469A1"/>
    <w:rsid w:val="606E7AE8"/>
    <w:rsid w:val="606F170E"/>
    <w:rsid w:val="60C97836"/>
    <w:rsid w:val="60CE57AE"/>
    <w:rsid w:val="60EB0FF0"/>
    <w:rsid w:val="6101665F"/>
    <w:rsid w:val="616D02E8"/>
    <w:rsid w:val="619024AA"/>
    <w:rsid w:val="61A74EFB"/>
    <w:rsid w:val="61AF0925"/>
    <w:rsid w:val="61C30C5E"/>
    <w:rsid w:val="61F734FF"/>
    <w:rsid w:val="61F74869"/>
    <w:rsid w:val="62312A9A"/>
    <w:rsid w:val="623D12B8"/>
    <w:rsid w:val="62683FE2"/>
    <w:rsid w:val="626F0E29"/>
    <w:rsid w:val="62A10CA5"/>
    <w:rsid w:val="62A17D34"/>
    <w:rsid w:val="62F24EF0"/>
    <w:rsid w:val="62F725BD"/>
    <w:rsid w:val="63811696"/>
    <w:rsid w:val="63BF400D"/>
    <w:rsid w:val="63DC0075"/>
    <w:rsid w:val="63E15A7D"/>
    <w:rsid w:val="63FE1DB7"/>
    <w:rsid w:val="640B1629"/>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7D6AB5"/>
    <w:rsid w:val="6A9040D6"/>
    <w:rsid w:val="6AB86746"/>
    <w:rsid w:val="6ABE7379"/>
    <w:rsid w:val="6AEB1C2B"/>
    <w:rsid w:val="6B0034CD"/>
    <w:rsid w:val="6B892505"/>
    <w:rsid w:val="6B897030"/>
    <w:rsid w:val="6B8C66BD"/>
    <w:rsid w:val="6B902351"/>
    <w:rsid w:val="6BCF0494"/>
    <w:rsid w:val="6BED516E"/>
    <w:rsid w:val="6C1A0813"/>
    <w:rsid w:val="6C2D4165"/>
    <w:rsid w:val="6CA56CEA"/>
    <w:rsid w:val="6CEA04E7"/>
    <w:rsid w:val="6CF801DC"/>
    <w:rsid w:val="6D115B9C"/>
    <w:rsid w:val="6D312A7D"/>
    <w:rsid w:val="6D396CFB"/>
    <w:rsid w:val="6D3F33CC"/>
    <w:rsid w:val="6D5A3D43"/>
    <w:rsid w:val="6DD4449B"/>
    <w:rsid w:val="6DF37070"/>
    <w:rsid w:val="6E126D2A"/>
    <w:rsid w:val="6E16454E"/>
    <w:rsid w:val="6E4D05F9"/>
    <w:rsid w:val="6E530994"/>
    <w:rsid w:val="6E597B85"/>
    <w:rsid w:val="6E5E16CF"/>
    <w:rsid w:val="6E615616"/>
    <w:rsid w:val="6E7362C6"/>
    <w:rsid w:val="6E805766"/>
    <w:rsid w:val="6E8B1913"/>
    <w:rsid w:val="6EA33C27"/>
    <w:rsid w:val="6EF07817"/>
    <w:rsid w:val="6F5B05E8"/>
    <w:rsid w:val="6F6124E5"/>
    <w:rsid w:val="6F655B31"/>
    <w:rsid w:val="6F9A0300"/>
    <w:rsid w:val="6FC32659"/>
    <w:rsid w:val="6FD346A9"/>
    <w:rsid w:val="701D586D"/>
    <w:rsid w:val="70E247A7"/>
    <w:rsid w:val="7113224A"/>
    <w:rsid w:val="71157C60"/>
    <w:rsid w:val="713D69C3"/>
    <w:rsid w:val="714C1EF3"/>
    <w:rsid w:val="717779D3"/>
    <w:rsid w:val="725162FB"/>
    <w:rsid w:val="72564976"/>
    <w:rsid w:val="7257098D"/>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58C50E7"/>
    <w:rsid w:val="75A03AD3"/>
    <w:rsid w:val="762E384A"/>
    <w:rsid w:val="767C20A1"/>
    <w:rsid w:val="767C658F"/>
    <w:rsid w:val="769A0BED"/>
    <w:rsid w:val="76CC54DC"/>
    <w:rsid w:val="76EA2DC0"/>
    <w:rsid w:val="76EA6FF0"/>
    <w:rsid w:val="76EE63EF"/>
    <w:rsid w:val="779B7BAD"/>
    <w:rsid w:val="77D21617"/>
    <w:rsid w:val="77E43D15"/>
    <w:rsid w:val="781B0FC0"/>
    <w:rsid w:val="787B5C11"/>
    <w:rsid w:val="7890709E"/>
    <w:rsid w:val="78FD327E"/>
    <w:rsid w:val="791653FC"/>
    <w:rsid w:val="792E7646"/>
    <w:rsid w:val="79650AA5"/>
    <w:rsid w:val="797B0821"/>
    <w:rsid w:val="79836DA7"/>
    <w:rsid w:val="79A26C57"/>
    <w:rsid w:val="79B060D9"/>
    <w:rsid w:val="79BD0E2F"/>
    <w:rsid w:val="79BF2137"/>
    <w:rsid w:val="7A2D0AA1"/>
    <w:rsid w:val="7A3E3B4E"/>
    <w:rsid w:val="7A483EF9"/>
    <w:rsid w:val="7A7E6973"/>
    <w:rsid w:val="7AAD6DD9"/>
    <w:rsid w:val="7B282F94"/>
    <w:rsid w:val="7B355031"/>
    <w:rsid w:val="7B5B0730"/>
    <w:rsid w:val="7BAE260E"/>
    <w:rsid w:val="7BBB2EEA"/>
    <w:rsid w:val="7C1D7D4C"/>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85856"/>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tabs>
        <w:tab w:val="left" w:pos="562"/>
        <w:tab w:val="left" w:pos="3372"/>
        <w:tab w:val="left" w:pos="3653"/>
      </w:tabs>
    </w:pPr>
    <w:rPr>
      <w:sz w:val="24"/>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Indent"/>
    <w:basedOn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10"/>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6"/>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7"/>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2"/>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3"/>
    <w:qFormat/>
    <w:uiPriority w:val="9"/>
    <w:rPr>
      <w:b/>
      <w:bCs/>
      <w:kern w:val="44"/>
      <w:sz w:val="28"/>
      <w:szCs w:val="44"/>
    </w:rPr>
  </w:style>
  <w:style w:type="character" w:customStyle="1" w:styleId="68">
    <w:name w:val="fontstyle01"/>
    <w:basedOn w:val="26"/>
    <w:qFormat/>
    <w:uiPriority w:val="0"/>
    <w:rPr>
      <w:rFonts w:hint="default" w:ascii="FZLTHJW--GB1-0" w:hAnsi="FZLTHJW--GB1-0"/>
      <w:color w:val="242021"/>
      <w:sz w:val="20"/>
      <w:szCs w:val="20"/>
    </w:rPr>
  </w:style>
  <w:style w:type="paragraph" w:customStyle="1" w:styleId="69">
    <w:name w:val="默认段落字体 Para Char Char Char Char Char Char Char"/>
    <w:basedOn w:val="1"/>
    <w:qFormat/>
    <w:uiPriority w:val="0"/>
    <w:rPr>
      <w:rFonts w:ascii="Tahoma" w:hAnsi="Tahoma"/>
      <w:sz w:val="24"/>
      <w:szCs w:val="20"/>
    </w:rPr>
  </w:style>
  <w:style w:type="paragraph" w:customStyle="1" w:styleId="70">
    <w:name w:val="_Style 1"/>
    <w:basedOn w:val="1"/>
    <w:qFormat/>
    <w:uiPriority w:val="34"/>
    <w:pPr>
      <w:ind w:firstLine="420" w:firstLineChars="200"/>
    </w:pPr>
  </w:style>
  <w:style w:type="paragraph" w:customStyle="1" w:styleId="71">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8943</Words>
  <Characters>9561</Characters>
  <Lines>102</Lines>
  <Paragraphs>28</Paragraphs>
  <TotalTime>3</TotalTime>
  <ScaleCrop>false</ScaleCrop>
  <LinksUpToDate>false</LinksUpToDate>
  <CharactersWithSpaces>9694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玉米卢</cp:lastModifiedBy>
  <cp:lastPrinted>2025-04-01T01:20:00Z</cp:lastPrinted>
  <dcterms:modified xsi:type="dcterms:W3CDTF">2026-06-17T09:09:37Z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19A373E5845849B0A07C71B826EA8F6D_13</vt:lpwstr>
  </property>
  <property fmtid="{D5CDD505-2E9C-101B-9397-08002B2CF9AE}" pid="4" name="KSOTemplateDocerSaveRecord">
    <vt:lpwstr>eyJoZGlkIjoiOGMxMjY3ZGYwMzIzZDA2MGM2ODA4OGJiOTg2NzRlYTciLCJ1c2VySWQiOiIyMzk1NDQ3MDMifQ==</vt:lpwstr>
  </property>
</Properties>
</file>