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深圳市宝安区人民医院</w:t>
      </w:r>
    </w:p>
    <w:p>
      <w:pPr>
        <w:widowControl/>
        <w:snapToGrid w:val="0"/>
        <w:contextualSpacing/>
        <w:jc w:val="center"/>
        <w:rPr>
          <w:rFonts w:hint="eastAsia" w:ascii="宋体" w:hAnsi="宋体" w:cs="宋体-18030"/>
          <w:b/>
          <w:bCs/>
          <w:color w:val="000000"/>
          <w:sz w:val="30"/>
          <w:szCs w:val="30"/>
        </w:rPr>
      </w:pPr>
      <w:r>
        <w:rPr>
          <w:rFonts w:ascii="宋体" w:hAnsi="宋体" w:cs="宋体-18030"/>
          <w:b/>
          <w:bCs/>
          <w:color w:val="000000"/>
          <w:sz w:val="30"/>
          <w:szCs w:val="30"/>
        </w:rPr>
        <w:t>202</w:t>
      </w:r>
      <w:r>
        <w:rPr>
          <w:rFonts w:hint="eastAsia" w:ascii="宋体" w:hAnsi="宋体" w:cs="宋体-18030"/>
          <w:b/>
          <w:bCs/>
          <w:color w:val="000000"/>
          <w:sz w:val="30"/>
          <w:szCs w:val="30"/>
        </w:rPr>
        <w:t>6</w:t>
      </w:r>
      <w:r>
        <w:rPr>
          <w:rFonts w:ascii="宋体" w:hAnsi="宋体" w:cs="宋体-18030"/>
          <w:b/>
          <w:bCs/>
          <w:color w:val="000000"/>
          <w:sz w:val="30"/>
          <w:szCs w:val="30"/>
        </w:rPr>
        <w:t>年第</w:t>
      </w:r>
      <w:r>
        <w:rPr>
          <w:rFonts w:hint="eastAsia" w:ascii="宋体" w:hAnsi="宋体" w:cs="宋体-18030"/>
          <w:b/>
          <w:bCs/>
          <w:color w:val="000000"/>
          <w:sz w:val="30"/>
          <w:szCs w:val="30"/>
          <w:lang w:val="en-US" w:eastAsia="zh-CN"/>
        </w:rPr>
        <w:t>24</w:t>
      </w:r>
      <w:r>
        <w:rPr>
          <w:rFonts w:ascii="宋体" w:hAnsi="宋体" w:cs="宋体-18030"/>
          <w:b/>
          <w:bCs/>
          <w:color w:val="000000"/>
          <w:sz w:val="30"/>
          <w:szCs w:val="30"/>
        </w:rPr>
        <w:t>期</w:t>
      </w:r>
      <w:r>
        <w:rPr>
          <w:rFonts w:hint="eastAsia" w:ascii="宋体" w:hAnsi="宋体" w:cs="宋体-18030"/>
          <w:b/>
          <w:bCs/>
          <w:color w:val="000000"/>
          <w:sz w:val="30"/>
          <w:szCs w:val="30"/>
          <w:lang w:val="en-US" w:eastAsia="zh-CN"/>
        </w:rPr>
        <w:t>数据资产服务</w:t>
      </w:r>
      <w:r>
        <w:rPr>
          <w:rFonts w:ascii="宋体" w:hAnsi="宋体" w:cs="宋体-18030"/>
          <w:b/>
          <w:bCs/>
          <w:color w:val="000000"/>
          <w:sz w:val="30"/>
          <w:szCs w:val="30"/>
        </w:rPr>
        <w:t>采购公告</w:t>
      </w:r>
    </w:p>
    <w:p>
      <w:pPr>
        <w:pStyle w:val="12"/>
        <w:snapToGrid w:val="0"/>
        <w:spacing w:line="240" w:lineRule="auto"/>
        <w:ind w:left="982" w:hanging="562"/>
        <w:contextualSpacing/>
        <w:jc w:val="center"/>
        <w:rPr>
          <w:rFonts w:hint="default" w:ascii="宋体" w:hAnsi="宋体" w:eastAsia="宋体"/>
          <w:sz w:val="28"/>
          <w:szCs w:val="28"/>
          <w:lang w:val="en-US" w:eastAsia="zh-CN"/>
        </w:rPr>
      </w:pPr>
      <w:r>
        <w:rPr>
          <w:rFonts w:hint="eastAsia" w:ascii="宋体" w:hAnsi="宋体" w:eastAsia="宋体"/>
          <w:b/>
          <w:bCs/>
          <w:sz w:val="28"/>
          <w:szCs w:val="28"/>
        </w:rPr>
        <w:t>采购编号:BYZBCG2026-</w:t>
      </w:r>
      <w:r>
        <w:rPr>
          <w:rFonts w:hint="eastAsia" w:ascii="宋体" w:hAnsi="宋体" w:eastAsia="宋体"/>
          <w:b/>
          <w:bCs/>
          <w:sz w:val="28"/>
          <w:szCs w:val="28"/>
          <w:lang w:val="en-US" w:eastAsia="zh-CN"/>
        </w:rPr>
        <w:t>24</w:t>
      </w:r>
    </w:p>
    <w:p>
      <w:pPr>
        <w:widowControl/>
        <w:ind w:left="-283" w:leftChars="-135" w:right="-456" w:rightChars="-217" w:firstLine="424" w:firstLineChars="202"/>
        <w:jc w:val="left"/>
        <w:rPr>
          <w:rFonts w:hint="eastAsia" w:ascii="宋体" w:hAnsi="宋体" w:cs="Arial"/>
          <w:color w:val="000000"/>
          <w:kern w:val="0"/>
          <w:szCs w:val="21"/>
        </w:rPr>
      </w:pPr>
      <w:r>
        <w:rPr>
          <w:rFonts w:hint="eastAsia" w:ascii="宋体" w:hAnsi="宋体" w:cs="Arial"/>
          <w:color w:val="000000"/>
          <w:kern w:val="0"/>
          <w:szCs w:val="21"/>
        </w:rPr>
        <w:t>根据国家及省市有关政策和规定，依照公开、公平、公正的原则，深圳市宝安区人民医院拟对以下项目进行院内</w:t>
      </w:r>
      <w:r>
        <w:rPr>
          <w:rFonts w:hint="eastAsia" w:ascii="宋体" w:hAnsi="宋体" w:cs="宋体-18030"/>
          <w:bCs/>
          <w:color w:val="000000"/>
          <w:szCs w:val="21"/>
        </w:rPr>
        <w:t>公开</w:t>
      </w:r>
      <w:r>
        <w:rPr>
          <w:rFonts w:hint="eastAsia" w:ascii="宋体" w:hAnsi="宋体" w:cs="Arial"/>
          <w:color w:val="000000"/>
          <w:kern w:val="0"/>
          <w:szCs w:val="21"/>
          <w:lang w:val="en-US" w:eastAsia="zh-CN"/>
        </w:rPr>
        <w:t>征集</w:t>
      </w:r>
      <w:r>
        <w:rPr>
          <w:rFonts w:hint="eastAsia" w:ascii="宋体" w:hAnsi="宋体" w:cs="Arial"/>
          <w:color w:val="000000"/>
          <w:kern w:val="0"/>
          <w:szCs w:val="21"/>
        </w:rPr>
        <w:t>采购，</w:t>
      </w:r>
      <w:r>
        <w:rPr>
          <w:rFonts w:ascii="宋体" w:hAnsi="宋体" w:cs="宋体-18030"/>
          <w:bCs/>
          <w:color w:val="000000"/>
          <w:szCs w:val="21"/>
        </w:rPr>
        <w:t>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r>
        <w:rPr>
          <w:rFonts w:hint="eastAsia" w:ascii="宋体" w:hAnsi="宋体" w:cs="Arial"/>
          <w:color w:val="000000"/>
          <w:kern w:val="0"/>
          <w:szCs w:val="21"/>
        </w:rPr>
        <w:t xml:space="preserve"> </w:t>
      </w:r>
    </w:p>
    <w:p>
      <w:pPr>
        <w:widowControl/>
        <w:shd w:val="clear" w:color="auto" w:fill="FFFFFF"/>
        <w:snapToGrid w:val="0"/>
        <w:ind w:firstLine="282" w:firstLineChars="134"/>
        <w:contextualSpacing/>
        <w:jc w:val="left"/>
        <w:rPr>
          <w:rFonts w:hint="eastAsia" w:ascii="宋体" w:hAnsi="宋体" w:cs="宋体-18030"/>
          <w:b/>
          <w:bCs/>
          <w:color w:val="000000"/>
          <w:szCs w:val="21"/>
        </w:rPr>
      </w:pPr>
      <w:r>
        <w:rPr>
          <w:rFonts w:ascii="宋体" w:hAnsi="宋体" w:cs="宋体-18030"/>
          <w:b/>
          <w:bCs/>
          <w:color w:val="000000"/>
          <w:szCs w:val="21"/>
        </w:rPr>
        <w:t>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22"/>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694"/>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7" w:type="dxa"/>
            <w:vAlign w:val="center"/>
          </w:tcPr>
          <w:p>
            <w:pPr>
              <w:widowControl/>
              <w:snapToGrid w:val="0"/>
              <w:ind w:leftChars="-312" w:right="-617" w:rightChars="-294" w:hanging="655" w:hangingChars="312"/>
              <w:contextualSpacing/>
              <w:jc w:val="center"/>
              <w:rPr>
                <w:rFonts w:hint="eastAsia" w:ascii="宋体" w:hAnsi="宋体" w:cs="宋体-18030"/>
                <w:b/>
                <w:bCs/>
                <w:color w:val="000000"/>
                <w:szCs w:val="21"/>
              </w:rPr>
            </w:pPr>
            <w:r>
              <w:rPr>
                <w:rFonts w:ascii="宋体" w:hAnsi="宋体" w:cs="宋体-18030"/>
                <w:bCs/>
                <w:color w:val="000000"/>
                <w:szCs w:val="21"/>
              </w:rPr>
              <w:t>项目名称</w:t>
            </w:r>
          </w:p>
        </w:tc>
        <w:tc>
          <w:tcPr>
            <w:tcW w:w="2694" w:type="dxa"/>
            <w:vAlign w:val="center"/>
          </w:tcPr>
          <w:p>
            <w:pPr>
              <w:widowControl/>
              <w:snapToGrid w:val="0"/>
              <w:ind w:leftChars="-204" w:right="-617" w:rightChars="-294" w:hanging="428" w:hangingChars="204"/>
              <w:contextualSpacing/>
              <w:jc w:val="center"/>
              <w:rPr>
                <w:rFonts w:hint="eastAsia" w:ascii="宋体" w:hAnsi="宋体" w:cs="宋体-18030"/>
                <w:b/>
                <w:bCs/>
                <w:color w:val="000000"/>
                <w:szCs w:val="21"/>
              </w:rPr>
            </w:pPr>
            <w:r>
              <w:rPr>
                <w:rFonts w:ascii="宋体" w:hAnsi="宋体" w:cs="宋体-18030"/>
                <w:bCs/>
                <w:color w:val="000000"/>
                <w:szCs w:val="21"/>
              </w:rPr>
              <w:t>使用科室</w:t>
            </w:r>
          </w:p>
        </w:tc>
        <w:tc>
          <w:tcPr>
            <w:tcW w:w="2599" w:type="dxa"/>
            <w:vAlign w:val="center"/>
          </w:tcPr>
          <w:p>
            <w:pPr>
              <w:widowControl/>
              <w:snapToGrid w:val="0"/>
              <w:ind w:right="-617" w:rightChars="-294" w:firstLine="1050" w:firstLineChars="500"/>
              <w:contextualSpacing/>
              <w:rPr>
                <w:rFonts w:hint="eastAsia" w:ascii="宋体" w:hAnsi="宋体" w:cs="宋体-18030"/>
                <w:b/>
                <w:bCs/>
                <w:color w:val="000000"/>
                <w:szCs w:val="21"/>
              </w:rPr>
            </w:pPr>
            <w:r>
              <w:rPr>
                <w:rFonts w:ascii="宋体" w:hAnsi="宋体" w:cs="宋体-18030"/>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077" w:type="dxa"/>
            <w:vAlign w:val="center"/>
          </w:tcPr>
          <w:p>
            <w:pPr>
              <w:widowControl/>
              <w:snapToGrid w:val="0"/>
              <w:ind w:leftChars="-287" w:right="-617" w:rightChars="-294" w:hanging="602" w:hangingChars="287"/>
              <w:contextualSpacing/>
              <w:jc w:val="center"/>
              <w:rPr>
                <w:rFonts w:hint="eastAsia" w:ascii="宋体" w:hAnsi="宋体" w:cs="宋体-18030"/>
                <w:color w:val="000000"/>
                <w:szCs w:val="21"/>
              </w:rPr>
            </w:pPr>
            <w:r>
              <w:rPr>
                <w:rFonts w:hint="eastAsia" w:ascii="宋体" w:hAnsi="宋体" w:cs="宋体-18030"/>
                <w:bCs/>
                <w:color w:val="000000"/>
                <w:szCs w:val="21"/>
                <w:lang w:val="en-US" w:eastAsia="zh-CN"/>
              </w:rPr>
              <w:t>数据资产服务</w:t>
            </w:r>
          </w:p>
        </w:tc>
        <w:tc>
          <w:tcPr>
            <w:tcW w:w="2694" w:type="dxa"/>
            <w:vAlign w:val="center"/>
          </w:tcPr>
          <w:p>
            <w:pPr>
              <w:widowControl/>
              <w:tabs>
                <w:tab w:val="left" w:pos="791"/>
              </w:tabs>
              <w:snapToGrid w:val="0"/>
              <w:ind w:left="-533" w:leftChars="-254" w:right="-617" w:rightChars="-294" w:firstLine="210" w:firstLineChars="100"/>
              <w:contextualSpacing/>
              <w:rPr>
                <w:rFonts w:hint="default" w:ascii="宋体" w:hAnsi="宋体" w:eastAsia="宋体" w:cs="宋体-18030"/>
                <w:color w:val="000000"/>
                <w:szCs w:val="21"/>
                <w:lang w:val="en-US" w:eastAsia="zh-CN"/>
              </w:rPr>
            </w:pPr>
            <w:r>
              <w:rPr>
                <w:rFonts w:hint="eastAsia" w:ascii="宋体" w:hAnsi="宋体" w:cs="宋体-18030"/>
                <w:color w:val="000000"/>
                <w:szCs w:val="21"/>
                <w:lang w:eastAsia="zh-CN"/>
              </w:rPr>
              <w:tab/>
            </w:r>
            <w:r>
              <w:rPr>
                <w:rFonts w:hint="eastAsia" w:ascii="宋体" w:hAnsi="宋体" w:cs="宋体-18030"/>
                <w:color w:val="000000"/>
                <w:szCs w:val="21"/>
                <w:lang w:val="en-US" w:eastAsia="zh-CN"/>
              </w:rPr>
              <w:t xml:space="preserve"> 信息中心</w:t>
            </w:r>
          </w:p>
        </w:tc>
        <w:tc>
          <w:tcPr>
            <w:tcW w:w="2599" w:type="dxa"/>
            <w:vAlign w:val="center"/>
          </w:tcPr>
          <w:p>
            <w:pPr>
              <w:widowControl/>
              <w:snapToGrid w:val="0"/>
              <w:ind w:right="-617" w:rightChars="-294" w:firstLine="210" w:firstLineChars="100"/>
              <w:contextualSpacing/>
              <w:rPr>
                <w:rFonts w:hint="eastAsia" w:ascii="宋体" w:hAnsi="宋体" w:cs="宋体-18030"/>
                <w:color w:val="000000"/>
                <w:szCs w:val="21"/>
              </w:rPr>
            </w:pPr>
            <w:r>
              <w:rPr>
                <w:rFonts w:hint="eastAsia" w:ascii="宋体" w:hAnsi="宋体" w:cs="宋体-18030"/>
                <w:bCs/>
                <w:szCs w:val="21"/>
              </w:rPr>
              <w:t>详见《用户需求书》</w:t>
            </w:r>
          </w:p>
        </w:tc>
      </w:tr>
    </w:tbl>
    <w:p>
      <w:pPr>
        <w:widowControl/>
        <w:snapToGrid w:val="0"/>
        <w:ind w:left="-283" w:leftChars="-135" w:right="-617" w:rightChars="-294" w:firstLine="426" w:firstLineChars="202"/>
        <w:contextualSpacing/>
        <w:jc w:val="left"/>
        <w:rPr>
          <w:rFonts w:hint="eastAsia" w:ascii="宋体" w:hAnsi="宋体"/>
          <w:b/>
          <w:szCs w:val="21"/>
        </w:rPr>
      </w:pPr>
      <w:r>
        <w:rPr>
          <w:rFonts w:hint="eastAsia" w:ascii="宋体" w:hAnsi="宋体" w:cs="宋体-18030"/>
          <w:b/>
          <w:bCs/>
          <w:color w:val="000000"/>
          <w:szCs w:val="21"/>
        </w:rPr>
        <w:t>二､</w:t>
      </w:r>
      <w:r>
        <w:rPr>
          <w:rFonts w:hint="eastAsia" w:ascii="宋体" w:hAnsi="宋体"/>
          <w:b/>
          <w:szCs w:val="21"/>
        </w:rPr>
        <w:t>投标人资格要求：</w:t>
      </w:r>
    </w:p>
    <w:p>
      <w:pPr>
        <w:pStyle w:val="50"/>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pPr>
        <w:pStyle w:val="50"/>
        <w:spacing w:before="0" w:after="0" w:line="240" w:lineRule="auto"/>
        <w:ind w:left="-283" w:leftChars="-135" w:right="-313" w:rightChars="-149" w:firstLine="350" w:firstLineChars="167"/>
        <w:contextualSpacing/>
        <w:rPr>
          <w:rFonts w:hint="eastAsia" w:ascii="宋体" w:hAnsi="宋体"/>
          <w:sz w:val="21"/>
          <w:szCs w:val="21"/>
        </w:rPr>
      </w:pPr>
      <w:r>
        <w:rPr>
          <w:rFonts w:hint="eastAsia" w:ascii="宋体" w:hAnsi="宋体"/>
          <w:sz w:val="21"/>
          <w:szCs w:val="21"/>
        </w:rPr>
        <w:t>2. 满足《中华人民共和国政府采购法》第二十二条第一款所列条件（在《投标履约承诺函》中作出声明）。</w:t>
      </w:r>
    </w:p>
    <w:p>
      <w:pPr>
        <w:pStyle w:val="50"/>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3. 参与本项目投标前三年内，在经营活动中没有重大违法记录。（由供应商在《投标履约承诺函》中作出声明）。</w:t>
      </w:r>
    </w:p>
    <w:p>
      <w:pPr>
        <w:pStyle w:val="50"/>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4. 参与本项目采购活动时不存在被有关部门禁止参与政府采购活动且在有效期内的情况。（由供应商在《投标履约承诺函》中作出声明）。</w:t>
      </w:r>
    </w:p>
    <w:p>
      <w:pPr>
        <w:pStyle w:val="50"/>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pPr>
        <w:pStyle w:val="50"/>
        <w:spacing w:before="0" w:after="0" w:line="240" w:lineRule="auto"/>
        <w:ind w:firstLine="140" w:firstLineChars="67"/>
        <w:contextualSpacing/>
        <w:rPr>
          <w:rFonts w:hint="eastAsia" w:ascii="宋体" w:hAnsi="宋体"/>
          <w:sz w:val="21"/>
          <w:szCs w:val="21"/>
        </w:rPr>
      </w:pPr>
      <w:r>
        <w:rPr>
          <w:rFonts w:hint="eastAsia" w:ascii="宋体" w:hAnsi="宋体"/>
          <w:sz w:val="21"/>
          <w:szCs w:val="21"/>
        </w:rPr>
        <w:t>6. 本项目不接受联合体投标，不允许分包、转包。</w:t>
      </w:r>
    </w:p>
    <w:p>
      <w:pPr>
        <w:pStyle w:val="50"/>
        <w:spacing w:before="0" w:after="0" w:line="240" w:lineRule="auto"/>
        <w:ind w:left="-283" w:leftChars="-135" w:right="-313" w:rightChars="-149" w:firstLine="424" w:firstLineChars="202"/>
        <w:contextualSpacing/>
        <w:rPr>
          <w:rFonts w:hint="eastAsia" w:ascii="宋体" w:hAnsi="宋体"/>
          <w:sz w:val="21"/>
          <w:szCs w:val="21"/>
        </w:rPr>
      </w:pPr>
      <w:r>
        <w:rPr>
          <w:rFonts w:hint="eastAsia" w:ascii="宋体" w:hAnsi="宋体"/>
          <w:sz w:val="21"/>
          <w:szCs w:val="21"/>
        </w:rPr>
        <w:t>7. 本项目不接受同一个名称（含不同分店），或同一法定代表人，或同一负责人，或存在直接控股、管理关系的2个（含）以上的投标人同时参加招标采购活动。</w:t>
      </w:r>
    </w:p>
    <w:p>
      <w:pPr>
        <w:pStyle w:val="50"/>
        <w:spacing w:before="0" w:after="0" w:line="240" w:lineRule="auto"/>
        <w:ind w:left="-283" w:leftChars="-135" w:right="-313" w:rightChars="-149" w:firstLine="420"/>
        <w:contextualSpacing/>
        <w:rPr>
          <w:rFonts w:hint="eastAsia" w:ascii="宋体" w:hAnsi="宋体"/>
          <w:sz w:val="21"/>
          <w:szCs w:val="21"/>
        </w:rPr>
      </w:pPr>
      <w:r>
        <w:rPr>
          <w:rFonts w:hint="eastAsia" w:ascii="宋体" w:hAnsi="宋体"/>
          <w:sz w:val="21"/>
          <w:szCs w:val="21"/>
        </w:rPr>
        <w:t>8. 为采购项目提供整体设计、规范编制或者项目管理、监理、检测等服务的供应商，不得参加该采购项目的其他采购活动（在《投标履约承诺函》中作出声明）。</w:t>
      </w:r>
    </w:p>
    <w:p>
      <w:pPr>
        <w:ind w:left="-283" w:leftChars="-135" w:right="-166" w:rightChars="-79" w:firstLine="493" w:firstLineChars="234"/>
        <w:rPr>
          <w:rFonts w:hint="eastAsia" w:ascii="微软雅黑" w:hAnsi="微软雅黑" w:eastAsia="微软雅黑" w:cs="微软雅黑"/>
          <w:bCs/>
          <w:color w:val="000000"/>
          <w:szCs w:val="21"/>
        </w:rPr>
      </w:pPr>
      <w:r>
        <w:rPr>
          <w:rFonts w:hint="eastAsia" w:ascii="宋体" w:hAnsi="宋体" w:cs="宋体-18030"/>
          <w:b/>
          <w:bCs/>
          <w:color w:val="000000"/>
          <w:szCs w:val="21"/>
        </w:rPr>
        <w:t>三､</w:t>
      </w:r>
      <w:r>
        <w:rPr>
          <w:rFonts w:ascii="宋体" w:hAnsi="宋体" w:cs="宋体"/>
          <w:b/>
          <w:color w:val="000000"/>
          <w:kern w:val="0"/>
          <w:szCs w:val="21"/>
        </w:rPr>
        <w:t>报名时间和地点</w:t>
      </w:r>
      <w:r>
        <w:rPr>
          <w:rFonts w:ascii="宋体" w:hAnsi="宋体" w:cs="Arial"/>
          <w:b/>
          <w:color w:val="000000"/>
          <w:kern w:val="0"/>
          <w:szCs w:val="21"/>
        </w:rPr>
        <w:t>:</w:t>
      </w:r>
      <w:r>
        <w:rPr>
          <w:rFonts w:ascii="宋体" w:hAnsi="宋体"/>
        </w:rPr>
        <w:t xml:space="preserve"> </w:t>
      </w:r>
      <w:r>
        <w:rPr>
          <w:rFonts w:hint="eastAsia" w:ascii="宋体" w:hAnsi="宋体"/>
        </w:rPr>
        <w:t>2026年</w:t>
      </w:r>
      <w:r>
        <w:rPr>
          <w:rFonts w:hint="eastAsia" w:ascii="宋体" w:hAnsi="宋体"/>
          <w:lang w:val="en-US" w:eastAsia="zh-CN"/>
        </w:rPr>
        <w:t>5</w:t>
      </w:r>
      <w:r>
        <w:rPr>
          <w:rFonts w:hint="eastAsia" w:ascii="宋体" w:hAnsi="宋体"/>
        </w:rPr>
        <w:t>月</w:t>
      </w:r>
      <w:r>
        <w:rPr>
          <w:rFonts w:hint="eastAsia" w:ascii="宋体" w:hAnsi="宋体"/>
          <w:lang w:val="en-US" w:eastAsia="zh-CN"/>
        </w:rPr>
        <w:t>18</w:t>
      </w:r>
      <w:r>
        <w:rPr>
          <w:rFonts w:hint="eastAsia" w:ascii="宋体" w:hAnsi="宋体"/>
        </w:rPr>
        <w:t>日至</w:t>
      </w:r>
      <w:r>
        <w:rPr>
          <w:rFonts w:ascii="宋体" w:hAnsi="宋体"/>
        </w:rPr>
        <w:t>20</w:t>
      </w:r>
      <w:r>
        <w:rPr>
          <w:rFonts w:hint="eastAsia" w:ascii="宋体" w:hAnsi="宋体"/>
        </w:rPr>
        <w:t>26</w:t>
      </w:r>
      <w:r>
        <w:rPr>
          <w:rFonts w:ascii="宋体" w:hAnsi="宋体"/>
        </w:rPr>
        <w:t>年</w:t>
      </w:r>
      <w:r>
        <w:rPr>
          <w:rFonts w:hint="eastAsia" w:ascii="宋体" w:hAnsi="宋体"/>
          <w:lang w:val="en-US" w:eastAsia="zh-CN"/>
        </w:rPr>
        <w:t>5</w:t>
      </w:r>
      <w:r>
        <w:rPr>
          <w:rFonts w:ascii="宋体" w:hAnsi="宋体"/>
        </w:rPr>
        <w:t>月</w:t>
      </w:r>
      <w:r>
        <w:rPr>
          <w:rFonts w:hint="eastAsia" w:ascii="宋体" w:hAnsi="宋体"/>
          <w:lang w:val="en-US" w:eastAsia="zh-CN"/>
        </w:rPr>
        <w:t>28</w:t>
      </w:r>
      <w:r>
        <w:rPr>
          <w:rFonts w:ascii="宋体" w:hAnsi="宋体"/>
        </w:rPr>
        <w:t>日</w:t>
      </w:r>
      <w:r>
        <w:rPr>
          <w:rFonts w:hint="eastAsia" w:ascii="宋体" w:hAnsi="宋体"/>
        </w:rPr>
        <w:t>16</w:t>
      </w:r>
      <w:r>
        <w:rPr>
          <w:rFonts w:ascii="宋体" w:hAnsi="宋体"/>
        </w:rPr>
        <w:t>:00前,</w:t>
      </w:r>
      <w:r>
        <w:rPr>
          <w:rFonts w:hint="eastAsia" w:ascii="宋体" w:hAnsi="宋体" w:cs="Arial"/>
          <w:bCs/>
          <w:color w:val="000000"/>
          <w:szCs w:val="21"/>
        </w:rPr>
        <w:t>1.法定代表人或被授权人携纸质版《投标人报名</w:t>
      </w:r>
      <w:r>
        <w:rPr>
          <w:rFonts w:hint="eastAsia" w:ascii="宋体" w:hAnsi="宋体" w:cs="Arial"/>
          <w:bCs/>
          <w:color w:val="000000"/>
          <w:szCs w:val="21"/>
          <w:lang w:val="en-US" w:eastAsia="zh-CN"/>
        </w:rPr>
        <w:t>文件</w:t>
      </w:r>
      <w:r>
        <w:rPr>
          <w:rFonts w:hint="eastAsia" w:ascii="宋体" w:hAnsi="宋体" w:cs="Arial"/>
          <w:bCs/>
          <w:color w:val="000000"/>
          <w:szCs w:val="21"/>
        </w:rPr>
        <w:t>》到宝安区人民医院立体停车场出口对面老宝中宿舍A栋201室招标办审核;2.现场审核通过后，立即发送：（1）报名</w:t>
      </w:r>
      <w:r>
        <w:rPr>
          <w:rFonts w:hint="eastAsia" w:ascii="宋体" w:hAnsi="宋体" w:cs="Arial"/>
          <w:bCs/>
          <w:color w:val="000000"/>
          <w:szCs w:val="21"/>
          <w:lang w:val="en-US" w:eastAsia="zh-CN"/>
        </w:rPr>
        <w:t>文件</w:t>
      </w:r>
      <w:r>
        <w:rPr>
          <w:rFonts w:hint="eastAsia" w:ascii="宋体" w:hAnsi="宋体" w:cs="Arial"/>
          <w:bCs/>
          <w:color w:val="000000"/>
          <w:szCs w:val="21"/>
        </w:rPr>
        <w:t>PDF版（2）报名</w:t>
      </w:r>
      <w:r>
        <w:rPr>
          <w:rFonts w:hint="eastAsia" w:ascii="宋体" w:hAnsi="宋体" w:cs="Arial"/>
          <w:bCs/>
          <w:color w:val="000000"/>
          <w:szCs w:val="21"/>
          <w:lang w:val="en-US" w:eastAsia="zh-CN"/>
        </w:rPr>
        <w:t>文件</w:t>
      </w:r>
      <w:r>
        <w:rPr>
          <w:rFonts w:hint="eastAsia" w:ascii="宋体" w:hAnsi="宋体" w:cs="Arial"/>
          <w:bCs/>
          <w:color w:val="000000"/>
          <w:szCs w:val="21"/>
        </w:rPr>
        <w:t>封面(Word格式)至电子邮箱,逾期送达或资料缺项者恕不接受</w:t>
      </w:r>
      <w:r>
        <w:rPr>
          <w:rFonts w:hint="eastAsia" w:ascii="微软雅黑" w:hAnsi="微软雅黑" w:eastAsia="微软雅黑" w:cs="微软雅黑"/>
          <w:bCs/>
          <w:color w:val="000000"/>
          <w:szCs w:val="21"/>
        </w:rPr>
        <w:t>｡</w:t>
      </w:r>
    </w:p>
    <w:p>
      <w:pPr>
        <w:ind w:left="-283" w:leftChars="-135" w:right="-166" w:rightChars="-79" w:firstLine="282" w:firstLineChars="134"/>
        <w:rPr>
          <w:rFonts w:hint="eastAsia" w:ascii="宋体" w:hAnsi="宋体" w:cs="Arial"/>
          <w:color w:val="000000"/>
          <w:kern w:val="0"/>
          <w:szCs w:val="21"/>
        </w:rPr>
      </w:pPr>
      <w:r>
        <w:rPr>
          <w:rFonts w:ascii="宋体" w:hAnsi="宋体" w:cs="Arial"/>
          <w:b/>
          <w:color w:val="000000"/>
          <w:kern w:val="0"/>
          <w:szCs w:val="21"/>
        </w:rPr>
        <w:t xml:space="preserve"> </w:t>
      </w:r>
      <w:r>
        <w:rPr>
          <w:rFonts w:hint="eastAsia" w:ascii="宋体" w:hAnsi="宋体" w:cs="宋体-18030"/>
          <w:b/>
          <w:bCs/>
          <w:color w:val="000000"/>
          <w:szCs w:val="21"/>
        </w:rPr>
        <w:t>四､</w:t>
      </w:r>
      <w:r>
        <w:rPr>
          <w:rFonts w:ascii="宋体" w:hAnsi="宋体" w:cs="宋体"/>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w:t>
      </w:r>
      <w:r>
        <w:rPr>
          <w:rFonts w:hint="eastAsia" w:ascii="宋体" w:hAnsi="宋体" w:cs="Arial"/>
          <w:color w:val="000000"/>
          <w:kern w:val="0"/>
          <w:szCs w:val="21"/>
        </w:rPr>
        <w:t>采购公告</w:t>
      </w:r>
      <w:r>
        <w:rPr>
          <w:rFonts w:ascii="宋体" w:hAnsi="宋体" w:cs="Arial"/>
          <w:color w:val="000000"/>
          <w:kern w:val="0"/>
          <w:szCs w:val="21"/>
        </w:rPr>
        <w:t>”,严格按《投标书模板》准备相应资料</w:t>
      </w:r>
      <w:r>
        <w:rPr>
          <w:rFonts w:hint="eastAsia" w:ascii="微软雅黑" w:hAnsi="微软雅黑" w:eastAsia="微软雅黑" w:cs="微软雅黑"/>
          <w:color w:val="000000"/>
          <w:kern w:val="0"/>
          <w:szCs w:val="21"/>
        </w:rPr>
        <w:t>｡</w:t>
      </w:r>
    </w:p>
    <w:p>
      <w:pPr>
        <w:widowControl/>
        <w:snapToGrid w:val="0"/>
        <w:ind w:left="-283" w:leftChars="-135" w:right="-283" w:rightChars="-135" w:firstLine="426" w:firstLineChars="202"/>
        <w:contextualSpacing/>
        <w:jc w:val="left"/>
        <w:rPr>
          <w:rFonts w:hint="eastAsia" w:ascii="宋体" w:hAnsi="宋体" w:cs="Arial"/>
          <w:color w:val="000000"/>
          <w:kern w:val="0"/>
          <w:szCs w:val="21"/>
        </w:rPr>
      </w:pPr>
      <w:r>
        <w:rPr>
          <w:rFonts w:hint="eastAsia" w:ascii="宋体" w:hAnsi="宋体" w:cs="宋体-18030"/>
          <w:b/>
          <w:bCs/>
          <w:color w:val="000000"/>
          <w:szCs w:val="21"/>
        </w:rPr>
        <w:t>五､</w:t>
      </w:r>
      <w:r>
        <w:rPr>
          <w:rFonts w:hint="eastAsia" w:ascii="宋体" w:hAnsi="宋体" w:cs="宋体"/>
          <w:b/>
          <w:color w:val="000000"/>
          <w:kern w:val="0"/>
          <w:szCs w:val="21"/>
        </w:rPr>
        <w:t>开标</w:t>
      </w:r>
      <w:r>
        <w:rPr>
          <w:rFonts w:ascii="宋体" w:hAnsi="宋体" w:cs="宋体"/>
          <w:b/>
          <w:color w:val="000000"/>
          <w:kern w:val="0"/>
          <w:szCs w:val="21"/>
        </w:rPr>
        <w:t>时间和地点</w:t>
      </w:r>
      <w:r>
        <w:rPr>
          <w:rFonts w:ascii="宋体" w:hAnsi="宋体" w:cs="Arial"/>
          <w:b/>
          <w:color w:val="000000"/>
          <w:kern w:val="0"/>
          <w:szCs w:val="21"/>
        </w:rPr>
        <w:t>:</w:t>
      </w:r>
      <w:r>
        <w:rPr>
          <w:rFonts w:ascii="宋体" w:hAnsi="宋体" w:cs="Arial"/>
          <w:color w:val="000000"/>
          <w:kern w:val="0"/>
          <w:szCs w:val="21"/>
        </w:rPr>
        <w:t xml:space="preserve"> 待定</w:t>
      </w:r>
      <w:r>
        <w:rPr>
          <w:rFonts w:hint="eastAsia" w:ascii="宋体" w:hAnsi="宋体" w:cs="Arial"/>
          <w:color w:val="000000"/>
          <w:kern w:val="0"/>
          <w:szCs w:val="21"/>
        </w:rPr>
        <w:t>，自行</w:t>
      </w:r>
      <w:r>
        <w:rPr>
          <w:rFonts w:ascii="宋体" w:hAnsi="宋体" w:cs="Arial"/>
          <w:color w:val="000000"/>
          <w:kern w:val="0"/>
          <w:szCs w:val="21"/>
        </w:rPr>
        <w:t>关注</w:t>
      </w:r>
      <w:r>
        <w:rPr>
          <w:rFonts w:ascii="宋体" w:hAnsi="宋体" w:cs="Arial"/>
          <w:color w:val="FF0000"/>
          <w:kern w:val="0"/>
          <w:szCs w:val="21"/>
        </w:rPr>
        <w:t>深圳市宝安区人民医院官网-通知公告-招标公告</w:t>
      </w:r>
      <w:r>
        <w:rPr>
          <w:rFonts w:hint="eastAsia" w:ascii="宋体" w:hAnsi="宋体" w:cs="Arial"/>
          <w:color w:val="FF0000"/>
          <w:kern w:val="0"/>
          <w:szCs w:val="21"/>
        </w:rPr>
        <w:t>（开标通知）</w:t>
      </w:r>
      <w:r>
        <w:rPr>
          <w:rFonts w:hint="eastAsia" w:ascii="微软雅黑" w:hAnsi="微软雅黑" w:eastAsia="微软雅黑" w:cs="微软雅黑"/>
          <w:color w:val="000000"/>
          <w:kern w:val="0"/>
          <w:szCs w:val="21"/>
        </w:rPr>
        <w:t>｡</w:t>
      </w:r>
      <w:r>
        <w:rPr>
          <w:rFonts w:ascii="宋体" w:hAnsi="宋体" w:cs="宋体"/>
          <w:color w:val="000000"/>
          <w:kern w:val="0"/>
          <w:szCs w:val="21"/>
        </w:rPr>
        <w:t>参加谈判时</w:t>
      </w:r>
      <w:r>
        <w:rPr>
          <w:rFonts w:ascii="宋体" w:hAnsi="宋体" w:cs="Arial"/>
          <w:color w:val="000000"/>
          <w:kern w:val="0"/>
          <w:szCs w:val="21"/>
        </w:rPr>
        <w:t>,供应商须提供</w:t>
      </w:r>
      <w:r>
        <w:rPr>
          <w:rFonts w:hint="eastAsia" w:cs="Arial"/>
          <w:kern w:val="0"/>
          <w:szCs w:val="21"/>
        </w:rPr>
        <w:t>6份密封投标书（2正4副胶装成册)</w:t>
      </w:r>
      <w:r>
        <w:rPr>
          <w:rFonts w:hint="eastAsia" w:ascii="微软雅黑" w:hAnsi="微软雅黑" w:eastAsia="微软雅黑" w:cs="微软雅黑"/>
          <w:kern w:val="0"/>
          <w:szCs w:val="21"/>
        </w:rPr>
        <w:t>､</w:t>
      </w:r>
      <w:r>
        <w:rPr>
          <w:rFonts w:hint="eastAsia" w:ascii="宋体" w:hAnsi="宋体" w:cs="Arial"/>
          <w:kern w:val="0"/>
          <w:szCs w:val="21"/>
        </w:rPr>
        <w:t>1份密封报</w:t>
      </w:r>
      <w:r>
        <w:rPr>
          <w:rFonts w:hint="eastAsia" w:cs="Arial"/>
          <w:kern w:val="0"/>
          <w:szCs w:val="21"/>
        </w:rPr>
        <w:t>价单、投标文件PDF版</w:t>
      </w:r>
      <w:r>
        <w:rPr>
          <w:rFonts w:ascii="宋体" w:hAnsi="宋体" w:cs="Arial"/>
          <w:color w:val="000000"/>
          <w:kern w:val="0"/>
          <w:szCs w:val="21"/>
        </w:rPr>
        <w:t>和样品演示</w:t>
      </w:r>
      <w:r>
        <w:rPr>
          <w:rFonts w:hint="eastAsia" w:ascii="微软雅黑" w:hAnsi="微软雅黑" w:eastAsia="微软雅黑" w:cs="微软雅黑"/>
          <w:color w:val="000000"/>
          <w:kern w:val="0"/>
          <w:szCs w:val="21"/>
        </w:rPr>
        <w:t>｡</w:t>
      </w:r>
      <w:r>
        <w:rPr>
          <w:rFonts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ascii="宋体" w:hAnsi="宋体" w:cs="宋体"/>
          <w:color w:val="000000"/>
          <w:kern w:val="0"/>
          <w:szCs w:val="21"/>
        </w:rPr>
        <w:t>品牌</w:t>
      </w:r>
      <w:r>
        <w:rPr>
          <w:rFonts w:hint="eastAsia" w:ascii="微软雅黑" w:hAnsi="微软雅黑" w:eastAsia="微软雅黑" w:cs="微软雅黑"/>
          <w:color w:val="000000"/>
          <w:kern w:val="0"/>
          <w:szCs w:val="21"/>
        </w:rPr>
        <w:t>､</w:t>
      </w:r>
      <w:r>
        <w:rPr>
          <w:rFonts w:ascii="宋体" w:hAnsi="宋体" w:cs="宋体"/>
          <w:color w:val="000000"/>
          <w:kern w:val="0"/>
          <w:szCs w:val="21"/>
        </w:rPr>
        <w:t>规格</w:t>
      </w:r>
      <w:r>
        <w:rPr>
          <w:rFonts w:hint="eastAsia" w:ascii="微软雅黑" w:hAnsi="微软雅黑" w:eastAsia="微软雅黑" w:cs="微软雅黑"/>
          <w:color w:val="000000"/>
          <w:kern w:val="0"/>
          <w:szCs w:val="21"/>
        </w:rPr>
        <w:t>､</w:t>
      </w:r>
      <w:r>
        <w:rPr>
          <w:rFonts w:ascii="宋体" w:hAnsi="宋体" w:cs="宋体"/>
          <w:color w:val="000000"/>
          <w:kern w:val="0"/>
          <w:szCs w:val="21"/>
        </w:rPr>
        <w:t>单位</w:t>
      </w:r>
      <w:r>
        <w:rPr>
          <w:rFonts w:hint="eastAsia" w:ascii="微软雅黑" w:hAnsi="微软雅黑" w:eastAsia="微软雅黑" w:cs="微软雅黑"/>
          <w:color w:val="000000"/>
          <w:kern w:val="0"/>
          <w:szCs w:val="21"/>
        </w:rPr>
        <w:t>､</w:t>
      </w:r>
      <w:r>
        <w:rPr>
          <w:rFonts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ind w:firstLine="141" w:firstLineChars="67"/>
        <w:jc w:val="left"/>
        <w:rPr>
          <w:rFonts w:hint="eastAsia" w:ascii="微软雅黑" w:hAnsi="微软雅黑" w:eastAsia="微软雅黑" w:cs="微软雅黑"/>
          <w:color w:val="000000"/>
          <w:kern w:val="0"/>
          <w:szCs w:val="21"/>
        </w:rPr>
      </w:pPr>
      <w:r>
        <w:rPr>
          <w:rFonts w:hint="eastAsia" w:ascii="宋体" w:hAnsi="宋体" w:cs="宋体-18030"/>
          <w:b/>
          <w:bCs/>
          <w:color w:val="000000"/>
          <w:szCs w:val="21"/>
        </w:rPr>
        <w:t>六､</w:t>
      </w:r>
      <w:r>
        <w:rPr>
          <w:rFonts w:ascii="宋体" w:hAnsi="宋体" w:cs="宋体"/>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rPr>
        <w:t>万老师、魏</w:t>
      </w:r>
      <w:r>
        <w:rPr>
          <w:rFonts w:ascii="宋体" w:hAnsi="宋体" w:cs="Arial"/>
          <w:color w:val="000000"/>
          <w:kern w:val="0"/>
          <w:szCs w:val="21"/>
        </w:rPr>
        <w:t>老师)</w:t>
      </w:r>
      <w:r>
        <w:rPr>
          <w:rFonts w:hint="eastAsia" w:ascii="微软雅黑" w:hAnsi="微软雅黑" w:eastAsia="微软雅黑" w:cs="微软雅黑"/>
          <w:color w:val="000000"/>
          <w:kern w:val="0"/>
          <w:szCs w:val="21"/>
        </w:rPr>
        <w:t>｡</w:t>
      </w:r>
    </w:p>
    <w:p>
      <w:pPr>
        <w:pStyle w:val="12"/>
        <w:ind w:left="103" w:leftChars="18" w:hanging="65" w:hangingChars="31"/>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cs="Arial"/>
          <w:b/>
          <w:bCs/>
          <w:color w:val="000000"/>
          <w:sz w:val="21"/>
          <w:szCs w:val="21"/>
        </w:rPr>
        <w:t>七、采购部门（</w:t>
      </w:r>
      <w:r>
        <w:rPr>
          <w:rFonts w:hint="eastAsia" w:ascii="宋体" w:hAnsi="宋体" w:eastAsia="宋体" w:cs="Arial"/>
          <w:b/>
          <w:bCs/>
          <w:color w:val="000000"/>
          <w:sz w:val="21"/>
          <w:szCs w:val="21"/>
          <w:lang w:val="en-US" w:eastAsia="zh-CN"/>
        </w:rPr>
        <w:t>信息中心</w:t>
      </w:r>
      <w:r>
        <w:rPr>
          <w:rFonts w:hint="eastAsia" w:ascii="宋体" w:hAnsi="宋体" w:eastAsia="宋体" w:cs="Arial"/>
          <w:b/>
          <w:bCs/>
          <w:color w:val="000000"/>
          <w:sz w:val="21"/>
          <w:szCs w:val="21"/>
        </w:rPr>
        <w:t>）联系电话：</w:t>
      </w:r>
      <w:r>
        <w:rPr>
          <w:rFonts w:hint="eastAsia" w:ascii="宋体" w:hAnsi="宋体" w:eastAsia="宋体" w:cs="Arial"/>
          <w:color w:val="000000"/>
          <w:sz w:val="21"/>
          <w:szCs w:val="21"/>
        </w:rPr>
        <w:t>0755-27788311转</w:t>
      </w:r>
      <w:r>
        <w:rPr>
          <w:rFonts w:hint="eastAsia" w:ascii="宋体" w:hAnsi="宋体" w:eastAsia="宋体" w:cs="Arial"/>
          <w:color w:val="000000"/>
          <w:sz w:val="21"/>
          <w:szCs w:val="21"/>
          <w:lang w:val="en-US" w:eastAsia="zh-CN"/>
        </w:rPr>
        <w:t>3344</w:t>
      </w:r>
      <w:r>
        <w:rPr>
          <w:rFonts w:hint="eastAsia" w:ascii="宋体" w:hAnsi="宋体" w:eastAsia="宋体" w:cs="Arial"/>
          <w:color w:val="000000"/>
          <w:sz w:val="21"/>
          <w:szCs w:val="21"/>
        </w:rPr>
        <w:t>（</w:t>
      </w:r>
      <w:r>
        <w:rPr>
          <w:rFonts w:hint="eastAsia" w:ascii="宋体" w:hAnsi="宋体" w:eastAsia="宋体" w:cs="Arial"/>
          <w:color w:val="000000"/>
          <w:sz w:val="21"/>
          <w:szCs w:val="21"/>
          <w:lang w:val="en-US" w:eastAsia="zh-CN"/>
        </w:rPr>
        <w:t>郑</w:t>
      </w:r>
      <w:r>
        <w:rPr>
          <w:rFonts w:hint="eastAsia" w:ascii="宋体" w:hAnsi="宋体" w:eastAsia="宋体" w:cs="Arial"/>
          <w:color w:val="000000"/>
          <w:sz w:val="21"/>
          <w:szCs w:val="21"/>
        </w:rPr>
        <w:t>老师）</w:t>
      </w:r>
    </w:p>
    <w:p>
      <w:pPr>
        <w:widowControl/>
        <w:ind w:right="-309" w:rightChars="-147"/>
        <w:jc w:val="left"/>
        <w:rPr>
          <w:rFonts w:hint="eastAsia" w:ascii="宋体" w:hAnsi="宋体" w:cs="宋体-18030"/>
          <w:bCs/>
          <w:color w:val="000000"/>
          <w:szCs w:val="21"/>
        </w:rPr>
      </w:pPr>
    </w:p>
    <w:p>
      <w:pPr>
        <w:widowControl/>
        <w:snapToGrid w:val="0"/>
        <w:ind w:right="-166" w:rightChars="-79"/>
        <w:contextualSpacing/>
        <w:jc w:val="right"/>
        <w:rPr>
          <w:rFonts w:hint="eastAsia"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napToGrid w:val="0"/>
        <w:ind w:firstLine="5670" w:firstLineChars="2700"/>
        <w:contextualSpacing/>
        <w:jc w:val="right"/>
        <w:rPr>
          <w:rFonts w:hint="eastAsia" w:ascii="宋体" w:hAnsi="宋体" w:cs="宋体-18030"/>
          <w:bCs/>
          <w:szCs w:val="21"/>
        </w:rPr>
      </w:pPr>
      <w:r>
        <w:rPr>
          <w:rFonts w:ascii="宋体" w:hAnsi="宋体" w:cs="宋体-18030"/>
          <w:bCs/>
          <w:szCs w:val="21"/>
        </w:rPr>
        <w:t xml:space="preserve"> 202</w:t>
      </w:r>
      <w:r>
        <w:rPr>
          <w:rFonts w:hint="eastAsia" w:ascii="宋体" w:hAnsi="宋体" w:cs="宋体-18030"/>
          <w:bCs/>
          <w:szCs w:val="21"/>
        </w:rPr>
        <w:t>6</w:t>
      </w:r>
      <w:r>
        <w:rPr>
          <w:rFonts w:ascii="宋体" w:hAnsi="宋体" w:cs="宋体-18030"/>
          <w:bCs/>
          <w:szCs w:val="21"/>
        </w:rPr>
        <w:t>年</w:t>
      </w:r>
      <w:r>
        <w:rPr>
          <w:rFonts w:hint="eastAsia" w:ascii="宋体" w:hAnsi="宋体" w:cs="宋体-18030"/>
          <w:bCs/>
          <w:szCs w:val="21"/>
          <w:lang w:val="en-US" w:eastAsia="zh-CN"/>
        </w:rPr>
        <w:t>5</w:t>
      </w:r>
      <w:r>
        <w:rPr>
          <w:rFonts w:ascii="宋体" w:hAnsi="宋体" w:cs="宋体-18030"/>
          <w:bCs/>
          <w:szCs w:val="21"/>
        </w:rPr>
        <w:t>月</w:t>
      </w:r>
      <w:r>
        <w:rPr>
          <w:rFonts w:hint="eastAsia" w:ascii="宋体" w:hAnsi="宋体" w:cs="宋体-18030"/>
          <w:bCs/>
          <w:szCs w:val="21"/>
          <w:lang w:val="en-US" w:eastAsia="zh-CN"/>
        </w:rPr>
        <w:t>18</w:t>
      </w:r>
      <w:r>
        <w:rPr>
          <w:rFonts w:ascii="宋体" w:hAnsi="宋体" w:cs="宋体-18030"/>
          <w:bCs/>
          <w:szCs w:val="21"/>
        </w:rPr>
        <w:t>日</w:t>
      </w:r>
      <w:r>
        <w:rPr>
          <w:rFonts w:ascii="宋体" w:hAnsi="宋体" w:cs="宋体-18030"/>
          <w:bCs/>
          <w:szCs w:val="21"/>
        </w:rPr>
        <w:br w:type="page"/>
      </w:r>
    </w:p>
    <w:p>
      <w:pPr>
        <w:widowControl/>
        <w:spacing w:line="400" w:lineRule="exact"/>
        <w:ind w:right="-567" w:rightChars="-270" w:firstLine="3238" w:firstLineChars="896"/>
        <w:jc w:val="left"/>
        <w:rPr>
          <w:rFonts w:hint="eastAsia" w:ascii="宋体" w:hAnsi="宋体" w:cs="Arial"/>
          <w:color w:val="000000"/>
          <w:kern w:val="0"/>
          <w:szCs w:val="21"/>
        </w:rPr>
      </w:pPr>
      <w:r>
        <w:rPr>
          <w:rFonts w:ascii="宋体" w:hAnsi="宋体" w:cs="Arial"/>
          <w:b/>
          <w:bCs/>
          <w:color w:val="993300"/>
          <w:kern w:val="0"/>
          <w:sz w:val="36"/>
          <w:szCs w:val="36"/>
        </w:rPr>
        <w:t>谈判须知</w:t>
      </w:r>
    </w:p>
    <w:p>
      <w:pPr>
        <w:widowControl/>
        <w:jc w:val="left"/>
        <w:rPr>
          <w:rFonts w:hint="eastAsia" w:ascii="宋体" w:hAnsi="宋体" w:cs="Arial"/>
          <w:color w:val="000000"/>
          <w:kern w:val="0"/>
          <w:szCs w:val="21"/>
        </w:rPr>
      </w:pPr>
      <w:r>
        <w:rPr>
          <w:rFonts w:hint="eastAsia" w:ascii="宋体" w:hAnsi="宋体" w:cs="Arial"/>
          <w:color w:val="000000"/>
          <w:kern w:val="0"/>
          <w:szCs w:val="21"/>
        </w:rPr>
        <w:t>1. 投标文件要求：</w:t>
      </w:r>
    </w:p>
    <w:p>
      <w:pPr>
        <w:widowControl/>
        <w:jc w:val="left"/>
        <w:rPr>
          <w:rFonts w:hint="eastAsia" w:ascii="宋体" w:hAnsi="宋体" w:cs="Arial"/>
          <w:color w:val="000000"/>
          <w:kern w:val="0"/>
          <w:szCs w:val="21"/>
        </w:rPr>
      </w:pPr>
      <w:r>
        <w:rPr>
          <w:rFonts w:hint="eastAsia" w:ascii="宋体" w:hAnsi="宋体" w:cs="Arial"/>
          <w:color w:val="000000"/>
          <w:kern w:val="0"/>
          <w:szCs w:val="21"/>
        </w:rPr>
        <w:t>1.1.谈判时投标人应提供6份投标书(2正4副)，每份投标书须清楚地标明“正本”或“副本”字样，正本与副本必须一致；若正本与副本不一致，以正本为准，</w:t>
      </w:r>
      <w:r>
        <w:rPr>
          <w:rFonts w:hint="eastAsia" w:ascii="宋体" w:hAnsi="宋体"/>
          <w:snapToGrid w:val="0"/>
          <w:kern w:val="0"/>
        </w:rPr>
        <w:t>投标文件须密封，密封处加盖单位公章。</w:t>
      </w:r>
    </w:p>
    <w:p>
      <w:pPr>
        <w:widowControl/>
        <w:jc w:val="left"/>
        <w:rPr>
          <w:rFonts w:hint="eastAsia" w:ascii="宋体" w:hAnsi="宋体" w:cs="Arial"/>
          <w:kern w:val="0"/>
          <w:szCs w:val="21"/>
        </w:rPr>
      </w:pPr>
      <w:r>
        <w:rPr>
          <w:rFonts w:hint="eastAsia" w:ascii="宋体" w:hAnsi="宋体" w:cs="Arial"/>
          <w:kern w:val="0"/>
          <w:szCs w:val="21"/>
        </w:rPr>
        <w:t>1.2. 投标人必须按照《投标文件模板》准备证明材料，投标书加盖公司公章及骑缝章，</w:t>
      </w:r>
      <w:r>
        <w:rPr>
          <w:rFonts w:hint="eastAsia" w:ascii="宋体" w:hAnsi="宋体" w:cs="宋体-18030"/>
          <w:bCs/>
          <w:kern w:val="0"/>
          <w:szCs w:val="21"/>
        </w:rPr>
        <w:t>法人代表授权书须有法人代表签名或盖章。</w:t>
      </w:r>
    </w:p>
    <w:p>
      <w:pPr>
        <w:widowControl/>
        <w:jc w:val="left"/>
        <w:rPr>
          <w:rFonts w:hint="eastAsia" w:ascii="宋体" w:hAnsi="宋体"/>
          <w:snapToGrid w:val="0"/>
        </w:rPr>
      </w:pPr>
      <w:r>
        <w:rPr>
          <w:rFonts w:hint="eastAsia" w:ascii="宋体" w:hAnsi="宋体" w:cs="Arial"/>
          <w:kern w:val="0"/>
          <w:szCs w:val="21"/>
        </w:rPr>
        <w:t>2. 招标项目数量为预估数量，投标人必须报总价的同时报单价（按报价单要求报单价），作为货物数量增减时的不变价，最终数量按通过采购人验收实际发生量结算，结算价格按中标单价结算。</w:t>
      </w:r>
    </w:p>
    <w:p>
      <w:pPr>
        <w:widowControl/>
        <w:jc w:val="left"/>
      </w:pPr>
      <w:r>
        <w:rPr>
          <w:rFonts w:hint="eastAsia" w:ascii="宋体" w:hAnsi="宋体" w:cs="Arial"/>
          <w:kern w:val="0"/>
          <w:szCs w:val="21"/>
        </w:rPr>
        <w:t>3. 投标人提供的证明文件材料必须是真实的，凡提供货物发票需在国家税务总局全国增值税发票查验平台验证打印。若经核实有虚假证明文件则作废标处理，本院将拒付该中标产品所使用费用款项，并将投标人列入黑名单，2年内禁止其参加本院招标采购活动。</w:t>
      </w:r>
    </w:p>
    <w:p>
      <w:pPr>
        <w:widowControl/>
        <w:jc w:val="left"/>
        <w:rPr>
          <w:rFonts w:hint="eastAsia" w:ascii="宋体" w:hAnsi="宋体" w:cs="Arial"/>
          <w:kern w:val="0"/>
          <w:szCs w:val="21"/>
        </w:rPr>
      </w:pPr>
      <w:r>
        <w:rPr>
          <w:rFonts w:hint="eastAsia" w:ascii="宋体" w:hAnsi="宋体" w:cs="Arial"/>
          <w:kern w:val="0"/>
          <w:szCs w:val="21"/>
        </w:rPr>
        <w:t>4. 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pPr>
        <w:widowControl/>
        <w:jc w:val="left"/>
        <w:rPr>
          <w:rFonts w:hint="eastAsia" w:ascii="宋体" w:hAnsi="宋体" w:cs="Arial"/>
          <w:kern w:val="0"/>
          <w:szCs w:val="21"/>
        </w:rPr>
      </w:pPr>
      <w:r>
        <w:rPr>
          <w:rFonts w:hint="eastAsia" w:ascii="宋体" w:hAnsi="宋体"/>
          <w:szCs w:val="21"/>
        </w:rPr>
        <w:t>5. 非单一来源采购标项须三家或三家以上投标单位，</w:t>
      </w:r>
      <w:r>
        <w:rPr>
          <w:rFonts w:hint="eastAsia" w:ascii="宋体" w:hAnsi="宋体" w:cs="Arial"/>
          <w:kern w:val="0"/>
          <w:szCs w:val="21"/>
        </w:rPr>
        <w:t>投标公司的价格高于本院拟定的产品预算价（最高限价）为废标。投标人必须在其投标文件中根据产品特点提供产品使用培训等技术服务的详细内容，技术服务的价格计入投标总价。</w:t>
      </w:r>
    </w:p>
    <w:p>
      <w:pPr>
        <w:widowControl/>
        <w:jc w:val="left"/>
        <w:rPr>
          <w:rFonts w:hint="eastAsia" w:ascii="宋体" w:hAnsi="宋体" w:cs="Arial"/>
          <w:kern w:val="0"/>
          <w:szCs w:val="21"/>
        </w:rPr>
      </w:pPr>
      <w:r>
        <w:rPr>
          <w:rFonts w:hint="eastAsia" w:ascii="宋体" w:hAnsi="宋体" w:cs="Arial"/>
          <w:kern w:val="0"/>
          <w:szCs w:val="21"/>
        </w:rPr>
        <w:t>6. 投标人须免费提供产品使用过程中所需的一切专用辅助工具，配备所响应招标文件中要求的硬件和软件，并保证采购方能正常使用，不需要另外增加其他附件和其他费用。</w:t>
      </w:r>
    </w:p>
    <w:p>
      <w:pPr>
        <w:widowControl/>
        <w:jc w:val="left"/>
        <w:rPr>
          <w:rFonts w:hint="eastAsia" w:ascii="宋体" w:hAnsi="宋体" w:cs="Arial"/>
          <w:kern w:val="0"/>
          <w:szCs w:val="21"/>
        </w:rPr>
      </w:pPr>
      <w:r>
        <w:rPr>
          <w:rFonts w:hint="eastAsia" w:ascii="宋体" w:hAnsi="宋体" w:cs="Arial"/>
          <w:kern w:val="0"/>
          <w:szCs w:val="21"/>
        </w:rPr>
        <w:t>7. 投标报价应为含税实际供货价，包括设备验收合格前所发生的保险、运输（到指定场地）、检验、安装就位以及调试等一切费用。</w:t>
      </w:r>
    </w:p>
    <w:p>
      <w:pPr>
        <w:widowControl/>
        <w:jc w:val="left"/>
        <w:rPr>
          <w:rFonts w:hint="eastAsia" w:ascii="宋体" w:hAnsi="宋体" w:cs="Arial"/>
          <w:kern w:val="0"/>
          <w:szCs w:val="21"/>
        </w:rPr>
      </w:pPr>
      <w:r>
        <w:rPr>
          <w:rFonts w:hint="eastAsia" w:ascii="宋体" w:hAnsi="宋体" w:cs="Arial"/>
          <w:kern w:val="0"/>
          <w:szCs w:val="21"/>
        </w:rPr>
        <w:t>8. 投标费用：不论投标的结果如何，投标人必须自行承担与参加投标有关的所有费用。</w:t>
      </w:r>
    </w:p>
    <w:p>
      <w:pPr>
        <w:widowControl/>
        <w:jc w:val="left"/>
        <w:rPr>
          <w:rFonts w:hint="eastAsia" w:ascii="宋体" w:hAnsi="宋体" w:cs="Arial"/>
          <w:kern w:val="0"/>
          <w:szCs w:val="21"/>
        </w:rPr>
      </w:pPr>
      <w:r>
        <w:rPr>
          <w:rFonts w:hint="eastAsia" w:ascii="宋体" w:hAnsi="宋体" w:cs="Arial"/>
          <w:kern w:val="0"/>
          <w:szCs w:val="21"/>
        </w:rPr>
        <w:t>9. 投标人必须接受：需方的采购谈判方法；需方不向落标方解释落标原因，不一定以最低价中标、不退还谈判响应文件。</w:t>
      </w:r>
    </w:p>
    <w:p>
      <w:pPr>
        <w:widowControl/>
        <w:jc w:val="left"/>
        <w:rPr>
          <w:rFonts w:hint="eastAsia" w:ascii="宋体" w:hAnsi="宋体" w:cs="Arial"/>
          <w:kern w:val="0"/>
          <w:szCs w:val="21"/>
        </w:rPr>
      </w:pPr>
      <w:r>
        <w:rPr>
          <w:rFonts w:hint="eastAsia" w:ascii="宋体" w:hAnsi="宋体" w:cs="Arial"/>
          <w:kern w:val="0"/>
          <w:szCs w:val="21"/>
        </w:rPr>
        <w:t>10. 本项目不允许挂靠和分包、转包，不接受联合体投标。除采购人事先书面同意外，中标单位不得将自己应履行的全部或部分合同义务转让给他人。</w:t>
      </w:r>
    </w:p>
    <w:p>
      <w:pPr>
        <w:widowControl/>
        <w:jc w:val="left"/>
        <w:rPr>
          <w:rFonts w:hint="eastAsia" w:ascii="宋体" w:hAnsi="宋体" w:cs="Arial"/>
          <w:kern w:val="0"/>
          <w:szCs w:val="21"/>
        </w:rPr>
      </w:pPr>
      <w:r>
        <w:rPr>
          <w:rFonts w:hint="eastAsia" w:ascii="宋体" w:hAnsi="宋体" w:cs="Arial"/>
          <w:kern w:val="0"/>
          <w:szCs w:val="21"/>
        </w:rPr>
        <w:t>11. 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pPr>
        <w:widowControl/>
        <w:jc w:val="left"/>
        <w:rPr>
          <w:rFonts w:hint="eastAsia" w:ascii="宋体" w:hAnsi="宋体" w:cs="Arial"/>
          <w:color w:val="000000"/>
          <w:kern w:val="0"/>
          <w:szCs w:val="21"/>
        </w:rPr>
      </w:pPr>
      <w:r>
        <w:rPr>
          <w:rFonts w:hint="eastAsia" w:ascii="宋体" w:hAnsi="宋体" w:cs="Arial"/>
          <w:kern w:val="0"/>
          <w:szCs w:val="21"/>
        </w:rPr>
        <w:t>12. 经深圳市宝安区人民医院评审委员会确认预中标单位并经公示3天, 由招标办通知领取中标/成交结果通知书，凭结果通知书到深圳市宝安区人民医院采购归口管理部门商谈签订合同事宜。</w:t>
      </w:r>
    </w:p>
    <w:p>
      <w:pPr>
        <w:widowControl/>
        <w:jc w:val="left"/>
        <w:rPr>
          <w:rFonts w:hint="eastAsia" w:ascii="宋体" w:hAnsi="宋体" w:cs="Arial"/>
          <w:color w:val="0070C0"/>
          <w:kern w:val="0"/>
          <w:szCs w:val="21"/>
        </w:rPr>
      </w:pPr>
    </w:p>
    <w:p>
      <w:pPr>
        <w:pStyle w:val="13"/>
      </w:pPr>
    </w:p>
    <w:p>
      <w:pPr>
        <w:rPr>
          <w:rFonts w:hint="eastAsia"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hint="eastAsia"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一</w:t>
      </w:r>
      <w:r>
        <w:rPr>
          <w:rFonts w:hint="eastAsia" w:ascii="宋体" w:hAnsi="宋体" w:cs="Arial"/>
          <w:b/>
          <w:bCs/>
          <w:color w:val="000000"/>
          <w:kern w:val="0"/>
          <w:szCs w:val="21"/>
        </w:rPr>
        <w:t>､评审谈判响应文件</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w:t>
      </w:r>
      <w:r>
        <w:rPr>
          <w:rFonts w:ascii="宋体" w:hAnsi="宋体" w:cs="Arial"/>
          <w:color w:val="000000"/>
          <w:kern w:val="0"/>
          <w:szCs w:val="21"/>
        </w:rPr>
        <w:t>专门组织的评标委员会进行资格性和符合性评审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bookmarkStart w:id="0" w:name="_Toc182848999"/>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二</w:t>
      </w:r>
      <w:r>
        <w:rPr>
          <w:rFonts w:hint="eastAsia" w:ascii="宋体" w:hAnsi="宋体" w:cs="Arial"/>
          <w:b/>
          <w:bCs/>
          <w:color w:val="000000"/>
          <w:kern w:val="0"/>
          <w:szCs w:val="21"/>
        </w:rPr>
        <w:t>､谈判小组</w:t>
      </w:r>
      <w:bookmarkEnd w:id="0"/>
      <w:bookmarkStart w:id="1" w:name="_Toc182849000"/>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谈判小组依法由5人(含)以上奇数的人员组成</w:t>
      </w:r>
      <w:r>
        <w:rPr>
          <w:rFonts w:hint="eastAsia" w:ascii="宋体" w:hAnsi="宋体" w:cs="Arial"/>
          <w:color w:val="000000"/>
          <w:kern w:val="0"/>
          <w:szCs w:val="21"/>
        </w:rPr>
        <w:t>｡</w:t>
      </w:r>
      <w:bookmarkEnd w:id="1"/>
    </w:p>
    <w:p>
      <w:pPr>
        <w:widowControl/>
        <w:snapToGrid w:val="0"/>
        <w:ind w:firstLine="283" w:firstLineChars="135"/>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谈判期间,谈判响应方全权代表必须在场,负责解答有关事宜</w:t>
      </w:r>
      <w:r>
        <w:rPr>
          <w:rFonts w:hint="eastAsia" w:ascii="宋体" w:hAnsi="宋体" w:cs="Arial"/>
          <w:color w:val="000000"/>
          <w:kern w:val="0"/>
          <w:szCs w:val="21"/>
        </w:rPr>
        <w:t>｡</w:t>
      </w:r>
    </w:p>
    <w:p>
      <w:pPr>
        <w:widowControl/>
        <w:snapToGrid w:val="0"/>
        <w:contextualSpacing/>
        <w:jc w:val="left"/>
        <w:rPr>
          <w:rFonts w:hint="eastAsia"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snapToGrid w:val="0"/>
        <w:ind w:left="-69" w:leftChars="-33" w:right="-25" w:rightChars="-12" w:firstLine="352" w:firstLineChars="168"/>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(2)供应商的报价均超过预算金额,不能支付的;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(3)因重大变故,采购任务取消的;</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snapToGrid w:val="0"/>
        <w:ind w:left="-143" w:leftChars="-68" w:right="-25" w:rightChars="-12" w:firstLine="420" w:firstLineChars="200"/>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snapToGrid w:val="0"/>
        <w:ind w:left="565" w:hanging="565" w:hangingChars="268"/>
        <w:contextualSpacing/>
        <w:jc w:val="left"/>
        <w:rPr>
          <w:rFonts w:hint="eastAsia"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w:t>
      </w:r>
      <w:r>
        <w:rPr>
          <w:rFonts w:ascii="宋体" w:hAnsi="宋体" w:cs="Arial"/>
          <w:color w:val="000000"/>
          <w:kern w:val="0"/>
          <w:szCs w:val="21"/>
        </w:rPr>
        <w:t>评审小组审核采购响应文件</w:t>
      </w:r>
      <w:r>
        <w:rPr>
          <w:rFonts w:hint="eastAsia" w:ascii="宋体" w:hAnsi="宋体" w:cs="Arial"/>
          <w:color w:val="000000"/>
          <w:kern w:val="0"/>
          <w:szCs w:val="21"/>
        </w:rPr>
        <w:t>｡评审小组按照资格性和符合性进行审核响应文件｡</w:t>
      </w:r>
    </w:p>
    <w:p>
      <w:pPr>
        <w:widowControl/>
        <w:snapToGrid w:val="0"/>
        <w:ind w:left="567" w:leftChars="136" w:hanging="281" w:hangingChars="134"/>
        <w:contextualSpacing/>
        <w:jc w:val="left"/>
        <w:rPr>
          <w:rFonts w:hint="eastAsia"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w:t>
      </w:r>
      <w:r>
        <w:rPr>
          <w:rFonts w:ascii="宋体" w:hAnsi="宋体" w:cs="Arial"/>
          <w:color w:val="000000"/>
          <w:kern w:val="0"/>
          <w:szCs w:val="21"/>
        </w:rPr>
        <w:t>评审小组汇总并讨论审核情况,确定采购响应方是否符合采购资格</w:t>
      </w:r>
      <w:r>
        <w:rPr>
          <w:rFonts w:hint="eastAsia" w:ascii="宋体" w:hAnsi="宋体" w:cs="Arial"/>
          <w:color w:val="000000"/>
          <w:kern w:val="0"/>
          <w:szCs w:val="21"/>
        </w:rPr>
        <w:t>｡</w:t>
      </w:r>
    </w:p>
    <w:p>
      <w:pPr>
        <w:widowControl/>
        <w:snapToGrid w:val="0"/>
        <w:ind w:left="422" w:leftChars="136" w:hanging="136" w:hangingChars="65"/>
        <w:contextualSpacing/>
        <w:jc w:val="left"/>
        <w:rPr>
          <w:rFonts w:hint="eastAsia"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w:t>
      </w:r>
      <w:r>
        <w:rPr>
          <w:rFonts w:ascii="宋体" w:hAnsi="宋体" w:cs="Arial"/>
          <w:color w:val="000000"/>
          <w:kern w:val="0"/>
          <w:szCs w:val="21"/>
        </w:rPr>
        <w:t>按标项与各采购响应方进行谈判和评审</w:t>
      </w:r>
      <w:r>
        <w:rPr>
          <w:rFonts w:hint="eastAsia" w:ascii="宋体" w:hAnsi="宋体" w:cs="Arial"/>
          <w:color w:val="000000"/>
          <w:kern w:val="0"/>
          <w:szCs w:val="21"/>
        </w:rPr>
        <w:t>｡</w:t>
      </w:r>
    </w:p>
    <w:p>
      <w:pPr>
        <w:widowControl/>
        <w:snapToGrid w:val="0"/>
        <w:ind w:firstLine="283" w:firstLineChars="135"/>
        <w:contextualSpacing/>
        <w:jc w:val="left"/>
        <w:rPr>
          <w:rFonts w:hint="eastAsia" w:ascii="宋体" w:hAnsi="宋体" w:cs="Arial"/>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hint="eastAsia" w:ascii="宋体" w:hAnsi="宋体" w:cs="Arial"/>
          <w:kern w:val="0"/>
          <w:szCs w:val="21"/>
        </w:rPr>
        <w:t>､产品的性质､用途､销售及价格｡</w:t>
      </w:r>
    </w:p>
    <w:p>
      <w:pPr>
        <w:widowControl/>
        <w:snapToGrid w:val="0"/>
        <w:ind w:firstLine="283" w:firstLineChars="135"/>
        <w:contextualSpacing/>
        <w:jc w:val="left"/>
        <w:rPr>
          <w:rFonts w:hint="eastAsia" w:ascii="宋体" w:hAnsi="宋体" w:cs="Arial"/>
          <w:kern w:val="0"/>
          <w:szCs w:val="21"/>
        </w:rPr>
      </w:pPr>
      <w:r>
        <w:rPr>
          <w:rFonts w:ascii="宋体" w:hAnsi="宋体" w:cs="Arial"/>
          <w:kern w:val="0"/>
          <w:szCs w:val="21"/>
        </w:rPr>
        <w:t>(2)谈判小组就讨论和汇总的情况与谈判响应方展开谈判</w:t>
      </w:r>
      <w:r>
        <w:rPr>
          <w:rFonts w:hint="eastAsia" w:ascii="宋体" w:hAnsi="宋体" w:cs="Arial"/>
          <w:kern w:val="0"/>
          <w:szCs w:val="21"/>
        </w:rPr>
        <w:t>｡</w:t>
      </w:r>
    </w:p>
    <w:p>
      <w:pPr>
        <w:widowControl/>
        <w:snapToGrid w:val="0"/>
        <w:ind w:firstLine="283" w:firstLineChars="135"/>
        <w:contextualSpacing/>
        <w:jc w:val="left"/>
        <w:rPr>
          <w:rFonts w:ascii="宋体" w:hAnsi="宋体" w:cs="Arial"/>
          <w:kern w:val="0"/>
          <w:szCs w:val="21"/>
        </w:rPr>
      </w:pPr>
      <w:r>
        <w:rPr>
          <w:rFonts w:ascii="宋体" w:hAnsi="宋体" w:cs="Arial"/>
          <w:kern w:val="0"/>
          <w:szCs w:val="21"/>
        </w:rPr>
        <w:t>(3)各谈判响应方在本标项全部谈判结束后按规定时间内进行修改报价｡</w:t>
      </w:r>
    </w:p>
    <w:p>
      <w:pPr>
        <w:widowControl/>
        <w:snapToGrid w:val="0"/>
        <w:ind w:left="-283" w:leftChars="-135" w:right="-166" w:rightChars="-79" w:firstLine="424" w:firstLineChars="202"/>
        <w:contextualSpacing/>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w:t>
      </w:r>
      <w:r>
        <w:rPr>
          <w:rFonts w:ascii="宋体" w:hAnsi="宋体" w:cs="Arial"/>
          <w:color w:val="000000"/>
          <w:kern w:val="0"/>
          <w:szCs w:val="21"/>
        </w:rPr>
        <w:t>谈判小组对谈判的情况进行综合评分(总分100分)</w:t>
      </w:r>
      <w:r>
        <w:rPr>
          <w:rFonts w:hint="eastAsia" w:ascii="宋体" w:hAnsi="宋体" w:cs="Arial"/>
          <w:color w:val="000000"/>
          <w:kern w:val="0"/>
          <w:szCs w:val="21"/>
        </w:rPr>
        <w:t>｡</w:t>
      </w:r>
      <w:r>
        <w:rPr>
          <w:rFonts w:ascii="宋体" w:hAnsi="宋体"/>
          <w:color w:val="000000"/>
          <w:szCs w:val="21"/>
        </w:rPr>
        <w:t>技术商务分与报价评审分相加总分最高者为预中标单位</w:t>
      </w:r>
      <w:r>
        <w:rPr>
          <w:rFonts w:hint="eastAsia" w:ascii="宋体" w:hAnsi="宋体"/>
          <w:color w:val="000000"/>
          <w:szCs w:val="21"/>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470"/>
        <w:gridCol w:w="781"/>
        <w:gridCol w:w="4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6" w:type="dxa"/>
            <w:gridSpan w:val="4"/>
            <w:vAlign w:val="center"/>
          </w:tcPr>
          <w:p>
            <w:pPr>
              <w:jc w:val="center"/>
              <w:rPr>
                <w:rFonts w:ascii="宋体" w:hAnsi="宋体"/>
                <w:b/>
                <w:bCs/>
                <w:sz w:val="24"/>
                <w:szCs w:val="24"/>
              </w:rPr>
            </w:pPr>
            <w:r>
              <w:rPr>
                <w:rFonts w:hint="eastAsia" w:ascii="宋体" w:hAnsi="宋体"/>
                <w:b/>
                <w:bCs/>
                <w:sz w:val="24"/>
                <w:szCs w:val="24"/>
              </w:rPr>
              <w:t>一、技术部分</w:t>
            </w:r>
            <w:r>
              <w:rPr>
                <w:rFonts w:hint="eastAsia" w:ascii="宋体" w:hAnsi="宋体"/>
                <w:b/>
                <w:bCs/>
                <w:szCs w:val="21"/>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b/>
                <w:bCs/>
                <w:szCs w:val="21"/>
              </w:rPr>
            </w:pPr>
            <w:r>
              <w:rPr>
                <w:rFonts w:hint="eastAsia" w:ascii="宋体" w:hAnsi="宋体"/>
                <w:b/>
                <w:bCs/>
                <w:szCs w:val="21"/>
              </w:rPr>
              <w:t>序号</w:t>
            </w:r>
          </w:p>
        </w:tc>
        <w:tc>
          <w:tcPr>
            <w:tcW w:w="2835" w:type="dxa"/>
            <w:vAlign w:val="center"/>
          </w:tcPr>
          <w:p>
            <w:pPr>
              <w:jc w:val="center"/>
              <w:rPr>
                <w:rFonts w:ascii="宋体" w:hAnsi="宋体"/>
                <w:b/>
                <w:bCs/>
                <w:szCs w:val="21"/>
              </w:rPr>
            </w:pPr>
            <w:r>
              <w:rPr>
                <w:rFonts w:hint="eastAsia" w:ascii="宋体" w:hAnsi="宋体"/>
                <w:b/>
                <w:bCs/>
                <w:szCs w:val="21"/>
              </w:rPr>
              <w:t>评分因素</w:t>
            </w:r>
          </w:p>
        </w:tc>
        <w:tc>
          <w:tcPr>
            <w:tcW w:w="851" w:type="dxa"/>
            <w:vAlign w:val="center"/>
          </w:tcPr>
          <w:p>
            <w:pPr>
              <w:jc w:val="center"/>
              <w:rPr>
                <w:rFonts w:ascii="宋体" w:hAnsi="宋体"/>
                <w:b/>
                <w:bCs/>
                <w:szCs w:val="21"/>
              </w:rPr>
            </w:pPr>
            <w:r>
              <w:rPr>
                <w:rFonts w:hint="eastAsia" w:ascii="宋体" w:hAnsi="宋体"/>
                <w:b/>
                <w:bCs/>
                <w:szCs w:val="21"/>
              </w:rPr>
              <w:t>分值</w:t>
            </w:r>
          </w:p>
        </w:tc>
        <w:tc>
          <w:tcPr>
            <w:tcW w:w="5351" w:type="dxa"/>
            <w:vAlign w:val="center"/>
          </w:tcPr>
          <w:p>
            <w:pPr>
              <w:jc w:val="center"/>
              <w:rPr>
                <w:rFonts w:ascii="宋体" w:hAnsi="宋体"/>
                <w:b/>
                <w:bCs/>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1</w:t>
            </w:r>
          </w:p>
        </w:tc>
        <w:tc>
          <w:tcPr>
            <w:tcW w:w="2835" w:type="dxa"/>
            <w:vAlign w:val="center"/>
          </w:tcPr>
          <w:p>
            <w:pPr>
              <w:pStyle w:val="51"/>
              <w:spacing w:line="400" w:lineRule="exact"/>
              <w:ind w:firstLine="0" w:firstLineChars="0"/>
              <w:jc w:val="center"/>
              <w:rPr>
                <w:rFonts w:ascii="宋体" w:hAnsi="宋体"/>
                <w:szCs w:val="21"/>
              </w:rPr>
            </w:pPr>
            <w:r>
              <w:rPr>
                <w:rFonts w:hint="eastAsia" w:ascii="宋体" w:hAnsi="宋体" w:cs="宋体"/>
                <w:color w:val="000000"/>
                <w:szCs w:val="21"/>
              </w:rPr>
              <w:t>服务要求</w:t>
            </w:r>
          </w:p>
        </w:tc>
        <w:tc>
          <w:tcPr>
            <w:tcW w:w="851" w:type="dxa"/>
            <w:vAlign w:val="center"/>
          </w:tcPr>
          <w:p>
            <w:pPr>
              <w:jc w:val="center"/>
              <w:rPr>
                <w:rFonts w:ascii="宋体" w:hAnsi="宋体"/>
                <w:szCs w:val="21"/>
              </w:rPr>
            </w:pPr>
            <w:r>
              <w:rPr>
                <w:rFonts w:hint="eastAsia" w:ascii="宋体" w:hAnsi="宋体"/>
                <w:szCs w:val="21"/>
              </w:rPr>
              <w:t>32</w:t>
            </w:r>
          </w:p>
        </w:tc>
        <w:tc>
          <w:tcPr>
            <w:tcW w:w="5351" w:type="dxa"/>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snapToGrid w:val="0"/>
              <w:rPr>
                <w:rFonts w:ascii="宋体" w:hAnsi="宋体" w:cs="宋体"/>
                <w:kern w:val="0"/>
                <w:szCs w:val="21"/>
              </w:rPr>
            </w:pPr>
            <w:r>
              <w:rPr>
                <w:rFonts w:hint="eastAsia" w:ascii="宋体" w:hAnsi="宋体" w:cs="宋体"/>
                <w:kern w:val="0"/>
                <w:szCs w:val="21"/>
              </w:rPr>
              <w:t>考察投标人对招标文件《用户需求书：服务</w:t>
            </w:r>
            <w:r>
              <w:rPr>
                <w:rFonts w:hint="eastAsia" w:ascii="宋体" w:hAnsi="宋体" w:cs="宋体"/>
                <w:kern w:val="0"/>
                <w:szCs w:val="21"/>
                <w:lang w:val="en-US" w:eastAsia="zh-CN"/>
              </w:rPr>
              <w:t>内容</w:t>
            </w:r>
            <w:r>
              <w:rPr>
                <w:rFonts w:hint="eastAsia" w:ascii="宋体" w:hAnsi="宋体" w:cs="宋体"/>
                <w:kern w:val="0"/>
                <w:szCs w:val="21"/>
              </w:rPr>
              <w:t>》内容中的参数响应情况。</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wordWrap w:val="0"/>
              <w:rPr>
                <w:rFonts w:ascii="宋体" w:hAnsi="宋体"/>
                <w:szCs w:val="21"/>
              </w:rPr>
            </w:pPr>
            <w:r>
              <w:rPr>
                <w:rFonts w:hint="eastAsia" w:ascii="宋体" w:hAnsi="宋体" w:cs="宋体"/>
                <w:color w:val="000000" w:themeColor="text1"/>
                <w:szCs w:val="21"/>
                <w14:textFill>
                  <w14:solidFill>
                    <w14:schemeClr w14:val="tx1"/>
                  </w14:solidFill>
                </w14:textFill>
              </w:rPr>
              <w:t>以投标文件《服务要求条款偏离表》为评审依据，完全符合招标要求的，得32分。有1项参数不符合招标要求（或缺漏）的扣4分，扣完为止。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2</w:t>
            </w:r>
          </w:p>
        </w:tc>
        <w:tc>
          <w:tcPr>
            <w:tcW w:w="2835" w:type="dxa"/>
            <w:vAlign w:val="center"/>
          </w:tcPr>
          <w:p>
            <w:pPr>
              <w:pStyle w:val="51"/>
              <w:spacing w:line="400" w:lineRule="exact"/>
              <w:ind w:firstLine="0" w:firstLineChars="0"/>
              <w:jc w:val="center"/>
              <w:rPr>
                <w:rFonts w:ascii="宋体" w:hAnsi="宋体"/>
                <w:szCs w:val="21"/>
              </w:rPr>
            </w:pPr>
            <w:r>
              <w:rPr>
                <w:rFonts w:hint="eastAsia" w:ascii="宋体" w:hAnsi="宋体" w:cs="宋体"/>
                <w:color w:val="000000"/>
                <w:szCs w:val="21"/>
              </w:rPr>
              <w:t>实施方案</w:t>
            </w:r>
          </w:p>
        </w:tc>
        <w:tc>
          <w:tcPr>
            <w:tcW w:w="851" w:type="dxa"/>
            <w:vAlign w:val="center"/>
          </w:tcPr>
          <w:p>
            <w:pPr>
              <w:jc w:val="center"/>
              <w:rPr>
                <w:rFonts w:ascii="宋体" w:hAnsi="宋体"/>
                <w:szCs w:val="21"/>
              </w:rPr>
            </w:pPr>
            <w:r>
              <w:rPr>
                <w:rFonts w:hint="eastAsia" w:ascii="宋体" w:hAnsi="宋体"/>
                <w:szCs w:val="21"/>
              </w:rPr>
              <w:t>14</w:t>
            </w:r>
          </w:p>
        </w:tc>
        <w:tc>
          <w:tcPr>
            <w:tcW w:w="5351" w:type="dxa"/>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根据投标人提供的实施方案进行打分，内容包括：</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1、本项目的现状分析；</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2、需求理解、项目目标及需求分析内容；</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3、总体设计方案，包括项目总体设计依据、总体技术架构设计、总体网络架构设计、数据接口设计。</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 投标人提供的项目实施方案每满足以上1点要求得3分，最高得9分。 </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 在第1项的基础上，根据以下标准对投标人具体响应内容进行进一步评审：</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（1）内容完整、合理性强，评价为优，得5分；</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（2）内容较完整、合理性较强，评价为良，得3分；</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（3）内容完整性一般、合理性一般，评价为中，得1分；</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（4）内容简单，合理较差，评价为差得0分。</w:t>
            </w:r>
          </w:p>
          <w:p>
            <w:pPr>
              <w:wordWrap w:val="0"/>
            </w:pPr>
            <w:r>
              <w:rPr>
                <w:rFonts w:hint="eastAsia" w:ascii="宋体" w:hAnsi="宋体" w:cs="宋体"/>
                <w:color w:val="000000" w:themeColor="text1"/>
                <w:szCs w:val="21"/>
                <w:lang w:val="en-US" w:eastAsia="zh-CN"/>
                <w14:textFill>
                  <w14:solidFill>
                    <w14:schemeClr w14:val="tx1"/>
                  </w14:solidFill>
                </w14:textFill>
              </w:rPr>
              <w:t>以上2项得分累计，最高得14分。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ascii="宋体" w:hAnsi="宋体"/>
                <w:szCs w:val="21"/>
              </w:rPr>
              <w:t>3</w:t>
            </w:r>
          </w:p>
        </w:tc>
        <w:tc>
          <w:tcPr>
            <w:tcW w:w="2835" w:type="dxa"/>
            <w:vAlign w:val="center"/>
          </w:tcPr>
          <w:p>
            <w:pPr>
              <w:autoSpaceDE w:val="0"/>
              <w:autoSpaceDN w:val="0"/>
              <w:adjustRightInd w:val="0"/>
              <w:spacing w:line="400" w:lineRule="exact"/>
              <w:jc w:val="center"/>
              <w:rPr>
                <w:rFonts w:ascii="宋体" w:hAnsi="宋体" w:cs="宋体"/>
                <w:color w:val="000000"/>
                <w:szCs w:val="21"/>
              </w:rPr>
            </w:pPr>
            <w:r>
              <w:rPr>
                <w:rFonts w:hint="eastAsia" w:ascii="宋体" w:hAnsi="宋体" w:cs="宋体"/>
                <w:color w:val="000000"/>
                <w:szCs w:val="21"/>
              </w:rPr>
              <w:t>质量保证措施</w:t>
            </w:r>
          </w:p>
        </w:tc>
        <w:tc>
          <w:tcPr>
            <w:tcW w:w="851" w:type="dxa"/>
            <w:vAlign w:val="center"/>
          </w:tcPr>
          <w:p>
            <w:pPr>
              <w:jc w:val="center"/>
              <w:rPr>
                <w:rFonts w:ascii="宋体" w:hAnsi="宋体"/>
                <w:szCs w:val="21"/>
              </w:rPr>
            </w:pPr>
            <w:r>
              <w:rPr>
                <w:rFonts w:ascii="宋体" w:hAnsi="宋体"/>
                <w:szCs w:val="21"/>
              </w:rPr>
              <w:t>1</w:t>
            </w:r>
            <w:r>
              <w:rPr>
                <w:rFonts w:hint="eastAsia" w:ascii="宋体" w:hAnsi="宋体"/>
                <w:szCs w:val="21"/>
              </w:rPr>
              <w:t>4</w:t>
            </w:r>
          </w:p>
        </w:tc>
        <w:tc>
          <w:tcPr>
            <w:tcW w:w="5351" w:type="dxa"/>
            <w:vAlign w:val="center"/>
          </w:tcPr>
          <w:p>
            <w:pPr>
              <w:widowControl/>
              <w:jc w:val="left"/>
              <w:textAlignment w:val="center"/>
              <w:rPr>
                <w:rFonts w:asciiTheme="minorEastAsia" w:hAnsiTheme="minorEastAsia" w:cstheme="minorEastAsia"/>
                <w:szCs w:val="21"/>
              </w:rPr>
            </w:pPr>
            <w:r>
              <w:rPr>
                <w:rFonts w:hint="eastAsia" w:asciiTheme="minorEastAsia" w:hAnsiTheme="minorEastAsia" w:cstheme="minorEastAsia"/>
                <w:b/>
                <w:bCs/>
                <w:szCs w:val="21"/>
              </w:rPr>
              <w:t>（一）评审内容：</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根据投标人提供的质量保证措施进行打分，内容包括：</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1、质保时间；</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2、质量保证措施；</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3、售后服务体系。</w:t>
            </w:r>
          </w:p>
          <w:p>
            <w:pPr>
              <w:snapToGrid w:val="0"/>
              <w:contextualSpacing/>
              <w:jc w:val="left"/>
            </w:pPr>
            <w:r>
              <w:rPr>
                <w:rFonts w:hint="eastAsia" w:ascii="宋体" w:hAnsi="宋体" w:cs="宋体"/>
                <w:b/>
                <w:bCs/>
                <w:szCs w:val="21"/>
              </w:rPr>
              <w:t>（二）评审依据</w:t>
            </w:r>
            <w:r>
              <w:rPr>
                <w:rFonts w:hint="eastAsia" w:ascii="宋体" w:hAnsi="宋体" w:cs="宋体"/>
                <w:szCs w:val="21"/>
              </w:rPr>
              <w:t>：</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1. 投标人提供的项目质量保证措施每满足以上1点要求得3分，最高得9分。 </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 在第1项的基础上，根据以下标准对投标人具体响应内容进行进一步评审：</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（1）内容完整、合理性强，评价为优，得5分；</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（2）内容较完整、合理性较强，评价为良，得3分；</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（3）内容完整性一般、合理性一般，评价为中，得1分；</w:t>
            </w:r>
          </w:p>
          <w:p>
            <w:pPr>
              <w:wordWrap w:val="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（4）内容简单，合理较差，评价为差得0分。</w:t>
            </w:r>
          </w:p>
          <w:p>
            <w:pPr>
              <w:wordWrap w:val="0"/>
              <w:rPr>
                <w:rFonts w:ascii="宋体" w:hAnsi="宋体"/>
                <w:szCs w:val="21"/>
              </w:rPr>
            </w:pPr>
            <w:r>
              <w:rPr>
                <w:rFonts w:hint="eastAsia" w:ascii="宋体" w:hAnsi="宋体" w:cs="宋体"/>
                <w:color w:val="000000" w:themeColor="text1"/>
                <w:szCs w:val="21"/>
                <w:lang w:val="en-US" w:eastAsia="zh-CN"/>
                <w14:textFill>
                  <w14:solidFill>
                    <w14:schemeClr w14:val="tx1"/>
                  </w14:solidFill>
                </w14:textFill>
              </w:rPr>
              <w:t>以上2项得分累计，最高得14分。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6" w:type="dxa"/>
            <w:gridSpan w:val="4"/>
            <w:vAlign w:val="center"/>
          </w:tcPr>
          <w:p>
            <w:pPr>
              <w:jc w:val="center"/>
              <w:rPr>
                <w:rFonts w:ascii="宋体" w:hAnsi="宋体"/>
                <w:b/>
                <w:bCs/>
                <w:sz w:val="24"/>
                <w:szCs w:val="24"/>
              </w:rPr>
            </w:pPr>
            <w:r>
              <w:rPr>
                <w:rFonts w:hint="eastAsia" w:ascii="宋体" w:hAnsi="宋体"/>
                <w:b/>
                <w:bCs/>
                <w:sz w:val="24"/>
                <w:szCs w:val="24"/>
              </w:rPr>
              <w:t>二、商务部分</w:t>
            </w:r>
            <w:r>
              <w:rPr>
                <w:rFonts w:hint="eastAsia" w:ascii="宋体" w:hAnsi="宋体"/>
                <w:b/>
                <w:bCs/>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b/>
                <w:bCs/>
                <w:szCs w:val="21"/>
              </w:rPr>
              <w:t>序号</w:t>
            </w:r>
          </w:p>
        </w:tc>
        <w:tc>
          <w:tcPr>
            <w:tcW w:w="2835" w:type="dxa"/>
            <w:vAlign w:val="center"/>
          </w:tcPr>
          <w:p>
            <w:pPr>
              <w:jc w:val="center"/>
              <w:rPr>
                <w:rFonts w:ascii="宋体" w:hAnsi="宋体"/>
                <w:szCs w:val="21"/>
              </w:rPr>
            </w:pPr>
            <w:r>
              <w:rPr>
                <w:rFonts w:hint="eastAsia" w:ascii="宋体" w:hAnsi="宋体"/>
                <w:b/>
                <w:bCs/>
                <w:szCs w:val="21"/>
              </w:rPr>
              <w:t>评分因素</w:t>
            </w:r>
          </w:p>
        </w:tc>
        <w:tc>
          <w:tcPr>
            <w:tcW w:w="851" w:type="dxa"/>
            <w:vAlign w:val="center"/>
          </w:tcPr>
          <w:p>
            <w:pPr>
              <w:jc w:val="center"/>
              <w:rPr>
                <w:rFonts w:ascii="宋体" w:hAnsi="宋体"/>
                <w:szCs w:val="21"/>
              </w:rPr>
            </w:pPr>
            <w:r>
              <w:rPr>
                <w:rFonts w:hint="eastAsia" w:ascii="宋体" w:hAnsi="宋体"/>
                <w:b/>
                <w:bCs/>
                <w:szCs w:val="21"/>
              </w:rPr>
              <w:t>分值</w:t>
            </w:r>
          </w:p>
        </w:tc>
        <w:tc>
          <w:tcPr>
            <w:tcW w:w="5351" w:type="dxa"/>
            <w:vAlign w:val="center"/>
          </w:tcPr>
          <w:p>
            <w:pPr>
              <w:jc w:val="center"/>
              <w:rPr>
                <w:rFonts w:ascii="宋体" w:hAnsi="宋体"/>
                <w:szCs w:val="21"/>
              </w:rPr>
            </w:pPr>
            <w:r>
              <w:rPr>
                <w:rFonts w:hint="eastAsia" w:ascii="宋体" w:hAnsi="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1</w:t>
            </w:r>
          </w:p>
        </w:tc>
        <w:tc>
          <w:tcPr>
            <w:tcW w:w="2835" w:type="dxa"/>
            <w:vAlign w:val="center"/>
          </w:tcPr>
          <w:p>
            <w:pPr>
              <w:jc w:val="center"/>
              <w:rPr>
                <w:rFonts w:ascii="宋体" w:hAnsi="宋体"/>
                <w:szCs w:val="21"/>
              </w:rPr>
            </w:pPr>
            <w:r>
              <w:rPr>
                <w:rFonts w:hint="eastAsia" w:ascii="宋体" w:hAnsi="宋体" w:cs="宋体"/>
                <w:color w:val="000000" w:themeColor="text1"/>
                <w:szCs w:val="21"/>
                <w14:textFill>
                  <w14:solidFill>
                    <w14:schemeClr w14:val="tx1"/>
                  </w14:solidFill>
                </w14:textFill>
              </w:rPr>
              <w:t>拟安排的项目负责人情况（仅限一人）</w:t>
            </w:r>
          </w:p>
        </w:tc>
        <w:tc>
          <w:tcPr>
            <w:tcW w:w="851" w:type="dxa"/>
            <w:vAlign w:val="center"/>
          </w:tcPr>
          <w:p>
            <w:pPr>
              <w:jc w:val="center"/>
              <w:rPr>
                <w:rFonts w:ascii="宋体" w:hAnsi="宋体"/>
                <w:szCs w:val="21"/>
              </w:rPr>
            </w:pPr>
            <w:r>
              <w:rPr>
                <w:rFonts w:ascii="宋体" w:hAnsi="宋体"/>
                <w:szCs w:val="21"/>
              </w:rPr>
              <w:t>5</w:t>
            </w:r>
          </w:p>
        </w:tc>
        <w:tc>
          <w:tcPr>
            <w:tcW w:w="5351" w:type="dxa"/>
            <w:vAlign w:val="center"/>
          </w:tcPr>
          <w:p>
            <w:pPr>
              <w:wordWrap w:val="0"/>
              <w:rPr>
                <w:rFonts w:ascii="宋体" w:hAnsi="宋体" w:cs="宋体"/>
                <w:b/>
                <w:bCs/>
              </w:rPr>
            </w:pPr>
            <w:r>
              <w:rPr>
                <w:rFonts w:hint="eastAsia" w:ascii="宋体" w:hAnsi="宋体" w:cs="宋体"/>
                <w:b/>
                <w:bCs/>
              </w:rPr>
              <w:t>（一）评审内容：</w:t>
            </w:r>
          </w:p>
          <w:p>
            <w:pPr>
              <w:wordWrap w:val="0"/>
              <w:rPr>
                <w:rFonts w:ascii="宋体" w:hAnsi="宋体" w:cs="宋体"/>
              </w:rPr>
            </w:pPr>
            <w:r>
              <w:rPr>
                <w:rFonts w:hint="eastAsia" w:ascii="宋体" w:hAnsi="宋体" w:cs="宋体"/>
                <w:color w:val="000000" w:themeColor="text1"/>
                <w:szCs w:val="21"/>
                <w14:textFill>
                  <w14:solidFill>
                    <w14:schemeClr w14:val="tx1"/>
                  </w14:solidFill>
                </w14:textFill>
              </w:rPr>
              <w:t>投标人为本项目拟安排的项目负责人为投标人自有员工（以社保为准），否则不得分，在此基础上：</w:t>
            </w:r>
          </w:p>
          <w:p>
            <w:pPr>
              <w:wordWrap w:val="0"/>
              <w:rPr>
                <w:rFonts w:ascii="宋体" w:hAnsi="宋体" w:cs="宋体"/>
              </w:rPr>
            </w:pPr>
            <w:r>
              <w:rPr>
                <w:rFonts w:ascii="宋体" w:hAnsi="宋体" w:cs="宋体"/>
              </w:rPr>
              <w:t>1</w:t>
            </w:r>
            <w:r>
              <w:rPr>
                <w:rFonts w:hint="eastAsia" w:ascii="宋体" w:hAnsi="宋体" w:cs="宋体"/>
              </w:rPr>
              <w:t>.计算机或医学专业本科（含本科）以上学历，提供学历证书和学位证书，得</w:t>
            </w:r>
            <w:r>
              <w:rPr>
                <w:rFonts w:ascii="宋体" w:hAnsi="宋体" w:cs="宋体"/>
              </w:rPr>
              <w:t>2.5</w:t>
            </w:r>
            <w:r>
              <w:rPr>
                <w:rFonts w:hint="eastAsia" w:ascii="宋体" w:hAnsi="宋体" w:cs="宋体"/>
              </w:rPr>
              <w:t>分</w:t>
            </w:r>
          </w:p>
          <w:p>
            <w:pPr>
              <w:wordWrap w:val="0"/>
              <w:rPr>
                <w:rFonts w:hint="eastAsia"/>
              </w:rPr>
            </w:pPr>
            <w:r>
              <w:rPr>
                <w:rFonts w:hint="eastAsia" w:ascii="宋体" w:hAnsi="宋体" w:cs="宋体"/>
              </w:rPr>
              <w:t>2</w:t>
            </w:r>
            <w:r>
              <w:rPr>
                <w:rFonts w:ascii="宋体" w:hAnsi="宋体" w:cs="宋体"/>
              </w:rPr>
              <w:t>.</w:t>
            </w:r>
            <w:r>
              <w:rPr>
                <w:rFonts w:hint="eastAsia" w:ascii="宋体" w:hAnsi="宋体" w:cs="宋体"/>
              </w:rPr>
              <w:t>具有信息系统项目管理师证书</w:t>
            </w:r>
            <w:bookmarkStart w:id="2" w:name="OLE_LINK5"/>
            <w:r>
              <w:rPr>
                <w:rFonts w:hint="eastAsia" w:ascii="宋体" w:hAnsi="宋体" w:cs="宋体"/>
              </w:rPr>
              <w:t>，得</w:t>
            </w:r>
            <w:r>
              <w:rPr>
                <w:rFonts w:ascii="宋体" w:hAnsi="宋体" w:cs="宋体"/>
              </w:rPr>
              <w:t>2.5</w:t>
            </w:r>
            <w:r>
              <w:rPr>
                <w:rFonts w:hint="eastAsia" w:ascii="宋体" w:hAnsi="宋体" w:cs="宋体"/>
              </w:rPr>
              <w:t>分</w:t>
            </w:r>
            <w:bookmarkEnd w:id="2"/>
            <w:r>
              <w:rPr>
                <w:rFonts w:hint="eastAsia" w:ascii="宋体" w:hAnsi="宋体" w:cs="宋体"/>
              </w:rPr>
              <w:t>。</w:t>
            </w: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（二）评审依据：</w:t>
            </w:r>
          </w:p>
          <w:p>
            <w:pPr>
              <w:numPr>
                <w:ilvl w:val="0"/>
                <w:numId w:val="1"/>
              </w:numPr>
              <w:snapToGrid w:val="0"/>
              <w:contextualSpacing/>
              <w:rPr>
                <w:rFonts w:ascii="宋体" w:hAnsi="宋体" w:cs="宋体"/>
              </w:rPr>
            </w:pPr>
            <w:r>
              <w:rPr>
                <w:rFonts w:ascii="宋体" w:hAnsi="宋体" w:cs="宋体"/>
                <w:color w:val="000000" w:themeColor="text1"/>
                <w:kern w:val="0"/>
                <w:szCs w:val="21"/>
                <w14:textFill>
                  <w14:solidFill>
                    <w14:schemeClr w14:val="tx1"/>
                  </w14:solidFill>
                </w14:textFill>
              </w:rPr>
              <w:t>提供项目</w:t>
            </w:r>
            <w:r>
              <w:rPr>
                <w:rFonts w:hint="eastAsia" w:ascii="宋体" w:hAnsi="宋体" w:cs="宋体"/>
                <w:color w:val="000000" w:themeColor="text1"/>
                <w:kern w:val="0"/>
                <w:szCs w:val="21"/>
                <w14:textFill>
                  <w14:solidFill>
                    <w14:schemeClr w14:val="tx1"/>
                  </w14:solidFill>
                </w14:textFill>
              </w:rPr>
              <w:t>人员</w:t>
            </w:r>
            <w:r>
              <w:rPr>
                <w:rFonts w:ascii="宋体" w:hAnsi="宋体" w:cs="宋体"/>
                <w:color w:val="000000" w:themeColor="text1"/>
                <w:kern w:val="0"/>
                <w:szCs w:val="21"/>
                <w14:textFill>
                  <w14:solidFill>
                    <w14:schemeClr w14:val="tx1"/>
                  </w14:solidFill>
                </w14:textFill>
              </w:rPr>
              <w:t>通过投标单位缴纳的载有社保部门或税务部门公章缴纳的投标截止日近1个月的社保证明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pPr>
              <w:tabs>
                <w:tab w:val="left" w:pos="567"/>
              </w:tabs>
              <w:snapToGrid w:val="0"/>
              <w:contextualSpacing/>
              <w:rPr>
                <w:rFonts w:ascii="宋体" w:hAnsi="宋体" w:cs="宋体"/>
                <w:color w:val="000000"/>
                <w:szCs w:val="21"/>
              </w:rPr>
            </w:pP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szCs w:val="21"/>
              </w:rPr>
              <w:t xml:space="preserve"> 学历证书:要求提供证书扫描件以及学信网</w:t>
            </w:r>
          </w:p>
          <w:p>
            <w:pPr>
              <w:snapToGrid w:val="0"/>
              <w:contextualSpacing/>
              <w:jc w:val="left"/>
              <w:rPr>
                <w:rFonts w:hint="default" w:eastAsia="仿宋"/>
                <w:lang w:val="en-US" w:eastAsia="zh-CN"/>
              </w:rPr>
            </w:pPr>
            <w:r>
              <w:rPr>
                <w:rFonts w:hint="eastAsia" w:ascii="宋体" w:hAnsi="宋体" w:cs="宋体"/>
                <w:color w:val="000000"/>
                <w:szCs w:val="21"/>
              </w:rPr>
              <w:t>(https://www.chsi.com.cn/)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pPr>
              <w:wordWrap w:val="0"/>
              <w:rPr>
                <w:rFonts w:ascii="宋体" w:hAnsi="宋体" w:cs="宋体"/>
                <w:color w:val="000000" w:themeColor="text1"/>
                <w:szCs w:val="21"/>
                <w14:textFill>
                  <w14:solidFill>
                    <w14:schemeClr w14:val="tx1"/>
                  </w14:solidFill>
                </w14:textFill>
              </w:rPr>
            </w:pPr>
            <w:r>
              <w:rPr>
                <w:rFonts w:hint="eastAsia" w:ascii="宋体" w:hAnsi="宋体" w:cs="宋体"/>
                <w:lang w:val="en-US" w:eastAsia="zh-CN"/>
              </w:rPr>
              <w:t>3</w:t>
            </w:r>
            <w:r>
              <w:rPr>
                <w:rFonts w:hint="eastAsia" w:ascii="宋体" w:hAnsi="宋体" w:cs="宋体"/>
              </w:rPr>
              <w:t>.要求提供相关证书复印件作为证明材料。①如由社会组织颁发的证书，还需同时提供该组织在“全国社会组织信用信息公示平台（https://xxgs.chinanpo.mca.gov.cn/gsxt/newList）”的查询截图（截图需体现网址且状态为正常），否则该证书不得分。②如由事业单位颁发的证书，还需提供该单位在“机关赋码和事业单位登记管理平台(gjsy.gov.cn)”查询单位状 态为正常的截图，否则不予认可，视为无效证书。③提供技能人才评价证书全国联网查询网站（http://jndj.osta.org.cn）的查询截图；如已获得职业技能等级证书，但尚未能在技能人才评价证书全国联网查询的，提供发证机构（或协会）在职业技能等级评价机构公示查询系统(http://pjjg.osta.org.cn/)的查询截图，截图页须显示评价机构（或协会）的名称及开展职业技能等级认定的职业内容：包含职业名称、职业代码、工种/职业方向名称、级别的信息，（未包含或不符合以上信息不得分），以及发证机构（或协会）开具加盖公章的证明文件；</w:t>
            </w:r>
          </w:p>
          <w:p>
            <w:pPr>
              <w:wordWrap w:val="0"/>
              <w:rPr>
                <w:rFonts w:ascii="宋体" w:hAnsi="宋体"/>
                <w:szCs w:val="21"/>
              </w:rPr>
            </w:pP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.评分中出现无证明资料或者评审委员会无法凭所提供资料判断是否得分的情况，一律做不得分处理。</w:t>
            </w:r>
            <w:r>
              <w:rPr>
                <w:rFonts w:hint="eastAsia" w:ascii="宋体" w:hAnsi="宋体" w:cs="宋体"/>
                <w:lang w:val="en-US" w:eastAsia="zh-CN"/>
              </w:rPr>
              <w:t>5</w:t>
            </w:r>
            <w:r>
              <w:rPr>
                <w:rFonts w:hint="eastAsia" w:ascii="宋体" w:hAnsi="宋体" w:cs="宋体"/>
              </w:rPr>
              <w:t>.以上资料均要求提供复印件（或官方网站截图）。评分中出现无证明资料或评审委员会无法凭所提供资料判断是否得分的情况，一律作不得分处理。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2</w:t>
            </w:r>
          </w:p>
        </w:tc>
        <w:tc>
          <w:tcPr>
            <w:tcW w:w="2835" w:type="dxa"/>
            <w:vAlign w:val="center"/>
          </w:tcPr>
          <w:p>
            <w:pPr>
              <w:jc w:val="center"/>
              <w:rPr>
                <w:rFonts w:ascii="宋体" w:hAnsi="宋体"/>
                <w:szCs w:val="21"/>
              </w:rPr>
            </w:pPr>
            <w:r>
              <w:rPr>
                <w:rFonts w:hint="eastAsia" w:ascii="宋体" w:hAnsi="宋体"/>
                <w:szCs w:val="21"/>
              </w:rPr>
              <w:t>业绩情况</w:t>
            </w:r>
          </w:p>
        </w:tc>
        <w:tc>
          <w:tcPr>
            <w:tcW w:w="851" w:type="dxa"/>
            <w:vAlign w:val="center"/>
          </w:tcPr>
          <w:p>
            <w:pPr>
              <w:jc w:val="center"/>
              <w:rPr>
                <w:rFonts w:ascii="宋体" w:hAnsi="宋体"/>
                <w:szCs w:val="21"/>
              </w:rPr>
            </w:pPr>
            <w:r>
              <w:rPr>
                <w:rFonts w:hint="eastAsia" w:ascii="宋体" w:hAnsi="宋体"/>
                <w:szCs w:val="21"/>
              </w:rPr>
              <w:t>10</w:t>
            </w:r>
          </w:p>
        </w:tc>
        <w:tc>
          <w:tcPr>
            <w:tcW w:w="5351" w:type="dxa"/>
            <w:vAlign w:val="center"/>
          </w:tcPr>
          <w:p>
            <w:pPr>
              <w:wordWrap w:val="0"/>
              <w:rPr>
                <w:rFonts w:ascii="宋体" w:hAnsi="宋体" w:cs="宋体"/>
                <w:b/>
                <w:bCs/>
              </w:rPr>
            </w:pPr>
            <w:r>
              <w:rPr>
                <w:rFonts w:hint="eastAsia" w:ascii="宋体" w:hAnsi="宋体" w:cs="宋体"/>
                <w:b/>
                <w:bCs/>
              </w:rPr>
              <w:t>（一）评审内容：</w:t>
            </w:r>
          </w:p>
          <w:p>
            <w:pPr>
              <w:jc w:val="left"/>
              <w:rPr>
                <w:rFonts w:ascii="宋体" w:hAnsi="宋体" w:cs="宋体"/>
                <w:szCs w:val="21"/>
              </w:rPr>
            </w:pPr>
            <w:r>
              <w:t>投标人应提供自2022年1月1日至今(以合同签订时间为准)独立承接或作为主要参与</w:t>
            </w:r>
            <w:r>
              <w:rPr>
                <w:highlight w:val="none"/>
              </w:rPr>
              <w:t>方的</w:t>
            </w:r>
            <w:r>
              <w:rPr>
                <w:rFonts w:hint="eastAsia"/>
                <w:highlight w:val="none"/>
              </w:rPr>
              <w:t>同类项目（数据资产、专病数据治理、数据登记）案例证明</w:t>
            </w:r>
            <w:r>
              <w:rPr>
                <w:highlight w:val="none"/>
              </w:rPr>
              <w:t>，每提</w:t>
            </w:r>
            <w:r>
              <w:t>供一个有效案例得2分，满分10分。有效案例指满足以下任一条件的项目</w:t>
            </w:r>
            <w:r>
              <w:rPr>
                <w:rFonts w:hint="eastAsia"/>
              </w:rPr>
              <w:t>：</w:t>
            </w:r>
            <w:r>
              <w:br w:type="textWrapping"/>
            </w:r>
            <w:r>
              <w:t>1. 数据产权登记类：项目内容明确包含协助客户在数据交易所</w:t>
            </w:r>
            <w:r>
              <w:rPr>
                <w:rFonts w:hint="eastAsia"/>
              </w:rPr>
              <w:t>（</w:t>
            </w:r>
            <w:r>
              <w:t>如深圳，广州，上海，北京等</w:t>
            </w:r>
            <w:bookmarkStart w:id="3" w:name="OLE_LINK3"/>
            <w:r>
              <w:rPr>
                <w:rFonts w:hint="eastAsia"/>
              </w:rPr>
              <w:t>）</w:t>
            </w:r>
            <w:bookmarkEnd w:id="3"/>
            <w:r>
              <w:t>或知识产权保护中心完成数据产品挂牌或获取数据产权登记证书/数据知识产权登记证书。</w:t>
            </w:r>
            <w:r>
              <w:br w:type="textWrapping"/>
            </w:r>
            <w:r>
              <w:t>2. 数据资产管理/合规类：项目内容包含对医疗健康数据或类似敏感数据的数据资源盘点，合规审查，数据确权及出具相关法律评估报告</w:t>
            </w:r>
            <w:r>
              <w:rPr>
                <w:rFonts w:hint="eastAsia"/>
              </w:rPr>
              <w:t>（</w:t>
            </w:r>
            <w:r>
              <w:t>如个人信息保护影响评估报告，数据来源合法性审查意见书等</w:t>
            </w:r>
            <w:r>
              <w:rPr>
                <w:rFonts w:hint="eastAsia"/>
              </w:rPr>
              <w:t>）。</w:t>
            </w:r>
            <w:r>
              <w:br w:type="textWrapping"/>
            </w:r>
            <w:r>
              <w:rPr>
                <w:rFonts w:hint="eastAsia"/>
              </w:rPr>
              <w:t>（</w:t>
            </w:r>
            <w:r>
              <w:t>注：需提供合同关键页扫描件，并能清晰体现项目服务内容。</w:t>
            </w:r>
            <w:r>
              <w:rPr>
                <w:rFonts w:hint="eastAsia"/>
              </w:rPr>
              <w:t>）</w:t>
            </w: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（二）评审依据：</w:t>
            </w:r>
          </w:p>
          <w:p>
            <w:pPr>
              <w:jc w:val="left"/>
              <w:rPr>
                <w:rFonts w:ascii="宋体" w:hAnsi="宋体" w:cs="宋体"/>
                <w:szCs w:val="21"/>
              </w:rPr>
            </w:pPr>
            <w:r>
              <w:rPr>
                <w:rFonts w:hint="eastAsia" w:ascii="宋体" w:hAnsi="宋体" w:cs="宋体"/>
                <w:szCs w:val="21"/>
              </w:rPr>
              <w:t>1、同时提供:①中标通知书，②合同关键页(包括但不限于合同首页、内容页、签章页)或以上证明材料【中标通知书的中标人名称需与合同乙方(投标人)名称一致。若合同乙方(投标人)有名称变更的，投标人需提供说明】。</w:t>
            </w:r>
          </w:p>
          <w:p>
            <w:pPr>
              <w:jc w:val="left"/>
              <w:rPr>
                <w:rFonts w:ascii="宋体" w:hAnsi="宋体"/>
                <w:szCs w:val="21"/>
              </w:rPr>
            </w:pPr>
            <w:r>
              <w:rPr>
                <w:rFonts w:hint="eastAsia" w:ascii="宋体" w:hAnsi="宋体" w:cs="宋体"/>
                <w:szCs w:val="21"/>
              </w:rPr>
              <w:t>2、未按要求提供证明材料(或证明材料无法判断是否符合评分要求)的不得分，原件备查。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jc w:val="center"/>
              <w:rPr>
                <w:rFonts w:ascii="宋体" w:hAnsi="宋体"/>
                <w:szCs w:val="21"/>
              </w:rPr>
            </w:pPr>
            <w:r>
              <w:rPr>
                <w:rFonts w:hint="eastAsia" w:ascii="宋体" w:hAnsi="宋体"/>
                <w:szCs w:val="21"/>
              </w:rPr>
              <w:t>3</w:t>
            </w:r>
          </w:p>
        </w:tc>
        <w:tc>
          <w:tcPr>
            <w:tcW w:w="2835" w:type="dxa"/>
          </w:tcPr>
          <w:p>
            <w:pPr>
              <w:wordWrap w:val="0"/>
              <w:spacing w:after="60" w:line="360" w:lineRule="auto"/>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ascii="宋体" w:hAnsi="宋体"/>
                <w:szCs w:val="21"/>
              </w:rPr>
              <w:t>诚信情况</w:t>
            </w:r>
          </w:p>
        </w:tc>
        <w:tc>
          <w:tcPr>
            <w:tcW w:w="851" w:type="dxa"/>
          </w:tcPr>
          <w:p>
            <w:pPr>
              <w:wordWrap w:val="0"/>
              <w:spacing w:after="60" w:line="360" w:lineRule="auto"/>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ascii="宋体" w:hAnsi="宋体"/>
                <w:szCs w:val="21"/>
              </w:rPr>
              <w:t>5</w:t>
            </w:r>
          </w:p>
        </w:tc>
        <w:tc>
          <w:tcPr>
            <w:tcW w:w="5351" w:type="dxa"/>
            <w:vAlign w:val="center"/>
          </w:tcPr>
          <w:p>
            <w:pPr>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
                <w:bCs/>
              </w:rPr>
              <w:t>（一）评审内容：</w:t>
            </w:r>
            <w:r>
              <w:rPr>
                <w:rFonts w:hint="eastAsia" w:ascii="宋体" w:hAnsi="宋体" w:cs="宋体"/>
                <w:bCs/>
                <w:color w:val="000000" w:themeColor="text1"/>
                <w:kern w:val="0"/>
                <w:szCs w:val="21"/>
                <w14:textFill>
                  <w14:solidFill>
                    <w14:schemeClr w14:val="tx1"/>
                  </w14:solidFill>
                </w14:textFill>
              </w:rPr>
              <w:br w:type="textWrapping"/>
            </w:r>
            <w:r>
              <w:rPr>
                <w:rFonts w:hint="eastAsia" w:ascii="宋体" w:hAnsi="宋体" w:cs="宋体"/>
                <w:bCs/>
                <w:color w:val="000000" w:themeColor="text1"/>
                <w:kern w:val="0"/>
                <w:szCs w:val="21"/>
                <w14:textFill>
                  <w14:solidFill>
                    <w14:schemeClr w14:val="tx1"/>
                  </w14:solidFill>
                </w14:textFill>
              </w:rP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5分。</w:t>
            </w:r>
            <w:r>
              <w:rPr>
                <w:rFonts w:hint="eastAsia" w:ascii="宋体" w:hAnsi="宋体" w:cs="宋体"/>
                <w:bCs/>
                <w:color w:val="000000" w:themeColor="text1"/>
                <w:kern w:val="0"/>
                <w:szCs w:val="21"/>
                <w14:textFill>
                  <w14:solidFill>
                    <w14:schemeClr w14:val="tx1"/>
                  </w14:solidFill>
                </w14:textFill>
              </w:rPr>
              <w:br w:type="textWrapping"/>
            </w:r>
            <w:r>
              <w:rPr>
                <w:rFonts w:hint="eastAsia" w:ascii="宋体" w:hAnsi="宋体" w:cs="宋体"/>
                <w:b/>
                <w:bCs/>
                <w:color w:val="000000" w:themeColor="text1"/>
                <w:szCs w:val="21"/>
                <w14:textFill>
                  <w14:solidFill>
                    <w14:schemeClr w14:val="tx1"/>
                  </w14:solidFill>
                </w14:textFill>
              </w:rPr>
              <w:t>（二）评审依据：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 提供“信用中国”、“中国政府采购网”、“深圳信用网”“深圳市政府采购</w:t>
            </w:r>
          </w:p>
          <w:p>
            <w:pPr>
              <w:adjustRightInd w:val="0"/>
              <w:snapToGrid w:val="0"/>
              <w:contextualSpacing/>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监管网”等查询记录网络截图；</w:t>
            </w:r>
          </w:p>
          <w:p>
            <w:pPr>
              <w:rPr>
                <w:rFonts w:ascii="宋体" w:hAnsi="宋体"/>
                <w:szCs w:val="21"/>
              </w:rPr>
            </w:pPr>
            <w:r>
              <w:rPr>
                <w:rFonts w:hint="eastAsia" w:ascii="宋体" w:hAnsi="宋体" w:cs="宋体"/>
                <w:color w:val="000000" w:themeColor="text1"/>
                <w:kern w:val="0"/>
                <w:szCs w:val="21"/>
                <w14:textFill>
                  <w14:solidFill>
                    <w14:schemeClr w14:val="tx1"/>
                  </w14:solidFill>
                </w14:textFill>
              </w:rPr>
              <w:t>2. 提供加盖公章的承诺函。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gridSpan w:val="2"/>
            <w:vAlign w:val="center"/>
          </w:tcPr>
          <w:p>
            <w:pPr>
              <w:jc w:val="center"/>
              <w:rPr>
                <w:rFonts w:ascii="宋体" w:hAnsi="宋体"/>
                <w:b/>
                <w:bCs/>
                <w:szCs w:val="21"/>
              </w:rPr>
            </w:pPr>
            <w:r>
              <w:rPr>
                <w:rFonts w:hint="eastAsia" w:ascii="宋体" w:hAnsi="宋体"/>
                <w:b/>
                <w:bCs/>
                <w:szCs w:val="21"/>
              </w:rPr>
              <w:t>三、价格部分（20分）</w:t>
            </w:r>
          </w:p>
        </w:tc>
        <w:tc>
          <w:tcPr>
            <w:tcW w:w="6202" w:type="dxa"/>
            <w:gridSpan w:val="2"/>
            <w:vAlign w:val="center"/>
          </w:tcPr>
          <w:p>
            <w:pPr>
              <w:jc w:val="left"/>
              <w:rPr>
                <w:rFonts w:ascii="宋体" w:hAnsi="宋体"/>
                <w:szCs w:val="21"/>
              </w:rPr>
            </w:pPr>
            <w:r>
              <w:rPr>
                <w:rFonts w:hint="eastAsia"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(20分)。其他投标人的价格分按照下列公式计算：</w:t>
            </w:r>
            <w:r>
              <w:rPr>
                <w:rFonts w:hint="eastAsia" w:ascii="宋体" w:hAnsi="宋体"/>
                <w:bCs/>
                <w:szCs w:val="21"/>
                <w:lang w:val="zh-CN"/>
              </w:rPr>
              <w:t>投标报价得分=(评标基准价／投标报价)×20</w:t>
            </w:r>
          </w:p>
        </w:tc>
      </w:tr>
    </w:tbl>
    <w:p>
      <w:pPr>
        <w:widowControl/>
        <w:adjustRightInd w:val="0"/>
        <w:snapToGrid w:val="0"/>
        <w:ind w:left="-283" w:leftChars="-135" w:firstLine="210" w:firstLineChars="100"/>
        <w:contextualSpacing/>
        <w:jc w:val="left"/>
        <w:rPr>
          <w:rFonts w:ascii="宋体" w:hAnsi="宋体" w:cs="Arial"/>
          <w:color w:val="000000"/>
          <w:kern w:val="0"/>
          <w:szCs w:val="21"/>
        </w:rPr>
      </w:pPr>
    </w:p>
    <w:p>
      <w:pPr>
        <w:widowControl/>
        <w:adjustRightInd w:val="0"/>
        <w:snapToGrid w:val="0"/>
        <w:ind w:left="-283" w:leftChars="-135" w:firstLine="210" w:firstLineChars="100"/>
        <w:contextualSpacing/>
        <w:jc w:val="left"/>
        <w:rPr>
          <w:rFonts w:hint="eastAsia" w:ascii="宋体" w:hAnsi="宋体" w:cs="Arial"/>
          <w:color w:val="000000"/>
          <w:kern w:val="0"/>
          <w:szCs w:val="21"/>
        </w:rPr>
      </w:pPr>
      <w:r>
        <w:rPr>
          <w:rFonts w:ascii="宋体" w:hAnsi="宋体" w:cs="Arial"/>
          <w:color w:val="000000"/>
          <w:kern w:val="0"/>
          <w:szCs w:val="21"/>
        </w:rPr>
        <w:t>(五)谈判小组拟制谈判报告</w:t>
      </w:r>
      <w:r>
        <w:rPr>
          <w:rFonts w:hint="eastAsia" w:ascii="宋体" w:hAnsi="宋体" w:cs="Arial"/>
          <w:color w:val="000000"/>
          <w:kern w:val="0"/>
          <w:szCs w:val="21"/>
        </w:rPr>
        <w:t>｡</w:t>
      </w:r>
    </w:p>
    <w:p>
      <w:pPr>
        <w:widowControl/>
        <w:adjustRightInd w:val="0"/>
        <w:snapToGrid w:val="0"/>
        <w:ind w:left="-4" w:leftChars="-68" w:hanging="139" w:hangingChars="66"/>
        <w:contextualSpacing/>
        <w:jc w:val="left"/>
        <w:rPr>
          <w:rFonts w:hint="eastAsia"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adjustRightInd w:val="0"/>
        <w:snapToGrid w:val="0"/>
        <w:ind w:left="-140" w:leftChars="-67" w:right="-449" w:rightChars="-214" w:hanging="1"/>
        <w:contextualSpacing/>
        <w:jc w:val="left"/>
        <w:rPr>
          <w:rFonts w:hint="eastAsia"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adjustRightInd w:val="0"/>
        <w:snapToGrid w:val="0"/>
        <w:ind w:left="-140" w:leftChars="-67" w:right="-309" w:rightChars="-147" w:hanging="1"/>
        <w:contextualSpacing/>
        <w:jc w:val="left"/>
        <w:rPr>
          <w:rFonts w:hint="eastAsia"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adjustRightInd w:val="0"/>
        <w:snapToGrid w:val="0"/>
        <w:ind w:leftChars="-67" w:hanging="140" w:hangingChars="67"/>
        <w:contextualSpacing/>
        <w:jc w:val="left"/>
        <w:rPr>
          <w:rFonts w:hint="eastAsia"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jc w:val="left"/>
        <w:rPr>
          <w:rFonts w:hint="eastAsia" w:ascii="宋体" w:hAnsi="宋体" w:cs="Arial"/>
          <w:color w:val="000000"/>
          <w:kern w:val="0"/>
          <w:szCs w:val="21"/>
        </w:rPr>
      </w:pPr>
    </w:p>
    <w:p>
      <w:pPr>
        <w:snapToGrid w:val="0"/>
        <w:ind w:right="150" w:firstLine="480" w:firstLineChars="200"/>
        <w:jc w:val="right"/>
        <w:rPr>
          <w:rFonts w:hint="eastAsia" w:ascii="宋体" w:hAnsi="宋体"/>
          <w:b/>
          <w:sz w:val="24"/>
          <w:szCs w:val="21"/>
        </w:rPr>
        <w:sectPr>
          <w:footerReference r:id="rId3" w:type="default"/>
          <w:pgSz w:w="11910" w:h="16850"/>
          <w:pgMar w:top="1432" w:right="1786" w:bottom="1790" w:left="136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4" w:name="_Hlk124837366"/>
    </w:p>
    <w:bookmarkEnd w:id="4"/>
    <w:p>
      <w:pPr>
        <w:jc w:val="center"/>
        <w:rPr>
          <w:b/>
          <w:bCs/>
          <w:sz w:val="30"/>
          <w:szCs w:val="30"/>
        </w:rPr>
      </w:pPr>
      <w:r>
        <w:rPr>
          <w:rFonts w:hint="eastAsia"/>
          <w:b/>
          <w:bCs/>
          <w:sz w:val="30"/>
          <w:szCs w:val="30"/>
        </w:rPr>
        <w:t>用户需求书</w:t>
      </w:r>
    </w:p>
    <w:p>
      <w:pPr>
        <w:pStyle w:val="13"/>
      </w:pPr>
    </w:p>
    <w:p>
      <w:pPr>
        <w:widowControl/>
        <w:snapToGrid w:val="0"/>
        <w:jc w:val="left"/>
        <w:rPr>
          <w:rFonts w:hint="eastAsia" w:ascii="宋体" w:hAnsi="宋体"/>
          <w:b/>
          <w:szCs w:val="21"/>
        </w:rPr>
      </w:pPr>
      <w:r>
        <w:rPr>
          <w:rFonts w:hint="eastAsia" w:ascii="宋体" w:hAnsi="宋体" w:cs="宋体"/>
          <w:b/>
          <w:kern w:val="0"/>
          <w:szCs w:val="21"/>
        </w:rPr>
        <w:t>注：</w:t>
      </w:r>
      <w:r>
        <w:rPr>
          <w:rFonts w:hint="eastAsia" w:ascii="宋体" w:hAnsi="宋体"/>
          <w:b/>
          <w:szCs w:val="21"/>
        </w:rPr>
        <w:t>投标人须对本部分的配置清单、技术规格和商务条款进行整体逐条响应</w:t>
      </w:r>
    </w:p>
    <w:p>
      <w:pPr>
        <w:widowControl/>
        <w:snapToGrid w:val="0"/>
        <w:ind w:firstLine="422" w:firstLineChars="200"/>
        <w:jc w:val="left"/>
        <w:rPr>
          <w:rFonts w:hint="eastAsia" w:ascii="宋体" w:hAnsi="宋体" w:cs="宋体"/>
          <w:b/>
          <w:kern w:val="0"/>
          <w:szCs w:val="21"/>
        </w:rPr>
      </w:pPr>
      <w:r>
        <w:rPr>
          <w:rFonts w:hint="eastAsia" w:ascii="宋体" w:hAnsi="宋体" w:cs="宋体"/>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pPr>
        <w:pStyle w:val="13"/>
        <w:ind w:firstLine="422" w:firstLineChars="200"/>
        <w:rPr>
          <w:rFonts w:hint="eastAsia" w:hAnsi="宋体"/>
          <w:b/>
          <w:kern w:val="0"/>
        </w:rPr>
      </w:pPr>
      <w:r>
        <w:rPr>
          <w:rFonts w:hint="eastAsia" w:hAnsi="宋体"/>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pPr>
        <w:pStyle w:val="13"/>
        <w:ind w:firstLine="422" w:firstLineChars="200"/>
        <w:rPr>
          <w:rFonts w:hint="eastAsia" w:hAnsi="宋体"/>
          <w:b/>
          <w:kern w:val="0"/>
        </w:rPr>
      </w:pPr>
      <w:r>
        <w:rPr>
          <w:rFonts w:hint="eastAsia" w:hAnsi="宋体"/>
          <w:b/>
          <w:kern w:val="0"/>
        </w:rPr>
        <w:t>3.</w:t>
      </w:r>
      <w:r>
        <w:rPr>
          <w:rFonts w:hint="eastAsia"/>
          <w:b/>
        </w:rPr>
        <w:t xml:space="preserve"> </w:t>
      </w:r>
      <w:r>
        <w:rPr>
          <w:rFonts w:hint="eastAsia" w:hAnsi="宋体"/>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pPr>
        <w:pStyle w:val="13"/>
        <w:ind w:firstLine="422" w:firstLineChars="200"/>
        <w:rPr>
          <w:rFonts w:hint="eastAsia" w:hAnsi="宋体"/>
          <w:b/>
          <w:kern w:val="0"/>
        </w:rPr>
      </w:pPr>
    </w:p>
    <w:p>
      <w:pPr>
        <w:jc w:val="center"/>
        <w:rPr>
          <w:b/>
          <w:bCs/>
          <w:sz w:val="30"/>
          <w:szCs w:val="30"/>
        </w:rPr>
      </w:pPr>
      <w:r>
        <w:rPr>
          <w:rFonts w:hint="eastAsia"/>
          <w:b/>
          <w:bCs/>
          <w:sz w:val="30"/>
          <w:szCs w:val="30"/>
        </w:rPr>
        <w:t>一、项目基本信息</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814"/>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Align w:val="center"/>
          </w:tcPr>
          <w:p>
            <w:pPr>
              <w:pStyle w:val="13"/>
              <w:jc w:val="center"/>
              <w:rPr>
                <w:rFonts w:hint="eastAsia" w:hAnsi="宋体"/>
                <w:b/>
                <w:kern w:val="0"/>
              </w:rPr>
            </w:pPr>
            <w:r>
              <w:rPr>
                <w:rFonts w:hint="eastAsia" w:hAnsi="宋体"/>
                <w:b/>
                <w:kern w:val="0"/>
              </w:rPr>
              <w:t>序号</w:t>
            </w:r>
          </w:p>
        </w:tc>
        <w:tc>
          <w:tcPr>
            <w:tcW w:w="5814" w:type="dxa"/>
            <w:vAlign w:val="center"/>
          </w:tcPr>
          <w:p>
            <w:pPr>
              <w:pStyle w:val="13"/>
              <w:jc w:val="center"/>
              <w:rPr>
                <w:rFonts w:hint="eastAsia" w:hAnsi="宋体"/>
                <w:b/>
                <w:kern w:val="0"/>
              </w:rPr>
            </w:pPr>
            <w:r>
              <w:rPr>
                <w:rFonts w:hint="eastAsia" w:hAnsi="宋体"/>
                <w:b/>
                <w:kern w:val="0"/>
              </w:rPr>
              <w:t>采购项目名称</w:t>
            </w:r>
          </w:p>
        </w:tc>
        <w:tc>
          <w:tcPr>
            <w:tcW w:w="3957" w:type="dxa"/>
            <w:vAlign w:val="center"/>
          </w:tcPr>
          <w:p>
            <w:pPr>
              <w:pStyle w:val="13"/>
              <w:jc w:val="center"/>
              <w:rPr>
                <w:rFonts w:hint="eastAsia" w:hAnsi="宋体"/>
                <w:b/>
                <w:kern w:val="0"/>
              </w:rPr>
            </w:pPr>
            <w:r>
              <w:rPr>
                <w:rFonts w:hint="eastAsia" w:hAnsi="宋体"/>
                <w:b/>
                <w:kern w:val="0"/>
              </w:rPr>
              <w:t>预算总限额（元）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restart"/>
            <w:vAlign w:val="center"/>
          </w:tcPr>
          <w:p>
            <w:pPr>
              <w:pStyle w:val="13"/>
              <w:jc w:val="center"/>
              <w:rPr>
                <w:rFonts w:hint="eastAsia" w:hAnsi="宋体"/>
                <w:bCs/>
                <w:kern w:val="0"/>
              </w:rPr>
            </w:pPr>
            <w:r>
              <w:rPr>
                <w:rFonts w:hint="eastAsia" w:hAnsi="宋体"/>
                <w:bCs/>
                <w:kern w:val="0"/>
              </w:rPr>
              <w:t>1</w:t>
            </w:r>
          </w:p>
        </w:tc>
        <w:tc>
          <w:tcPr>
            <w:tcW w:w="5814" w:type="dxa"/>
            <w:vMerge w:val="restart"/>
            <w:vAlign w:val="center"/>
          </w:tcPr>
          <w:p>
            <w:pPr>
              <w:widowControl/>
              <w:snapToGrid w:val="0"/>
              <w:ind w:leftChars="-260" w:right="-617" w:rightChars="-294" w:hanging="546" w:hangingChars="260"/>
              <w:contextualSpacing/>
              <w:jc w:val="center"/>
              <w:rPr>
                <w:rFonts w:hint="eastAsia" w:ascii="宋体" w:hAnsi="宋体" w:cs="宋体-18030"/>
                <w:color w:val="000000"/>
                <w:szCs w:val="21"/>
              </w:rPr>
            </w:pPr>
            <w:r>
              <w:rPr>
                <w:rFonts w:hint="eastAsia" w:ascii="宋体" w:hAnsi="宋体" w:cs="宋体-18030"/>
                <w:bCs/>
                <w:color w:val="000000"/>
                <w:szCs w:val="21"/>
                <w:lang w:val="en-US" w:eastAsia="zh-CN"/>
              </w:rPr>
              <w:t>数据资产服务</w:t>
            </w:r>
          </w:p>
        </w:tc>
        <w:tc>
          <w:tcPr>
            <w:tcW w:w="3957" w:type="dxa"/>
            <w:vMerge w:val="restart"/>
            <w:vAlign w:val="center"/>
          </w:tcPr>
          <w:p>
            <w:pPr>
              <w:pStyle w:val="13"/>
              <w:jc w:val="center"/>
              <w:rPr>
                <w:rFonts w:hint="default" w:hAnsi="宋体" w:eastAsia="宋体"/>
                <w:bCs/>
                <w:kern w:val="0"/>
                <w:lang w:val="en-US" w:eastAsia="zh-CN"/>
              </w:rPr>
            </w:pPr>
            <w:r>
              <w:rPr>
                <w:rFonts w:hint="eastAsia" w:hAnsi="宋体"/>
                <w:bCs/>
                <w:kern w:val="0"/>
                <w:lang w:val="en-US" w:eastAsia="zh-CN"/>
              </w:rPr>
              <w:t>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0" w:type="dxa"/>
            <w:vMerge w:val="continue"/>
            <w:vAlign w:val="center"/>
          </w:tcPr>
          <w:p>
            <w:pPr>
              <w:pStyle w:val="13"/>
              <w:jc w:val="center"/>
              <w:rPr>
                <w:rFonts w:hint="eastAsia" w:hAnsi="宋体"/>
                <w:bCs/>
                <w:kern w:val="0"/>
              </w:rPr>
            </w:pPr>
          </w:p>
        </w:tc>
        <w:tc>
          <w:tcPr>
            <w:tcW w:w="5814" w:type="dxa"/>
            <w:vMerge w:val="continue"/>
            <w:vAlign w:val="center"/>
          </w:tcPr>
          <w:p>
            <w:pPr>
              <w:widowControl/>
              <w:snapToGrid w:val="0"/>
              <w:ind w:leftChars="-260" w:right="-617" w:rightChars="-294" w:hanging="546" w:hangingChars="260"/>
              <w:contextualSpacing/>
              <w:jc w:val="center"/>
              <w:rPr>
                <w:rFonts w:hint="eastAsia" w:ascii="宋体" w:hAnsi="宋体" w:cs="宋体-18030"/>
                <w:color w:val="000000"/>
                <w:szCs w:val="21"/>
              </w:rPr>
            </w:pPr>
          </w:p>
        </w:tc>
        <w:tc>
          <w:tcPr>
            <w:tcW w:w="3957" w:type="dxa"/>
            <w:vMerge w:val="continue"/>
            <w:vAlign w:val="center"/>
          </w:tcPr>
          <w:p>
            <w:pPr>
              <w:pStyle w:val="13"/>
              <w:jc w:val="center"/>
              <w:rPr>
                <w:rFonts w:hint="eastAsia" w:hAnsi="宋体"/>
                <w:bCs/>
                <w:kern w:val="0"/>
              </w:rPr>
            </w:pPr>
          </w:p>
        </w:tc>
      </w:tr>
    </w:tbl>
    <w:p>
      <w:pPr>
        <w:pStyle w:val="13"/>
        <w:rPr>
          <w:rFonts w:hint="eastAsia" w:hAnsi="宋体"/>
          <w:bCs/>
          <w:kern w:val="0"/>
        </w:rPr>
      </w:pPr>
    </w:p>
    <w:p>
      <w:pPr>
        <w:jc w:val="center"/>
        <w:rPr>
          <w:b/>
          <w:bCs/>
          <w:sz w:val="30"/>
          <w:szCs w:val="30"/>
        </w:rPr>
      </w:pPr>
      <w:r>
        <w:rPr>
          <w:rFonts w:hint="eastAsia"/>
          <w:b/>
          <w:bCs/>
          <w:sz w:val="30"/>
          <w:szCs w:val="30"/>
        </w:rPr>
        <w:t>二、服务要求</w:t>
      </w:r>
    </w:p>
    <w:p>
      <w:pPr>
        <w:pStyle w:val="5"/>
        <w:ind w:firstLine="0"/>
        <w:rPr>
          <w:rStyle w:val="34"/>
          <w:b/>
          <w:bCs/>
        </w:rPr>
      </w:pPr>
      <w:bookmarkStart w:id="5" w:name="_Toc450137347"/>
      <w:bookmarkStart w:id="6" w:name="_Toc480449081"/>
      <w:bookmarkStart w:id="7" w:name="_Toc178049979"/>
      <w:r>
        <w:rPr>
          <w:rStyle w:val="34"/>
          <w:rFonts w:hint="eastAsia"/>
          <w:b/>
          <w:bCs/>
        </w:rPr>
        <w:t>（一）项目概况</w:t>
      </w:r>
    </w:p>
    <w:p>
      <w:pPr>
        <w:pStyle w:val="19"/>
        <w:widowControl/>
        <w:shd w:val="clear" w:color="auto" w:fill="FFFFFF"/>
        <w:spacing w:before="240" w:after="240" w:line="360" w:lineRule="auto"/>
        <w:ind w:firstLine="420"/>
        <w:rPr>
          <w:rFonts w:hint="eastAsia" w:ascii="宋体" w:hAnsi="宋体" w:eastAsia="宋体" w:cs="Calibri"/>
          <w:kern w:val="2"/>
          <w:sz w:val="21"/>
          <w:szCs w:val="21"/>
          <w:lang w:val="en-US" w:eastAsia="zh-CN" w:bidi="ar-SA"/>
        </w:rPr>
      </w:pPr>
      <w:r>
        <w:rPr>
          <w:rFonts w:hint="eastAsia" w:ascii="宋体" w:hAnsi="宋体" w:eastAsia="宋体" w:cs="Calibri"/>
          <w:kern w:val="2"/>
          <w:sz w:val="21"/>
          <w:szCs w:val="21"/>
          <w:lang w:val="en-US" w:eastAsia="zh-CN" w:bidi="ar-SA"/>
        </w:rPr>
        <w:t>为贯彻落实《中共中央 国务院关于构建数据基础制度更好发挥数据要素作用的意见》（“数据二十条”）及广东省数据要素市场化配置改革相关部署，推动健康医疗数据从资源化向资产化、资本化跃升，深圳市宝安区人民医院立足自身优势专病数据基础，正式启动“阿尔茨海默病数据资产化专项服务”采购。</w:t>
      </w:r>
    </w:p>
    <w:p>
      <w:pPr>
        <w:pStyle w:val="19"/>
        <w:widowControl/>
        <w:shd w:val="clear" w:color="auto" w:fill="FFFFFF"/>
        <w:spacing w:before="240" w:after="240" w:line="360" w:lineRule="auto"/>
        <w:ind w:firstLine="420"/>
        <w:rPr>
          <w:rFonts w:hint="eastAsia" w:ascii="宋体" w:hAnsi="宋体" w:eastAsia="宋体" w:cs="Calibri"/>
          <w:kern w:val="2"/>
          <w:sz w:val="21"/>
          <w:szCs w:val="21"/>
          <w:lang w:val="en-US" w:eastAsia="zh-CN" w:bidi="ar-SA"/>
        </w:rPr>
      </w:pPr>
      <w:r>
        <w:rPr>
          <w:rFonts w:hint="eastAsia" w:ascii="宋体" w:hAnsi="宋体" w:eastAsia="宋体" w:cs="Calibri"/>
          <w:kern w:val="2"/>
          <w:sz w:val="21"/>
          <w:szCs w:val="21"/>
          <w:lang w:val="en-US" w:eastAsia="zh-CN" w:bidi="ar-SA"/>
        </w:rPr>
        <w:t>深圳市宝安区人民医院已连续三年系统积累阿尔茨海默病相关数据，形成覆盖“基础信息、诊疗数据”核心模块的标准化专病数据集，数据采集链条完整、字段维度丰富、纵向追踪连续。经前期初步评估，该数据集在完整性、一致性、时间跨度及科研可利用性方面具备较高潜力。</w:t>
      </w:r>
    </w:p>
    <w:p>
      <w:pPr>
        <w:pStyle w:val="19"/>
        <w:widowControl/>
        <w:shd w:val="clear" w:color="auto" w:fill="FFFFFF"/>
        <w:spacing w:before="240" w:after="240" w:line="360" w:lineRule="auto"/>
        <w:ind w:firstLine="420"/>
        <w:rPr>
          <w:rFonts w:hint="eastAsia" w:ascii="宋体" w:hAnsi="宋体" w:eastAsia="宋体" w:cs="Calibri"/>
          <w:kern w:val="2"/>
          <w:sz w:val="21"/>
          <w:szCs w:val="21"/>
          <w:lang w:val="en-US" w:eastAsia="zh-CN" w:bidi="ar-SA"/>
        </w:rPr>
      </w:pPr>
      <w:r>
        <w:rPr>
          <w:rFonts w:hint="eastAsia" w:ascii="宋体" w:hAnsi="宋体" w:eastAsia="宋体" w:cs="Calibri"/>
          <w:kern w:val="2"/>
          <w:sz w:val="21"/>
          <w:szCs w:val="21"/>
          <w:lang w:val="en-US" w:eastAsia="zh-CN" w:bidi="ar-SA"/>
        </w:rPr>
        <w:t>当前亟需通过专项服务重点突破以下关键瓶颈：其一，数据产权界定与合规框架设计——明确数据资源持有权、加工使用权、产品经营权的权属关系与分层授权机制；其二，数据治理与产品化建设——从原始数据到标准化数据产品实现全链路加工，产出符合数据交易所挂牌标准的衍生数据产品；其三，内部使用管理流程与外部交易对接路径构建——打通从数据资源盘点到产权登记、再到合规流通的价值闭环。通过本专项服务，力争在6至12个月内实现阿尔茨海默病数据从“沉睡资源”向“活跃资产”的系统性转化，为医院科研竞争力提升与创新成果转化提供可复制、可推广的示范路径。</w:t>
      </w:r>
    </w:p>
    <w:p>
      <w:pPr>
        <w:pStyle w:val="19"/>
        <w:widowControl/>
        <w:shd w:val="clear" w:color="auto" w:fill="FFFFFF"/>
        <w:spacing w:before="240" w:after="240" w:line="360" w:lineRule="auto"/>
        <w:ind w:firstLine="420"/>
        <w:rPr>
          <w:rFonts w:hint="eastAsia" w:ascii="宋体" w:hAnsi="宋体" w:eastAsia="宋体" w:cs="Calibri"/>
          <w:kern w:val="2"/>
          <w:sz w:val="21"/>
          <w:szCs w:val="21"/>
          <w:lang w:val="en-US" w:eastAsia="zh-CN" w:bidi="ar-SA"/>
        </w:rPr>
      </w:pPr>
      <w:r>
        <w:rPr>
          <w:rFonts w:hint="eastAsia" w:ascii="宋体" w:hAnsi="宋体" w:eastAsia="宋体" w:cs="Calibri"/>
          <w:kern w:val="2"/>
          <w:sz w:val="21"/>
          <w:szCs w:val="21"/>
          <w:lang w:val="en-US" w:eastAsia="zh-CN" w:bidi="ar-SA"/>
        </w:rPr>
        <w:t>本项目聚焦医院阿尔茨海默病专病数据集，围绕数据资源盘点、质量评估、数据确权、数据产品加工、合规审查及产权登记全链条，实现以下目标：</w:t>
      </w:r>
    </w:p>
    <w:p>
      <w:pPr>
        <w:pStyle w:val="19"/>
        <w:widowControl/>
        <w:shd w:val="clear" w:color="auto" w:fill="FFFFFF"/>
        <w:spacing w:before="240" w:after="240" w:line="360" w:lineRule="auto"/>
        <w:ind w:firstLine="420"/>
        <w:rPr>
          <w:rFonts w:hint="eastAsia" w:ascii="宋体" w:hAnsi="宋体" w:eastAsia="宋体" w:cs="Calibri"/>
          <w:kern w:val="2"/>
          <w:sz w:val="21"/>
          <w:szCs w:val="21"/>
          <w:lang w:val="en-US" w:eastAsia="zh-CN" w:bidi="ar-SA"/>
        </w:rPr>
      </w:pPr>
      <w:r>
        <w:rPr>
          <w:rFonts w:hint="eastAsia" w:asciiTheme="minorEastAsia" w:hAnsiTheme="minorEastAsia" w:eastAsiaTheme="minorEastAsia" w:cstheme="minorEastAsia"/>
          <w:b/>
          <w:bCs/>
          <w:color w:val="0F1115"/>
          <w:sz w:val="21"/>
          <w:szCs w:val="21"/>
          <w:shd w:val="clear" w:color="auto" w:fill="FFFFFF"/>
        </w:rPr>
        <w:t>1、数据资源清查与产权梳理：</w:t>
      </w:r>
      <w:r>
        <w:rPr>
          <w:rFonts w:hint="eastAsia" w:ascii="宋体" w:hAnsi="宋体" w:eastAsia="宋体" w:cs="Calibri"/>
          <w:kern w:val="2"/>
          <w:sz w:val="21"/>
          <w:szCs w:val="21"/>
          <w:lang w:val="en-US" w:eastAsia="zh-CN" w:bidi="ar-SA"/>
        </w:rPr>
        <w:t>对阿尔茨海默病数据集开展系统性清查盘点和多维度质量评估，依据《健康医疗数据安全指南》（GB/T 39725-2020）及相关行业标准，输出标准化的资源清单与质量评估报告；同步梳理数据全生命周期涉及的多元主体权利归属，形成数据资源持有权、加工使用权、产品经营权分置的初步方案，为产权登记奠定制度基础。</w:t>
      </w:r>
    </w:p>
    <w:p>
      <w:pPr>
        <w:pStyle w:val="19"/>
        <w:widowControl/>
        <w:shd w:val="clear" w:color="auto" w:fill="FFFFFF"/>
        <w:spacing w:before="240" w:after="240" w:line="360" w:lineRule="auto"/>
        <w:ind w:firstLine="420"/>
        <w:rPr>
          <w:rFonts w:hint="eastAsia" w:ascii="宋体" w:hAnsi="宋体" w:eastAsia="宋体" w:cs="Calibri"/>
          <w:kern w:val="2"/>
          <w:sz w:val="21"/>
          <w:szCs w:val="21"/>
          <w:lang w:val="en-US" w:eastAsia="zh-CN" w:bidi="ar-SA"/>
        </w:rPr>
      </w:pPr>
      <w:r>
        <w:rPr>
          <w:rFonts w:hint="eastAsia" w:asciiTheme="minorEastAsia" w:hAnsiTheme="minorEastAsia" w:eastAsiaTheme="minorEastAsia" w:cstheme="minorEastAsia"/>
          <w:b/>
          <w:bCs/>
          <w:color w:val="0F1115"/>
          <w:sz w:val="21"/>
          <w:szCs w:val="21"/>
          <w:shd w:val="clear" w:color="auto" w:fill="FFFFFF"/>
        </w:rPr>
        <w:t>2、数据合规审查与产品化加工</w:t>
      </w:r>
      <w:r>
        <w:rPr>
          <w:rFonts w:hint="eastAsia" w:asciiTheme="minorEastAsia" w:hAnsiTheme="minorEastAsia" w:eastAsiaTheme="minorEastAsia" w:cstheme="minorEastAsia"/>
          <w:color w:val="0F1115"/>
          <w:sz w:val="21"/>
          <w:szCs w:val="21"/>
          <w:shd w:val="clear" w:color="auto" w:fill="FFFFFF"/>
        </w:rPr>
        <w:t>：</w:t>
      </w:r>
      <w:r>
        <w:rPr>
          <w:rFonts w:hint="eastAsia" w:ascii="宋体" w:hAnsi="宋体" w:eastAsia="宋体" w:cs="Calibri"/>
          <w:kern w:val="2"/>
          <w:sz w:val="21"/>
          <w:szCs w:val="21"/>
          <w:lang w:val="en-US" w:eastAsia="zh-CN" w:bidi="ar-SA"/>
        </w:rPr>
        <w:t>结合医院临床科研、患者管理及转化应用等实际场景，深入挖掘数据产品在疾病进展评估模型、病因机制研究、药物临床试验分层管理等方面的深度应用价值。在此基础上开展全流程数据合规审查，对数据集进行合规加工处理，开发1至2个符合深圳、广州数据交易所挂牌标准的衍生数据产品，同步编制配套数据产品说明书。</w:t>
      </w:r>
    </w:p>
    <w:p>
      <w:pPr>
        <w:pStyle w:val="19"/>
        <w:widowControl/>
        <w:shd w:val="clear" w:color="auto" w:fill="FFFFFF"/>
        <w:spacing w:before="240" w:after="240" w:line="360" w:lineRule="auto"/>
        <w:ind w:firstLine="420"/>
        <w:rPr>
          <w:rFonts w:hint="eastAsia" w:ascii="宋体" w:hAnsi="宋体" w:eastAsia="宋体" w:cs="Calibri"/>
          <w:kern w:val="2"/>
          <w:sz w:val="21"/>
          <w:szCs w:val="21"/>
          <w:lang w:val="en-US" w:eastAsia="zh-CN" w:bidi="ar-SA"/>
        </w:rPr>
      </w:pPr>
      <w:r>
        <w:rPr>
          <w:rFonts w:hint="eastAsia" w:asciiTheme="minorEastAsia" w:hAnsiTheme="minorEastAsia" w:eastAsiaTheme="minorEastAsia" w:cstheme="minorEastAsia"/>
          <w:b/>
          <w:bCs/>
          <w:color w:val="0F1115"/>
          <w:sz w:val="21"/>
          <w:szCs w:val="21"/>
          <w:shd w:val="clear" w:color="auto" w:fill="FFFFFF"/>
        </w:rPr>
        <w:t>3、全维度法律合规审查与整改</w:t>
      </w:r>
      <w:r>
        <w:rPr>
          <w:rFonts w:hint="eastAsia" w:asciiTheme="minorEastAsia" w:hAnsiTheme="minorEastAsia" w:eastAsiaTheme="minorEastAsia" w:cstheme="minorEastAsia"/>
          <w:color w:val="0F1115"/>
          <w:sz w:val="21"/>
          <w:szCs w:val="21"/>
          <w:shd w:val="clear" w:color="auto" w:fill="FFFFFF"/>
        </w:rPr>
        <w:t>：</w:t>
      </w:r>
      <w:r>
        <w:rPr>
          <w:rFonts w:hint="eastAsia" w:ascii="宋体" w:hAnsi="宋体" w:eastAsia="宋体" w:cs="Calibri"/>
          <w:kern w:val="2"/>
          <w:sz w:val="21"/>
          <w:szCs w:val="21"/>
          <w:lang w:val="en-US" w:eastAsia="zh-CN" w:bidi="ar-SA"/>
        </w:rPr>
        <w:t>针对完成加工的数据产品，从六大维度开展系统化法律合规审查与评估——数据来源合法性审查、数据权属界定与三权分置论证、个人信息保护与隐私合规评估、数据安全与网络信息安全合规审查、数据资产化全流程专项合规、医疗健康行业特殊合规要求审查。根据审查意见配套提供针对性整改处置服务，最终取得由具备相应资质的第三方专业机构出具的合规审查评估报告等系列法律文书。</w:t>
      </w:r>
    </w:p>
    <w:p>
      <w:pPr>
        <w:pStyle w:val="50"/>
        <w:spacing w:before="0" w:after="0" w:line="240" w:lineRule="auto"/>
        <w:ind w:firstLine="0" w:firstLineChars="0"/>
        <w:contextualSpacing/>
        <w:rPr>
          <w:rFonts w:hint="eastAsia" w:ascii="宋体" w:hAnsi="宋体" w:eastAsia="宋体" w:cs="Calibri"/>
          <w:kern w:val="2"/>
          <w:sz w:val="21"/>
          <w:szCs w:val="21"/>
          <w:lang w:val="en-US" w:eastAsia="zh-CN" w:bidi="ar-SA"/>
        </w:rPr>
      </w:pPr>
      <w:r>
        <w:rPr>
          <w:rFonts w:hint="eastAsia" w:asciiTheme="minorEastAsia" w:hAnsiTheme="minorEastAsia" w:eastAsiaTheme="minorEastAsia" w:cstheme="minorEastAsia"/>
          <w:b/>
          <w:bCs/>
          <w:color w:val="0F1115"/>
          <w:sz w:val="21"/>
          <w:szCs w:val="21"/>
          <w:shd w:val="clear" w:color="auto" w:fill="FFFFFF"/>
        </w:rPr>
        <w:t>4、产权登记与流通路径建设</w:t>
      </w:r>
      <w:r>
        <w:rPr>
          <w:rFonts w:hint="eastAsia" w:asciiTheme="minorEastAsia" w:hAnsiTheme="minorEastAsia" w:eastAsiaTheme="minorEastAsia" w:cstheme="minorEastAsia"/>
          <w:color w:val="0F1115"/>
          <w:sz w:val="21"/>
          <w:szCs w:val="21"/>
          <w:shd w:val="clear" w:color="auto" w:fill="FFFFFF"/>
        </w:rPr>
        <w:t>：</w:t>
      </w:r>
      <w:r>
        <w:rPr>
          <w:rFonts w:hint="eastAsia" w:ascii="宋体" w:hAnsi="宋体" w:eastAsia="宋体" w:cs="Calibri"/>
          <w:kern w:val="2"/>
          <w:sz w:val="21"/>
          <w:szCs w:val="21"/>
          <w:lang w:val="en-US" w:eastAsia="zh-CN" w:bidi="ar-SA"/>
        </w:rPr>
        <w:t>协助医院完成数据产权申报全流程，获取深圳数据交易所及/或广州数据交易所颁发的《数据产权登记证书》；同步协助建立医院健康医疗专病数据要素化管理的制度框架与操作规程，形成可合法合规交易流通的数据产品，打通从数据资源归集治理到产品登记流通的完整价值实现路径。</w:t>
      </w:r>
    </w:p>
    <w:p>
      <w:pPr>
        <w:pStyle w:val="50"/>
        <w:spacing w:before="0" w:after="0" w:line="240" w:lineRule="auto"/>
        <w:ind w:firstLine="0" w:firstLineChars="0"/>
        <w:contextualSpacing/>
        <w:rPr>
          <w:rFonts w:hint="eastAsia" w:ascii="宋体" w:hAnsi="宋体" w:eastAsia="宋体" w:cs="Calibri"/>
          <w:kern w:val="2"/>
          <w:sz w:val="21"/>
          <w:szCs w:val="21"/>
          <w:lang w:val="en-US" w:eastAsia="zh-CN" w:bidi="ar-SA"/>
        </w:rPr>
      </w:pPr>
    </w:p>
    <w:p>
      <w:pPr>
        <w:pStyle w:val="50"/>
        <w:spacing w:before="0" w:after="0" w:line="240" w:lineRule="auto"/>
        <w:ind w:firstLine="0" w:firstLineChars="0"/>
        <w:contextualSpacing/>
        <w:rPr>
          <w:rFonts w:hint="eastAsia" w:ascii="宋体" w:hAnsi="宋体"/>
          <w:b/>
          <w:bCs/>
          <w:sz w:val="21"/>
          <w:szCs w:val="21"/>
        </w:rPr>
      </w:pPr>
      <w:r>
        <w:rPr>
          <w:rFonts w:hint="eastAsia" w:ascii="宋体" w:hAnsi="宋体"/>
          <w:b/>
          <w:bCs/>
          <w:sz w:val="21"/>
          <w:szCs w:val="21"/>
        </w:rPr>
        <w:t>（二）服务内容</w:t>
      </w:r>
    </w:p>
    <w:p>
      <w:pPr>
        <w:tabs>
          <w:tab w:val="left" w:pos="567"/>
        </w:tabs>
        <w:snapToGrid w:val="0"/>
        <w:spacing w:line="360" w:lineRule="auto"/>
        <w:rPr>
          <w:rFonts w:ascii="宋体" w:hAnsi="宋体" w:cs="Calibri"/>
          <w:szCs w:val="21"/>
        </w:rPr>
      </w:pPr>
      <w:r>
        <w:rPr>
          <w:rFonts w:hint="eastAsia" w:ascii="宋体" w:hAnsi="宋体" w:cs="Calibri"/>
          <w:szCs w:val="21"/>
        </w:rPr>
        <w:t>本项目服务包含数据技术服务和法律合规服务两部分，具体内容及交付要求如下：</w:t>
      </w:r>
    </w:p>
    <w:p>
      <w:pPr>
        <w:tabs>
          <w:tab w:val="left" w:pos="567"/>
        </w:tabs>
        <w:snapToGrid w:val="0"/>
        <w:spacing w:line="360" w:lineRule="auto"/>
        <w:rPr>
          <w:rFonts w:ascii="宋体" w:hAnsi="宋体" w:cs="Calibri"/>
          <w:b/>
          <w:bCs/>
          <w:szCs w:val="21"/>
        </w:rPr>
      </w:pPr>
      <w:r>
        <w:rPr>
          <w:rFonts w:hint="eastAsia" w:ascii="宋体" w:hAnsi="宋体" w:cs="Calibri"/>
          <w:b/>
          <w:bCs/>
          <w:szCs w:val="21"/>
          <w:lang w:val="en-US" w:eastAsia="zh-CN"/>
        </w:rPr>
        <w:t>1.</w:t>
      </w:r>
      <w:r>
        <w:rPr>
          <w:rFonts w:hint="eastAsia" w:ascii="宋体" w:hAnsi="宋体" w:cs="Calibri"/>
          <w:b/>
          <w:bCs/>
          <w:szCs w:val="21"/>
        </w:rPr>
        <w:t>数据技术服务内容</w:t>
      </w:r>
    </w:p>
    <w:p>
      <w:pPr>
        <w:tabs>
          <w:tab w:val="left" w:pos="567"/>
        </w:tabs>
        <w:snapToGrid w:val="0"/>
        <w:spacing w:line="360" w:lineRule="auto"/>
        <w:rPr>
          <w:rFonts w:ascii="宋体" w:hAnsi="宋体" w:cs="Calibri"/>
          <w:szCs w:val="21"/>
        </w:rPr>
      </w:pPr>
      <w:r>
        <w:rPr>
          <w:rFonts w:hint="eastAsia" w:ascii="宋体" w:hAnsi="宋体" w:cs="Calibri"/>
          <w:b/>
          <w:bCs/>
          <w:szCs w:val="21"/>
        </w:rPr>
        <w:t>1</w:t>
      </w:r>
      <w:r>
        <w:rPr>
          <w:rFonts w:hint="eastAsia" w:ascii="宋体" w:hAnsi="宋体" w:cs="Calibri"/>
          <w:b/>
          <w:bCs/>
          <w:szCs w:val="21"/>
          <w:lang w:val="en-US" w:eastAsia="zh-CN"/>
        </w:rPr>
        <w:t>.1</w:t>
      </w:r>
      <w:r>
        <w:rPr>
          <w:rFonts w:hint="eastAsia" w:ascii="宋体" w:hAnsi="宋体" w:cs="Calibri"/>
          <w:b/>
          <w:bCs/>
          <w:szCs w:val="21"/>
        </w:rPr>
        <w:t>数据资源盘点服务：</w:t>
      </w:r>
      <w:r>
        <w:rPr>
          <w:rFonts w:hint="eastAsia" w:ascii="宋体" w:hAnsi="宋体" w:cs="Calibri"/>
          <w:szCs w:val="21"/>
        </w:rPr>
        <w:t>供应商组织专业技术团队，按采购人要求构建《阿尔兹海默症数据资源目录》，全面盘点数据资源，确保覆盖无死角、无遗漏。交付《阿尔兹海默症数据资源目录》，详细列明数据清单、存储位置、格式、更新频率及数据权属初步划分。</w:t>
      </w:r>
    </w:p>
    <w:p>
      <w:pPr>
        <w:tabs>
          <w:tab w:val="left" w:pos="567"/>
        </w:tabs>
        <w:snapToGrid w:val="0"/>
        <w:spacing w:line="360" w:lineRule="auto"/>
        <w:rPr>
          <w:rFonts w:ascii="宋体" w:hAnsi="宋体" w:cs="Calibri"/>
          <w:szCs w:val="21"/>
        </w:rPr>
      </w:pPr>
      <w:r>
        <w:rPr>
          <w:rFonts w:hint="eastAsia" w:ascii="宋体" w:hAnsi="宋体" w:cs="Calibri"/>
          <w:b/>
          <w:bCs/>
          <w:szCs w:val="21"/>
          <w:lang w:val="en-US" w:eastAsia="zh-CN"/>
        </w:rPr>
        <w:t>1.</w:t>
      </w:r>
      <w:r>
        <w:rPr>
          <w:rFonts w:hint="eastAsia" w:ascii="宋体" w:hAnsi="宋体" w:cs="Calibri"/>
          <w:b/>
          <w:bCs/>
          <w:szCs w:val="21"/>
        </w:rPr>
        <w:t>2数据质量评估与提升服务：</w:t>
      </w:r>
      <w:r>
        <w:rPr>
          <w:rFonts w:hint="eastAsia" w:ascii="宋体" w:hAnsi="宋体" w:cs="Calibri"/>
          <w:szCs w:val="21"/>
        </w:rPr>
        <w:t>基于盘点结果，从完整性、准确性、一致性、时效性四个维度对数据进行量化质量评估，出具《数据质量评估报告》。针对不合格项制定专项清洗与治理方案，辅助采购人完成数据质量提升。</w:t>
      </w:r>
    </w:p>
    <w:p>
      <w:pPr>
        <w:tabs>
          <w:tab w:val="left" w:pos="567"/>
        </w:tabs>
        <w:snapToGrid w:val="0"/>
        <w:spacing w:line="360" w:lineRule="auto"/>
        <w:rPr>
          <w:rFonts w:ascii="宋体" w:hAnsi="宋体" w:cs="Calibri"/>
          <w:szCs w:val="21"/>
        </w:rPr>
      </w:pPr>
      <w:r>
        <w:rPr>
          <w:rFonts w:hint="eastAsia" w:ascii="宋体" w:hAnsi="宋体" w:cs="Calibri"/>
          <w:szCs w:val="21"/>
        </w:rPr>
        <w:t>数据产品加工服务：基于治理后的数据集，加工形成1-2个符合数据交易所标准的衍生数据产品，编制配套《数据集说明书》，明确数据产品的适用场景、数据维度、更新频率及使用限制。</w:t>
      </w:r>
    </w:p>
    <w:p>
      <w:pPr>
        <w:tabs>
          <w:tab w:val="left" w:pos="567"/>
        </w:tabs>
        <w:snapToGrid w:val="0"/>
        <w:spacing w:line="360" w:lineRule="auto"/>
        <w:rPr>
          <w:rFonts w:ascii="宋体" w:hAnsi="宋体" w:cs="Calibri"/>
          <w:b/>
          <w:bCs/>
          <w:szCs w:val="21"/>
        </w:rPr>
      </w:pPr>
      <w:r>
        <w:rPr>
          <w:rFonts w:hint="eastAsia" w:ascii="宋体" w:hAnsi="宋体" w:cs="Calibri"/>
          <w:b/>
          <w:bCs/>
          <w:szCs w:val="21"/>
          <w:lang w:val="en-US" w:eastAsia="zh-CN"/>
        </w:rPr>
        <w:t>2.</w:t>
      </w:r>
      <w:r>
        <w:rPr>
          <w:rFonts w:hint="eastAsia" w:ascii="宋体" w:hAnsi="宋体" w:cs="Calibri"/>
          <w:b/>
          <w:bCs/>
          <w:szCs w:val="21"/>
        </w:rPr>
        <w:t>法律合规服务内容</w:t>
      </w:r>
    </w:p>
    <w:p>
      <w:pPr>
        <w:widowControl/>
        <w:numPr>
          <w:ilvl w:val="255"/>
          <w:numId w:val="0"/>
        </w:numPr>
        <w:tabs>
          <w:tab w:val="left" w:pos="567"/>
        </w:tabs>
        <w:snapToGrid w:val="0"/>
        <w:spacing w:line="360" w:lineRule="auto"/>
        <w:ind w:firstLine="420" w:firstLineChars="200"/>
        <w:rPr>
          <w:rFonts w:ascii="宋体" w:hAnsi="宋体" w:cs="Calibri"/>
          <w:szCs w:val="21"/>
        </w:rPr>
      </w:pPr>
      <w:r>
        <w:rPr>
          <w:rFonts w:hint="eastAsia" w:ascii="宋体" w:hAnsi="宋体" w:cs="Calibri"/>
          <w:szCs w:val="21"/>
        </w:rPr>
        <w:t>针对本项目阿尔茨海默病专病数据集，从以下六大维度提供贯穿全流程的法律合规服务，确保数据资产化及产权登记全过程合法合规、权属清晰、风险可控：</w:t>
      </w:r>
    </w:p>
    <w:p>
      <w:pPr>
        <w:widowControl/>
        <w:tabs>
          <w:tab w:val="left" w:pos="567"/>
        </w:tabs>
        <w:snapToGrid w:val="0"/>
        <w:spacing w:line="360" w:lineRule="auto"/>
        <w:rPr>
          <w:rFonts w:ascii="宋体" w:hAnsi="宋体" w:cs="Calibri"/>
          <w:szCs w:val="21"/>
        </w:rPr>
      </w:pPr>
      <w:r>
        <w:rPr>
          <w:rFonts w:hint="eastAsia" w:ascii="宋体" w:hAnsi="宋体" w:cs="Calibri"/>
          <w:b/>
          <w:bCs/>
          <w:szCs w:val="21"/>
          <w:lang w:val="en-US" w:eastAsia="zh-CN"/>
        </w:rPr>
        <w:t>2.</w:t>
      </w:r>
      <w:r>
        <w:rPr>
          <w:rFonts w:hint="eastAsia" w:ascii="宋体" w:hAnsi="宋体" w:cs="Calibri"/>
          <w:b/>
          <w:bCs/>
          <w:szCs w:val="21"/>
        </w:rPr>
        <w:t>1数据来源合法性审查</w:t>
      </w:r>
      <w:r>
        <w:rPr>
          <w:rFonts w:hint="eastAsia" w:ascii="宋体" w:hAnsi="宋体" w:cs="Calibri"/>
          <w:b/>
          <w:bCs/>
          <w:color w:val="0F1115"/>
          <w:szCs w:val="21"/>
          <w:shd w:val="clear" w:color="auto" w:fill="FFFFFF"/>
        </w:rPr>
        <w:t>：</w:t>
      </w:r>
      <w:r>
        <w:rPr>
          <w:rFonts w:hint="eastAsia" w:ascii="宋体" w:hAnsi="宋体" w:cs="Calibri"/>
          <w:color w:val="0F1115"/>
          <w:szCs w:val="21"/>
          <w:shd w:val="clear" w:color="auto" w:fill="FFFFFF"/>
        </w:rPr>
        <w:t>全面审查数据采集、存储、使用全链条的合法性，核对知情同意书、授权协议等法律文书的签署完整性、条款有效性与适用范围，梳理数据产生涉及的医疗机构、执业医师、患者及家属、第三方检测机构等多方主体的权利义务关系，出具《数据来源合法性审查意见书》。</w:t>
      </w:r>
    </w:p>
    <w:p>
      <w:pPr>
        <w:widowControl/>
        <w:tabs>
          <w:tab w:val="left" w:pos="567"/>
        </w:tabs>
        <w:snapToGrid w:val="0"/>
        <w:spacing w:line="360" w:lineRule="auto"/>
        <w:rPr>
          <w:rFonts w:ascii="宋体" w:hAnsi="宋体" w:cs="Calibri"/>
          <w:szCs w:val="21"/>
        </w:rPr>
      </w:pPr>
      <w:r>
        <w:rPr>
          <w:rFonts w:hint="eastAsia" w:ascii="宋体" w:hAnsi="宋体" w:cs="Calibri"/>
          <w:b/>
          <w:bCs/>
          <w:szCs w:val="21"/>
          <w:lang w:val="en-US" w:eastAsia="zh-CN"/>
        </w:rPr>
        <w:t>2.</w:t>
      </w:r>
      <w:r>
        <w:rPr>
          <w:rFonts w:hint="eastAsia" w:ascii="宋体" w:hAnsi="宋体" w:cs="Calibri"/>
          <w:b/>
          <w:bCs/>
          <w:szCs w:val="21"/>
        </w:rPr>
        <w:t>2数据权属界定与三权分置</w:t>
      </w:r>
      <w:r>
        <w:rPr>
          <w:rFonts w:hint="eastAsia" w:ascii="宋体" w:hAnsi="宋体" w:cs="Calibri"/>
          <w:b/>
          <w:bCs/>
          <w:color w:val="0F1115"/>
          <w:szCs w:val="21"/>
          <w:shd w:val="clear" w:color="auto" w:fill="FFFFFF"/>
        </w:rPr>
        <w:t>：</w:t>
      </w:r>
      <w:r>
        <w:rPr>
          <w:rFonts w:hint="eastAsia" w:ascii="宋体" w:hAnsi="宋体" w:cs="Calibri"/>
          <w:color w:val="0F1115"/>
          <w:szCs w:val="21"/>
          <w:shd w:val="clear" w:color="auto" w:fill="FFFFFF"/>
        </w:rPr>
        <w:t>依据“数据二十条”确立的数据产权结构性分置制度及广东省数据产权登记相关规定，结合医疗数据的特殊属性，明确本数据集的持有权、加工使用权、产品经营权的权利归属与权利边界，为后续产权登记与收益分配提供法理依据。</w:t>
      </w:r>
    </w:p>
    <w:p>
      <w:pPr>
        <w:widowControl/>
        <w:tabs>
          <w:tab w:val="left" w:pos="567"/>
        </w:tabs>
        <w:snapToGrid w:val="0"/>
        <w:spacing w:line="360" w:lineRule="auto"/>
        <w:rPr>
          <w:rFonts w:ascii="宋体" w:hAnsi="宋体" w:cs="Calibri"/>
          <w:szCs w:val="21"/>
        </w:rPr>
      </w:pPr>
      <w:r>
        <w:rPr>
          <w:rFonts w:hint="eastAsia" w:ascii="宋体" w:hAnsi="宋体" w:cs="Calibri"/>
          <w:b/>
          <w:bCs/>
          <w:szCs w:val="21"/>
          <w:lang w:val="en-US" w:eastAsia="zh-CN"/>
        </w:rPr>
        <w:t>2.</w:t>
      </w:r>
      <w:r>
        <w:rPr>
          <w:rFonts w:hint="eastAsia" w:ascii="宋体" w:hAnsi="宋体" w:cs="Calibri"/>
          <w:b/>
          <w:bCs/>
          <w:szCs w:val="21"/>
        </w:rPr>
        <w:t>3数据确权合规评估</w:t>
      </w:r>
      <w:r>
        <w:rPr>
          <w:rFonts w:hint="eastAsia" w:ascii="宋体" w:hAnsi="宋体" w:cs="Calibri"/>
          <w:b/>
          <w:bCs/>
          <w:color w:val="0F1115"/>
          <w:szCs w:val="21"/>
          <w:shd w:val="clear" w:color="auto" w:fill="FFFFFF"/>
        </w:rPr>
        <w:t>：</w:t>
      </w:r>
      <w:r>
        <w:rPr>
          <w:rFonts w:hint="eastAsia" w:ascii="宋体" w:hAnsi="宋体" w:cs="Calibri"/>
          <w:color w:val="0F1115"/>
          <w:szCs w:val="21"/>
          <w:shd w:val="clear" w:color="auto" w:fill="FFFFFF"/>
        </w:rPr>
        <w:t>制定医院内部数据共享授权管理机制与外部合作数据使用规则，明确不同场景下的授权审批流程与使用范围限制，出具《数据确权合规评估报告》。</w:t>
      </w:r>
    </w:p>
    <w:p>
      <w:pPr>
        <w:widowControl/>
        <w:tabs>
          <w:tab w:val="left" w:pos="567"/>
        </w:tabs>
        <w:snapToGrid w:val="0"/>
        <w:spacing w:line="360" w:lineRule="auto"/>
        <w:rPr>
          <w:rFonts w:ascii="宋体" w:hAnsi="宋体" w:cs="Calibri"/>
          <w:szCs w:val="21"/>
        </w:rPr>
      </w:pPr>
      <w:r>
        <w:rPr>
          <w:rFonts w:hint="eastAsia" w:ascii="宋体" w:hAnsi="宋体" w:cs="Calibri"/>
          <w:b/>
          <w:bCs/>
          <w:szCs w:val="21"/>
          <w:lang w:val="en-US" w:eastAsia="zh-CN"/>
        </w:rPr>
        <w:t>2.</w:t>
      </w:r>
      <w:r>
        <w:rPr>
          <w:rFonts w:hint="eastAsia" w:ascii="宋体" w:hAnsi="宋体" w:cs="Calibri"/>
          <w:b/>
          <w:bCs/>
          <w:szCs w:val="21"/>
        </w:rPr>
        <w:t>4个人信息保护影响评估</w:t>
      </w:r>
      <w:r>
        <w:rPr>
          <w:rFonts w:hint="eastAsia" w:ascii="宋体" w:hAnsi="宋体" w:cs="Calibri"/>
          <w:b/>
          <w:bCs/>
          <w:color w:val="0F1115"/>
          <w:szCs w:val="21"/>
          <w:shd w:val="clear" w:color="auto" w:fill="FFFFFF"/>
        </w:rPr>
        <w:t>：</w:t>
      </w:r>
      <w:r>
        <w:rPr>
          <w:rFonts w:hint="eastAsia" w:ascii="宋体" w:hAnsi="宋体" w:cs="Calibri"/>
          <w:color w:val="0F1115"/>
          <w:szCs w:val="21"/>
          <w:shd w:val="clear" w:color="auto" w:fill="FFFFFF"/>
        </w:rPr>
        <w:t>设计“动态授权+分层同意”的患者知情同意管理机制，针对数据加工、产品化及潜在流通场景开展个人信息保护影响评估，出具《个人信息保护影响评估报告》，确保符合《个人信息保护法》相关要求。</w:t>
      </w:r>
    </w:p>
    <w:p>
      <w:pPr>
        <w:widowControl/>
        <w:tabs>
          <w:tab w:val="left" w:pos="567"/>
        </w:tabs>
        <w:snapToGrid w:val="0"/>
        <w:spacing w:line="360" w:lineRule="auto"/>
        <w:rPr>
          <w:rFonts w:ascii="宋体" w:hAnsi="宋体" w:cs="Calibri"/>
          <w:szCs w:val="21"/>
        </w:rPr>
      </w:pPr>
      <w:r>
        <w:rPr>
          <w:rFonts w:hint="eastAsia" w:ascii="宋体" w:hAnsi="宋体" w:cs="Calibri"/>
          <w:b/>
          <w:bCs/>
          <w:szCs w:val="21"/>
          <w:lang w:val="en-US" w:eastAsia="zh-CN"/>
        </w:rPr>
        <w:t>2.5</w:t>
      </w:r>
      <w:r>
        <w:rPr>
          <w:rFonts w:hint="eastAsia" w:ascii="宋体" w:hAnsi="宋体" w:cs="Calibri"/>
          <w:b/>
          <w:bCs/>
          <w:szCs w:val="21"/>
        </w:rPr>
        <w:t>数据安全与网络信息安全合规审查</w:t>
      </w:r>
      <w:r>
        <w:rPr>
          <w:rFonts w:hint="eastAsia" w:ascii="宋体" w:hAnsi="宋体" w:cs="Calibri"/>
          <w:color w:val="0F1115"/>
          <w:szCs w:val="21"/>
          <w:shd w:val="clear" w:color="auto" w:fill="FFFFFF"/>
        </w:rPr>
        <w:t>：审查数据存储、传输、访问控制、脱敏处理等环节的安全防护措施与管理制度的充分性与有效性，确保符合《数据安全法》《网络安全法》《个人信息保护法》及相关行业规范要求。</w:t>
      </w:r>
    </w:p>
    <w:p>
      <w:pPr>
        <w:widowControl/>
        <w:spacing w:before="90"/>
        <w:jc w:val="both"/>
        <w:rPr>
          <w:rFonts w:hint="eastAsia" w:ascii="宋体" w:hAnsi="宋体" w:cs="Calibri"/>
          <w:color w:val="0F1115"/>
          <w:szCs w:val="21"/>
          <w:shd w:val="clear" w:color="auto" w:fill="FFFFFF"/>
        </w:rPr>
      </w:pPr>
      <w:r>
        <w:rPr>
          <w:rFonts w:hint="eastAsia" w:ascii="宋体" w:hAnsi="宋体" w:cs="Calibri"/>
          <w:b/>
          <w:bCs/>
          <w:szCs w:val="21"/>
          <w:lang w:val="en-US" w:eastAsia="zh-CN"/>
        </w:rPr>
        <w:t>2.6</w:t>
      </w:r>
      <w:r>
        <w:rPr>
          <w:rFonts w:hint="eastAsia" w:ascii="宋体" w:hAnsi="宋体" w:cs="Calibri"/>
          <w:b/>
          <w:bCs/>
          <w:szCs w:val="21"/>
        </w:rPr>
        <w:t>数据资产化专项合规审查与权证获取</w:t>
      </w:r>
      <w:r>
        <w:rPr>
          <w:rFonts w:hint="eastAsia" w:ascii="宋体" w:hAnsi="宋体" w:cs="Calibri"/>
          <w:b/>
          <w:bCs/>
          <w:color w:val="0F1115"/>
          <w:szCs w:val="21"/>
          <w:shd w:val="clear" w:color="auto" w:fill="FFFFFF"/>
        </w:rPr>
        <w:t>：</w:t>
      </w:r>
      <w:r>
        <w:rPr>
          <w:rFonts w:hint="eastAsia" w:ascii="宋体" w:hAnsi="宋体" w:cs="Calibri"/>
          <w:color w:val="0F1115"/>
          <w:szCs w:val="21"/>
          <w:shd w:val="clear" w:color="auto" w:fill="FFFFFF"/>
        </w:rPr>
        <w:t>对数据产品加工、产品定价、挂牌流通全流程开展资产化专项合规审查，识别并规避数据资产化过程中的法律风险点；负责出具数据资产登记所需的全套合规法律文书，确保材料要件完整、内容合规，符合深圳数据交易所和/或广州数据交易所及广东省市场监督管理局的登记审核要求，协助采购人顺利取得《数据产权登记证书》。</w:t>
      </w:r>
    </w:p>
    <w:p>
      <w:pPr>
        <w:widowControl/>
        <w:spacing w:before="90"/>
        <w:jc w:val="center"/>
        <w:rPr>
          <w:b/>
          <w:bCs/>
          <w:sz w:val="30"/>
          <w:szCs w:val="30"/>
        </w:rPr>
      </w:pPr>
      <w:r>
        <w:rPr>
          <w:rFonts w:hint="eastAsia"/>
          <w:b/>
          <w:bCs/>
          <w:sz w:val="30"/>
          <w:szCs w:val="30"/>
        </w:rPr>
        <w:t>三、实质性条款</w:t>
      </w:r>
    </w:p>
    <w:tbl>
      <w:tblPr>
        <w:tblStyle w:val="21"/>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0" w:type="dxa"/>
            <w:vAlign w:val="center"/>
          </w:tcPr>
          <w:p>
            <w:r>
              <w:rPr>
                <w:rFonts w:hint="eastAsia"/>
              </w:rPr>
              <w:t>序号</w:t>
            </w:r>
          </w:p>
        </w:tc>
        <w:tc>
          <w:tcPr>
            <w:tcW w:w="9501"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0" w:type="dxa"/>
          </w:tcPr>
          <w:p>
            <w:pPr>
              <w:jc w:val="center"/>
            </w:pPr>
            <w:r>
              <w:rPr>
                <w:rFonts w:hint="eastAsia"/>
              </w:rPr>
              <w:t>1</w:t>
            </w:r>
          </w:p>
        </w:tc>
        <w:tc>
          <w:tcPr>
            <w:tcW w:w="9501" w:type="dxa"/>
          </w:tcPr>
          <w:p>
            <w:pPr>
              <w:jc w:val="center"/>
            </w:pPr>
            <w:r>
              <w:rPr>
                <w:rFonts w:hint="eastAsia"/>
              </w:rPr>
              <w:t>本项目招标文件中所有带★号条款内容</w:t>
            </w:r>
          </w:p>
        </w:tc>
      </w:tr>
    </w:tbl>
    <w:p>
      <w:pPr>
        <w:pStyle w:val="12"/>
        <w:ind w:left="424" w:leftChars="202" w:right="258" w:rightChars="123" w:firstLine="426" w:firstLineChars="202"/>
        <w:rPr>
          <w:rFonts w:ascii="Times New Roman" w:hAnsi="Times New Roman" w:eastAsia="宋体"/>
          <w:b/>
          <w:color w:val="FF0000"/>
          <w:kern w:val="2"/>
          <w:sz w:val="21"/>
          <w:szCs w:val="24"/>
        </w:rPr>
      </w:pPr>
      <w:r>
        <w:rPr>
          <w:rFonts w:hint="eastAsia" w:ascii="Times New Roman" w:hAnsi="Times New Roman" w:eastAsia="宋体"/>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5"/>
        <w:ind w:firstLine="0"/>
        <w:jc w:val="center"/>
        <w:rPr>
          <w:b/>
          <w:bCs/>
          <w:szCs w:val="21"/>
        </w:rPr>
      </w:pPr>
    </w:p>
    <w:p>
      <w:pPr>
        <w:pStyle w:val="5"/>
        <w:ind w:firstLine="0"/>
        <w:jc w:val="center"/>
        <w:rPr>
          <w:b/>
          <w:bCs/>
          <w:sz w:val="30"/>
          <w:szCs w:val="30"/>
        </w:rPr>
      </w:pPr>
      <w:r>
        <w:rPr>
          <w:rFonts w:hint="eastAsia"/>
          <w:b/>
          <w:bCs/>
          <w:sz w:val="30"/>
          <w:szCs w:val="30"/>
        </w:rPr>
        <w:t>四、商务条款要求</w:t>
      </w:r>
    </w:p>
    <w:bookmarkEnd w:id="5"/>
    <w:bookmarkEnd w:id="6"/>
    <w:bookmarkEnd w:id="7"/>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rPr>
        <w:t>1.服务期要求：1年</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2.</w:t>
      </w:r>
      <w:r>
        <w:rPr>
          <w:rFonts w:hint="eastAsia" w:ascii="宋体" w:hAnsi="宋体" w:cs="Calibri"/>
          <w:color w:val="0F1115"/>
          <w:szCs w:val="21"/>
          <w:shd w:val="clear" w:color="auto" w:fill="FFFFFF"/>
        </w:rPr>
        <w:t xml:space="preserve">服务地点：深圳市宝安区人民医院       </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3.人员要求：</w:t>
      </w:r>
      <w:r>
        <w:rPr>
          <w:rFonts w:hint="eastAsia" w:ascii="宋体" w:hAnsi="宋体" w:cs="Calibri"/>
          <w:color w:val="0F1115"/>
          <w:szCs w:val="21"/>
          <w:shd w:val="clear" w:color="auto" w:fill="FFFFFF"/>
        </w:rPr>
        <w:t>拟安排的项目负责人1人</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3.1</w:t>
      </w:r>
      <w:r>
        <w:rPr>
          <w:rFonts w:hint="eastAsia" w:ascii="宋体" w:hAnsi="宋体" w:cs="Calibri"/>
          <w:color w:val="0F1115"/>
          <w:szCs w:val="21"/>
          <w:shd w:val="clear" w:color="auto" w:fill="FFFFFF"/>
        </w:rPr>
        <w:t>计算机或医学专业本科（含本科）以上学历，提供学历证书和学位证书；</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3.2</w:t>
      </w:r>
      <w:r>
        <w:rPr>
          <w:rFonts w:hint="eastAsia" w:ascii="宋体" w:hAnsi="宋体" w:cs="Calibri"/>
          <w:color w:val="0F1115"/>
          <w:szCs w:val="21"/>
          <w:shd w:val="clear" w:color="auto" w:fill="FFFFFF"/>
        </w:rPr>
        <w:t>具有信息系统项目管理师证书。</w:t>
      </w:r>
    </w:p>
    <w:p>
      <w:pPr>
        <w:widowControl/>
        <w:spacing w:before="90"/>
        <w:jc w:val="both"/>
        <w:rPr>
          <w:rFonts w:hint="eastAsia" w:ascii="宋体" w:hAnsi="宋体" w:cs="Calibri"/>
          <w:color w:val="0F1115"/>
          <w:szCs w:val="21"/>
          <w:shd w:val="clear" w:color="auto" w:fill="FFFFFF"/>
          <w:lang w:val="en-US" w:eastAsia="zh-CN"/>
        </w:rPr>
      </w:pPr>
      <w:r>
        <w:rPr>
          <w:rFonts w:hint="eastAsia" w:ascii="宋体" w:hAnsi="宋体" w:cs="Calibri"/>
          <w:color w:val="0F1115"/>
          <w:szCs w:val="21"/>
          <w:shd w:val="clear" w:color="auto" w:fill="FFFFFF"/>
          <w:lang w:val="en-US" w:eastAsia="zh-CN"/>
        </w:rPr>
        <w:t>4.售后服务要求：</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4.1</w:t>
      </w:r>
      <w:r>
        <w:rPr>
          <w:rFonts w:hint="eastAsia" w:ascii="宋体" w:hAnsi="宋体" w:cs="Calibri"/>
          <w:color w:val="0F1115"/>
          <w:szCs w:val="21"/>
          <w:shd w:val="clear" w:color="auto" w:fill="FFFFFF"/>
        </w:rPr>
        <w:t>服务期：在项目通过竣工验收后，提供1年免费运维服务。</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4.2</w:t>
      </w:r>
      <w:r>
        <w:rPr>
          <w:rFonts w:hint="eastAsia" w:ascii="宋体" w:hAnsi="宋体" w:cs="Calibri"/>
          <w:color w:val="0F1115"/>
          <w:szCs w:val="21"/>
          <w:shd w:val="clear" w:color="auto" w:fill="FFFFFF"/>
        </w:rPr>
        <w:t>服务要求：投标人应提供实时在线的客户服务，具备灵活多样的通讯和服务手段，提供7×24小时响应服务。通过远程与现场结合的方式解决常见问题，系统宕机后2小时内恢复正常，如果恢复不了，需要24小时到达现场解决，需要在6小时内解决问题。</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4.3</w:t>
      </w:r>
      <w:r>
        <w:rPr>
          <w:rFonts w:hint="eastAsia" w:ascii="宋体" w:hAnsi="宋体" w:cs="Calibri"/>
          <w:color w:val="0F1115"/>
          <w:szCs w:val="21"/>
          <w:shd w:val="clear" w:color="auto" w:fill="FFFFFF"/>
        </w:rPr>
        <w:t>服务内容包括当不限于模型更新、功能模块增加、数据清洗与治理、实时支持、故障响应、热线服务、定期跟踪、系统升级、国产软硬件适配改造等内容，投标人要提出服务方案。</w:t>
      </w:r>
    </w:p>
    <w:p>
      <w:pPr>
        <w:widowControl/>
        <w:spacing w:before="90"/>
        <w:jc w:val="both"/>
        <w:rPr>
          <w:rFonts w:hint="eastAsia" w:ascii="宋体" w:hAnsi="宋体" w:cs="Calibri"/>
          <w:color w:val="0F1115"/>
          <w:szCs w:val="21"/>
          <w:shd w:val="clear" w:color="auto" w:fill="FFFFFF"/>
        </w:rPr>
      </w:pPr>
      <w:r>
        <w:rPr>
          <w:rFonts w:hint="eastAsia"/>
        </w:rPr>
        <w:t>★</w:t>
      </w:r>
      <w:r>
        <w:rPr>
          <w:rFonts w:hint="eastAsia" w:ascii="宋体" w:hAnsi="宋体" w:cs="Calibri"/>
          <w:color w:val="0F1115"/>
          <w:szCs w:val="21"/>
          <w:shd w:val="clear" w:color="auto" w:fill="FFFFFF"/>
          <w:lang w:val="en-US" w:eastAsia="zh-CN"/>
        </w:rPr>
        <w:t>4.4</w:t>
      </w:r>
      <w:r>
        <w:rPr>
          <w:rFonts w:hint="eastAsia" w:ascii="宋体" w:hAnsi="宋体" w:cs="Calibri"/>
          <w:color w:val="0F1115"/>
          <w:szCs w:val="21"/>
          <w:shd w:val="clear" w:color="auto" w:fill="FFFFFF"/>
        </w:rPr>
        <w:t>为确保服务有效性，采购人有权要求供应商在中标后5个工作日内提供数据产品设计方案、数据资源权属分置方案并进行论证。如存在虚假响应行为，将取消供应商的成交资格，并列入采购人供应商黑名单。响应供应商须在响应文件中提供承诺函并加盖厂商公章，否则视为无效投标。</w:t>
      </w:r>
    </w:p>
    <w:p>
      <w:pPr>
        <w:widowControl/>
        <w:spacing w:before="90"/>
        <w:jc w:val="both"/>
        <w:rPr>
          <w:rFonts w:hint="eastAsia" w:ascii="宋体" w:hAnsi="宋体" w:cs="Calibri"/>
          <w:color w:val="0F1115"/>
          <w:szCs w:val="21"/>
          <w:shd w:val="clear" w:color="auto" w:fill="FFFFFF"/>
        </w:rPr>
      </w:pPr>
      <w:r>
        <w:rPr>
          <w:rFonts w:hint="eastAsia"/>
        </w:rPr>
        <w:t>★</w:t>
      </w:r>
      <w:r>
        <w:rPr>
          <w:rFonts w:hint="eastAsia" w:ascii="宋体" w:hAnsi="宋体" w:cs="Calibri"/>
          <w:color w:val="0F1115"/>
          <w:szCs w:val="21"/>
          <w:shd w:val="clear" w:color="auto" w:fill="FFFFFF"/>
          <w:lang w:val="en-US" w:eastAsia="zh-CN"/>
        </w:rPr>
        <w:t>4.5</w:t>
      </w:r>
      <w:r>
        <w:rPr>
          <w:rFonts w:hint="eastAsia" w:ascii="宋体" w:hAnsi="宋体" w:cs="Calibri"/>
          <w:color w:val="0F1115"/>
          <w:szCs w:val="21"/>
          <w:shd w:val="clear" w:color="auto" w:fill="FFFFFF"/>
        </w:rPr>
        <w:t>为确保服务有效性，所使用的服务软件工具均须支持采购人HIS系统数据库，采购人有权要求投标人对上述各服务所使用的软硬件进行测试验证(包括HIS系统数据库兼容性、上述各服务工具的逐项功能指标)，如存在虚假响应行为，将取消供应商的成交资格，并列入采购人供应商黑名单。响应供应商须在响应文件中提供承诺函并加盖厂商公章，否则视为无效投标。</w:t>
      </w:r>
    </w:p>
    <w:p>
      <w:pPr>
        <w:widowControl/>
        <w:spacing w:before="90"/>
        <w:jc w:val="both"/>
        <w:rPr>
          <w:rFonts w:hint="eastAsia" w:ascii="宋体" w:hAnsi="宋体" w:cs="Calibri"/>
          <w:color w:val="0F1115"/>
          <w:szCs w:val="21"/>
          <w:shd w:val="clear" w:color="auto" w:fill="FFFFFF"/>
          <w:lang w:val="en-US" w:eastAsia="zh-CN"/>
        </w:rPr>
      </w:pPr>
      <w:r>
        <w:rPr>
          <w:rFonts w:hint="eastAsia" w:ascii="宋体" w:hAnsi="宋体" w:cs="Calibri"/>
          <w:color w:val="0F1115"/>
          <w:szCs w:val="21"/>
          <w:shd w:val="clear" w:color="auto" w:fill="FFFFFF"/>
          <w:lang w:val="en-US" w:eastAsia="zh-CN"/>
        </w:rPr>
        <w:t>5投入设施要求：</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投入资源设备主要用于1.数据资源盘点服务2、数据质量评估与提升服务3、数据确权与合规评估4、数据产品加工服务5、数据产品登记等，整体资源的需求：1.数据服务器：用于大数据底座、应用数据库集业务镜像库等：CPU：32核；内存：64G；2T硬盘，万兆网络；2.应用服务器：用于科研大数据平台应用等：CPU：32核；内存：64G；2T硬盘，万兆网络；3.</w:t>
      </w:r>
      <w:r>
        <w:rPr>
          <w:rFonts w:hint="eastAsia" w:ascii="宋体" w:hAnsi="宋体" w:cs="Calibri"/>
          <w:color w:val="0F1115"/>
          <w:szCs w:val="21"/>
          <w:shd w:val="clear" w:color="auto" w:fill="FFFFFF"/>
        </w:rPr>
        <w:t>运维服务器：CPU：8核 、内存：16GB、磁盘：100GB</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6.成果交付：</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6.1</w:t>
      </w:r>
      <w:r>
        <w:rPr>
          <w:rFonts w:hint="eastAsia" w:ascii="宋体" w:hAnsi="宋体" w:cs="Calibri"/>
          <w:color w:val="0F1115"/>
          <w:szCs w:val="21"/>
          <w:shd w:val="clear" w:color="auto" w:fill="FFFFFF"/>
        </w:rPr>
        <w:t>《阿尔兹海默症数据资源目录》；</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6.</w:t>
      </w:r>
      <w:r>
        <w:rPr>
          <w:rFonts w:hint="eastAsia" w:ascii="宋体" w:hAnsi="宋体" w:cs="Calibri"/>
          <w:color w:val="0F1115"/>
          <w:szCs w:val="21"/>
          <w:shd w:val="clear" w:color="auto" w:fill="FFFFFF"/>
        </w:rPr>
        <w:t>2《数据质量评估报告》；</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6.3</w:t>
      </w:r>
      <w:r>
        <w:rPr>
          <w:rFonts w:hint="eastAsia" w:ascii="宋体" w:hAnsi="宋体" w:cs="Calibri"/>
          <w:color w:val="0F1115"/>
          <w:szCs w:val="21"/>
          <w:shd w:val="clear" w:color="auto" w:fill="FFFFFF"/>
        </w:rPr>
        <w:t>《数据来源合法性审查意见书》；</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6.</w:t>
      </w:r>
      <w:r>
        <w:rPr>
          <w:rFonts w:hint="eastAsia" w:ascii="宋体" w:hAnsi="宋体" w:cs="Calibri"/>
          <w:color w:val="0F1115"/>
          <w:szCs w:val="21"/>
          <w:shd w:val="clear" w:color="auto" w:fill="FFFFFF"/>
        </w:rPr>
        <w:t>4《数据确权合规评估报告》；</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6.</w:t>
      </w:r>
      <w:r>
        <w:rPr>
          <w:rFonts w:hint="eastAsia" w:ascii="宋体" w:hAnsi="宋体" w:cs="Calibri"/>
          <w:color w:val="0F1115"/>
          <w:szCs w:val="21"/>
          <w:shd w:val="clear" w:color="auto" w:fill="FFFFFF"/>
        </w:rPr>
        <w:t>5《个人信息保护影响评估报告》；</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rPr>
        <w:t>6</w:t>
      </w:r>
      <w:r>
        <w:rPr>
          <w:rFonts w:hint="eastAsia" w:ascii="宋体" w:hAnsi="宋体" w:cs="Calibri"/>
          <w:color w:val="0F1115"/>
          <w:szCs w:val="21"/>
          <w:shd w:val="clear" w:color="auto" w:fill="FFFFFF"/>
          <w:lang w:val="en-US" w:eastAsia="zh-CN"/>
        </w:rPr>
        <w:t>.6</w:t>
      </w:r>
      <w:r>
        <w:rPr>
          <w:rFonts w:hint="eastAsia" w:ascii="宋体" w:hAnsi="宋体" w:cs="Calibri"/>
          <w:color w:val="0F1115"/>
          <w:szCs w:val="21"/>
          <w:shd w:val="clear" w:color="auto" w:fill="FFFFFF"/>
        </w:rPr>
        <w:t>《数据产权登记证书》。</w:t>
      </w: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lang w:val="en-US" w:eastAsia="zh-CN"/>
        </w:rPr>
        <w:t>7.报价要求：</w:t>
      </w:r>
      <w:r>
        <w:rPr>
          <w:rFonts w:hint="eastAsia" w:ascii="宋体" w:hAnsi="宋体" w:cs="Calibri"/>
          <w:color w:val="0F1115"/>
          <w:szCs w:val="21"/>
          <w:shd w:val="clear" w:color="auto" w:fill="FFFFFF"/>
        </w:rPr>
        <w:t xml:space="preserve">投标总价必须是完成该项目的一切费用总和，包括人工费、保险费、管理费、技术培训费、设备安装费、调试费、售后服务费、国家规定的各项税费等全部费用。 </w:t>
      </w:r>
    </w:p>
    <w:p>
      <w:pPr>
        <w:widowControl/>
        <w:spacing w:before="90"/>
        <w:jc w:val="both"/>
        <w:rPr>
          <w:rFonts w:hint="default" w:ascii="宋体" w:hAnsi="宋体" w:cs="Calibri"/>
          <w:color w:val="0F1115"/>
          <w:szCs w:val="21"/>
          <w:shd w:val="clear" w:color="auto" w:fill="FFFFFF"/>
          <w:lang w:val="en-US" w:eastAsia="zh-CN"/>
        </w:rPr>
      </w:pPr>
    </w:p>
    <w:p>
      <w:pPr>
        <w:widowControl/>
        <w:spacing w:before="90"/>
        <w:jc w:val="both"/>
        <w:rPr>
          <w:rFonts w:hint="eastAsia" w:ascii="宋体" w:hAnsi="宋体" w:cs="Calibri"/>
          <w:color w:val="0F1115"/>
          <w:szCs w:val="21"/>
          <w:shd w:val="clear" w:color="auto" w:fill="FFFFFF"/>
        </w:rPr>
      </w:pPr>
      <w:r>
        <w:rPr>
          <w:rFonts w:hint="eastAsia" w:ascii="宋体" w:hAnsi="宋体" w:cs="Calibri"/>
          <w:color w:val="0F1115"/>
          <w:szCs w:val="21"/>
          <w:shd w:val="clear" w:color="auto" w:fill="FFFFFF"/>
        </w:rPr>
        <w:br w:type="page"/>
      </w:r>
    </w:p>
    <w:p>
      <w:pPr>
        <w:widowControl/>
        <w:spacing w:line="500" w:lineRule="exact"/>
        <w:jc w:val="left"/>
        <w:rPr>
          <w:rFonts w:hint="eastAsia" w:ascii="宋体" w:hAnsi="宋体" w:cs="Arial"/>
          <w:b/>
          <w:color w:val="000000"/>
          <w:kern w:val="0"/>
          <w:sz w:val="32"/>
          <w:szCs w:val="32"/>
        </w:rPr>
      </w:pPr>
      <w:r>
        <w:rPr>
          <w:rFonts w:hint="eastAsia" w:ascii="宋体" w:hAnsi="宋体"/>
          <w:b/>
          <w:bCs/>
          <w:sz w:val="24"/>
        </w:rPr>
        <mc:AlternateContent>
          <mc:Choice Requires="wps">
            <w:drawing>
              <wp:anchor distT="0" distB="0" distL="114300" distR="114300" simplePos="0" relativeHeight="251660288" behindDoc="0" locked="0" layoutInCell="1" allowOverlap="1">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hint="eastAsia"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60.5pt;margin-top:24.75pt;height:23.4pt;width:51.1pt;z-index:251660288;mso-width-relative:page;mso-height-relative:page;" fillcolor="#FFFFFF" filled="t" stroked="t" coordsize="21600,21600" o:gfxdata="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pgXKdkAAAAKAQAADwAAAAAAAAAB&#10;ACAAAAAiAAAAZHJzL2Rvd25yZXYueG1sUEsBAhQAFAAAAAgAh07iQEIM/qJIAgAAlAQAAA4AAAAA&#10;AAAAAQAgAAAAKAEAAGRycy9lMm9Eb2MueG1sUEsFBgAAAAAGAAYAWQEAAOIFAAAAAA==&#10;">
                <v:fill on="t" focussize="0,0"/>
                <v:stroke color="#000000" miterlimit="8" joinstyle="miter"/>
                <v:imagedata o:title=""/>
                <o:lock v:ext="edit" aspectratio="f"/>
                <v:textbox>
                  <w:txbxContent>
                    <w:p>
                      <w:pPr>
                        <w:jc w:val="center"/>
                        <w:rPr>
                          <w:rFonts w:hint="eastAsia" w:ascii="宋体" w:hAnsi="宋体"/>
                          <w:b/>
                          <w:sz w:val="24"/>
                        </w:rPr>
                      </w:pPr>
                      <w:r>
                        <w:rPr>
                          <w:rFonts w:hint="eastAsia" w:ascii="宋体" w:hAnsi="宋体"/>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hint="eastAsia" w:ascii="宋体" w:hAnsi="宋体" w:cs="宋体-18030"/>
          <w:b/>
          <w:bCs/>
          <w:sz w:val="24"/>
        </w:rPr>
      </w:pPr>
    </w:p>
    <w:p>
      <w:pPr>
        <w:widowControl/>
        <w:spacing w:line="700" w:lineRule="exact"/>
        <w:jc w:val="center"/>
        <w:rPr>
          <w:rFonts w:hint="eastAsia" w:ascii="宋体" w:hAnsi="宋体"/>
          <w:b/>
          <w:bCs/>
          <w:sz w:val="28"/>
          <w:szCs w:val="28"/>
        </w:rPr>
      </w:pPr>
      <w:r>
        <w:rPr>
          <w:rFonts w:ascii="宋体" w:hAnsi="宋体" w:cs="宋体-18030"/>
          <w:b/>
          <w:bCs/>
          <w:sz w:val="28"/>
          <w:szCs w:val="28"/>
        </w:rPr>
        <w:t>深圳市宝安区人民医院</w:t>
      </w:r>
      <w:r>
        <w:rPr>
          <w:rFonts w:ascii="宋体" w:hAnsi="宋体"/>
          <w:b/>
          <w:bCs/>
          <w:sz w:val="28"/>
          <w:szCs w:val="28"/>
        </w:rPr>
        <w:t>202</w:t>
      </w:r>
      <w:r>
        <w:rPr>
          <w:rFonts w:hint="eastAsia" w:ascii="宋体" w:hAnsi="宋体"/>
          <w:b/>
          <w:bCs/>
          <w:sz w:val="28"/>
          <w:szCs w:val="28"/>
        </w:rPr>
        <w:t>6</w:t>
      </w:r>
      <w:r>
        <w:rPr>
          <w:rFonts w:ascii="宋体" w:hAnsi="宋体"/>
          <w:b/>
          <w:bCs/>
          <w:sz w:val="28"/>
          <w:szCs w:val="28"/>
        </w:rPr>
        <w:t>年第</w:t>
      </w:r>
      <w:r>
        <w:rPr>
          <w:rFonts w:hint="eastAsia" w:ascii="宋体" w:hAnsi="宋体"/>
          <w:b/>
          <w:bCs/>
          <w:sz w:val="28"/>
          <w:szCs w:val="28"/>
          <w:lang w:val="en-US" w:eastAsia="zh-CN"/>
        </w:rPr>
        <w:t>24</w:t>
      </w:r>
      <w:r>
        <w:rPr>
          <w:rFonts w:ascii="宋体" w:hAnsi="宋体"/>
          <w:b/>
          <w:bCs/>
          <w:sz w:val="28"/>
          <w:szCs w:val="28"/>
        </w:rPr>
        <w:t>期采购</w:t>
      </w:r>
    </w:p>
    <w:p>
      <w:pPr>
        <w:spacing w:after="60" w:line="360" w:lineRule="auto"/>
        <w:rPr>
          <w:rFonts w:hint="eastAsia" w:ascii="宋体" w:hAnsi="宋体"/>
          <w:b/>
          <w:bCs/>
          <w:sz w:val="24"/>
        </w:rPr>
      </w:pPr>
    </w:p>
    <w:p>
      <w:pPr>
        <w:widowControl/>
        <w:spacing w:line="360" w:lineRule="auto"/>
        <w:jc w:val="center"/>
        <w:rPr>
          <w:rFonts w:hint="eastAsia" w:ascii="宋体" w:hAnsi="宋体"/>
          <w:b/>
          <w:bCs/>
          <w:sz w:val="84"/>
          <w:szCs w:val="84"/>
        </w:rPr>
      </w:pP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sz w:val="30"/>
          <w:szCs w:val="30"/>
        </w:rPr>
        <w:t>BYZBCG202</w:t>
      </w:r>
      <w:r>
        <w:rPr>
          <w:rFonts w:hint="eastAsia" w:ascii="宋体" w:hAnsi="宋体"/>
          <w:b/>
          <w:bCs/>
          <w:sz w:val="30"/>
          <w:szCs w:val="30"/>
        </w:rPr>
        <w:t>6</w:t>
      </w:r>
      <w:r>
        <w:rPr>
          <w:rFonts w:ascii="宋体" w:hAnsi="宋体"/>
          <w:b/>
          <w:bCs/>
          <w:sz w:val="30"/>
          <w:szCs w:val="30"/>
        </w:rPr>
        <w:t>-</w:t>
      </w:r>
      <w:r>
        <w:rPr>
          <w:rFonts w:hint="eastAsia" w:ascii="宋体" w:hAnsi="宋体"/>
          <w:b/>
          <w:bCs/>
          <w:sz w:val="30"/>
          <w:szCs w:val="30"/>
          <w:lang w:val="en-US" w:eastAsia="zh-CN"/>
        </w:rPr>
        <w:t>24</w:t>
      </w:r>
    </w:p>
    <w:p>
      <w:pPr>
        <w:widowControl/>
        <w:spacing w:line="500" w:lineRule="exact"/>
        <w:ind w:left="1"/>
        <w:jc w:val="center"/>
        <w:rPr>
          <w:rFonts w:hint="eastAsia" w:ascii="宋体" w:hAnsi="宋体"/>
          <w:b/>
          <w:bCs/>
          <w:color w:val="FF0000"/>
        </w:rPr>
      </w:pPr>
      <w:r>
        <w:rPr>
          <w:rFonts w:ascii="宋体" w:hAnsi="宋体"/>
          <w:b/>
          <w:bCs/>
          <w:sz w:val="28"/>
          <w:szCs w:val="28"/>
        </w:rPr>
        <w:t xml:space="preserve"> </w:t>
      </w:r>
    </w:p>
    <w:p>
      <w:pPr>
        <w:widowControl/>
        <w:spacing w:line="500" w:lineRule="exact"/>
        <w:ind w:left="1"/>
        <w:jc w:val="center"/>
        <w:rPr>
          <w:rStyle w:val="27"/>
          <w:rFonts w:hint="eastAsia" w:eastAsia="宋体"/>
          <w:color w:val="000000"/>
        </w:rPr>
      </w:pPr>
    </w:p>
    <w:p>
      <w:pPr>
        <w:widowControl/>
        <w:spacing w:line="500" w:lineRule="exact"/>
        <w:ind w:firstLine="970" w:firstLineChars="345"/>
        <w:rPr>
          <w:rStyle w:val="27"/>
          <w:rFonts w:hint="eastAsia" w:eastAsia="宋体"/>
          <w:color w:val="000000"/>
          <w:szCs w:val="28"/>
          <w:u w:val="single"/>
        </w:rPr>
      </w:pPr>
      <w:r>
        <w:rPr>
          <w:rStyle w:val="27"/>
          <w:rFonts w:eastAsia="宋体"/>
          <w:color w:val="000000"/>
          <w:szCs w:val="28"/>
        </w:rPr>
        <w:t>项目名称:</w:t>
      </w:r>
      <w:r>
        <w:rPr>
          <w:rStyle w:val="27"/>
          <w:rFonts w:eastAsia="宋体"/>
          <w:color w:val="000000"/>
          <w:szCs w:val="28"/>
          <w:u w:val="single"/>
        </w:rPr>
        <w:t xml:space="preserve">                        </w:t>
      </w:r>
      <w:r>
        <w:rPr>
          <w:rFonts w:hint="eastAsia"/>
        </w:rPr>
        <w:t xml:space="preserve"> </w:t>
      </w:r>
      <w:r>
        <w:rPr>
          <w:rStyle w:val="27"/>
          <w:rFonts w:hint="eastAsia" w:eastAsia="宋体"/>
          <w:b w:val="0"/>
          <w:bCs w:val="0"/>
          <w:szCs w:val="28"/>
        </w:rPr>
        <w:t xml:space="preserve"> </w:t>
      </w:r>
    </w:p>
    <w:p>
      <w:pPr>
        <w:widowControl/>
        <w:spacing w:line="500" w:lineRule="exact"/>
        <w:ind w:firstLine="970" w:firstLineChars="345"/>
      </w:pPr>
      <w:r>
        <w:rPr>
          <w:rStyle w:val="27"/>
          <w:rFonts w:eastAsia="宋体"/>
          <w:color w:val="000000"/>
          <w:szCs w:val="28"/>
        </w:rPr>
        <w:t>投标单位:</w:t>
      </w:r>
      <w:r>
        <w:rPr>
          <w:rStyle w:val="27"/>
          <w:rFonts w:eastAsia="宋体"/>
          <w:color w:val="000000"/>
          <w:szCs w:val="28"/>
          <w:u w:val="single"/>
        </w:rPr>
        <w:t xml:space="preserve">                                 </w:t>
      </w:r>
      <w:r>
        <w:rPr>
          <w:rFonts w:hint="eastAsia"/>
        </w:rPr>
        <w:t xml:space="preserve"> </w:t>
      </w:r>
    </w:p>
    <w:p>
      <w:pPr>
        <w:widowControl/>
        <w:spacing w:line="500" w:lineRule="exact"/>
        <w:ind w:firstLine="567" w:firstLineChars="270"/>
        <w:rPr>
          <w:rStyle w:val="27"/>
          <w:rFonts w:hint="eastAsia" w:eastAsia="宋体"/>
          <w:color w:val="000000"/>
          <w:szCs w:val="28"/>
        </w:rPr>
      </w:pPr>
      <w:r>
        <w:rPr>
          <w:rFonts w:hint="eastAsia"/>
        </w:rPr>
        <w:t xml:space="preserve">    </w:t>
      </w:r>
      <w:r>
        <w:rPr>
          <w:rStyle w:val="27"/>
          <w:rFonts w:eastAsia="宋体"/>
          <w:color w:val="000000"/>
          <w:szCs w:val="28"/>
        </w:rPr>
        <w:t xml:space="preserve">联系人:  </w:t>
      </w:r>
      <w:r>
        <w:rPr>
          <w:rStyle w:val="27"/>
          <w:rFonts w:eastAsia="宋体"/>
          <w:color w:val="000000"/>
          <w:szCs w:val="28"/>
          <w:u w:val="single"/>
        </w:rPr>
        <w:t xml:space="preserve">                                  </w:t>
      </w:r>
    </w:p>
    <w:p>
      <w:pPr>
        <w:widowControl/>
        <w:spacing w:line="500" w:lineRule="exact"/>
        <w:ind w:firstLine="970" w:firstLineChars="345"/>
        <w:rPr>
          <w:rStyle w:val="27"/>
          <w:rFonts w:hint="eastAsia" w:eastAsia="宋体"/>
          <w:color w:val="000000"/>
          <w:szCs w:val="28"/>
          <w:u w:val="single"/>
        </w:rPr>
      </w:pPr>
      <w:r>
        <w:rPr>
          <w:rStyle w:val="27"/>
          <w:rFonts w:eastAsia="宋体"/>
          <w:color w:val="000000"/>
          <w:szCs w:val="28"/>
        </w:rPr>
        <w:t>联系电话:</w:t>
      </w:r>
      <w:r>
        <w:rPr>
          <w:rStyle w:val="27"/>
          <w:rFonts w:eastAsia="宋体"/>
          <w:color w:val="000000"/>
          <w:szCs w:val="28"/>
          <w:u w:val="single"/>
        </w:rPr>
        <w:t xml:space="preserve">                </w:t>
      </w:r>
      <w:r>
        <w:rPr>
          <w:rStyle w:val="27"/>
          <w:rFonts w:eastAsia="宋体"/>
          <w:b w:val="0"/>
          <w:color w:val="000000"/>
          <w:sz w:val="18"/>
          <w:szCs w:val="18"/>
        </w:rPr>
        <w:t>(手机)</w:t>
      </w:r>
      <w:r>
        <w:rPr>
          <w:rStyle w:val="27"/>
          <w:rFonts w:eastAsia="宋体"/>
          <w:color w:val="000000"/>
          <w:szCs w:val="28"/>
          <w:u w:val="single"/>
        </w:rPr>
        <w:t xml:space="preserve">            </w:t>
      </w:r>
      <w:r>
        <w:rPr>
          <w:rStyle w:val="27"/>
          <w:rFonts w:eastAsia="宋体"/>
          <w:b w:val="0"/>
          <w:color w:val="000000"/>
          <w:sz w:val="18"/>
          <w:szCs w:val="18"/>
        </w:rPr>
        <w:t>(办公)</w:t>
      </w:r>
    </w:p>
    <w:p>
      <w:pPr>
        <w:widowControl/>
        <w:spacing w:line="500" w:lineRule="exact"/>
        <w:ind w:firstLine="970" w:firstLineChars="345"/>
        <w:rPr>
          <w:rStyle w:val="27"/>
          <w:rFonts w:hint="eastAsia" w:eastAsia="宋体"/>
          <w:color w:val="000000"/>
          <w:szCs w:val="28"/>
          <w:u w:val="single"/>
        </w:rPr>
      </w:pPr>
      <w:r>
        <w:rPr>
          <w:rStyle w:val="27"/>
          <w:rFonts w:eastAsia="宋体"/>
          <w:color w:val="000000"/>
          <w:szCs w:val="28"/>
        </w:rPr>
        <w:t>地址:</w:t>
      </w:r>
      <w:r>
        <w:rPr>
          <w:rStyle w:val="27"/>
          <w:rFonts w:eastAsia="宋体"/>
          <w:color w:val="000000"/>
          <w:szCs w:val="28"/>
          <w:u w:val="single"/>
        </w:rPr>
        <w:t xml:space="preserve">                                        </w:t>
      </w:r>
    </w:p>
    <w:p>
      <w:pPr>
        <w:widowControl/>
        <w:spacing w:line="500" w:lineRule="exact"/>
        <w:ind w:firstLine="970" w:firstLineChars="345"/>
        <w:rPr>
          <w:rStyle w:val="27"/>
          <w:rFonts w:hint="eastAsia" w:eastAsia="宋体"/>
          <w:color w:val="000000"/>
          <w:szCs w:val="28"/>
        </w:rPr>
      </w:pPr>
      <w:r>
        <w:rPr>
          <w:rStyle w:val="27"/>
          <w:rFonts w:eastAsia="宋体"/>
          <w:color w:val="000000"/>
          <w:szCs w:val="28"/>
        </w:rPr>
        <w:t>日期:202</w:t>
      </w:r>
      <w:r>
        <w:rPr>
          <w:rStyle w:val="27"/>
          <w:rFonts w:hint="eastAsia" w:eastAsia="宋体"/>
          <w:color w:val="000000"/>
          <w:szCs w:val="28"/>
        </w:rPr>
        <w:t>6</w:t>
      </w:r>
      <w:r>
        <w:rPr>
          <w:rStyle w:val="27"/>
          <w:rFonts w:eastAsia="宋体"/>
          <w:color w:val="000000"/>
          <w:szCs w:val="28"/>
        </w:rPr>
        <w:t>年</w:t>
      </w:r>
      <w:r>
        <w:rPr>
          <w:rStyle w:val="27"/>
          <w:rFonts w:eastAsia="宋体"/>
          <w:color w:val="000000"/>
          <w:szCs w:val="28"/>
          <w:u w:val="single"/>
        </w:rPr>
        <w:t xml:space="preserve">    </w:t>
      </w:r>
      <w:r>
        <w:rPr>
          <w:rStyle w:val="27"/>
          <w:rFonts w:eastAsia="宋体"/>
          <w:color w:val="000000"/>
          <w:szCs w:val="28"/>
        </w:rPr>
        <w:t>月</w:t>
      </w:r>
      <w:r>
        <w:rPr>
          <w:rStyle w:val="27"/>
          <w:rFonts w:eastAsia="宋体"/>
          <w:color w:val="000000"/>
          <w:szCs w:val="28"/>
          <w:u w:val="single"/>
        </w:rPr>
        <w:t xml:space="preserve">    </w:t>
      </w:r>
      <w:r>
        <w:rPr>
          <w:rStyle w:val="27"/>
          <w:rFonts w:eastAsia="宋体"/>
          <w:color w:val="000000"/>
          <w:szCs w:val="28"/>
        </w:rPr>
        <w:t xml:space="preserve">日                                           </w:t>
      </w:r>
    </w:p>
    <w:p>
      <w:pPr>
        <w:widowControl/>
        <w:spacing w:line="500" w:lineRule="exact"/>
        <w:ind w:firstLine="970" w:firstLineChars="345"/>
        <w:rPr>
          <w:rStyle w:val="27"/>
          <w:rFonts w:hint="eastAsia" w:eastAsia="宋体"/>
          <w:color w:val="000000"/>
          <w:szCs w:val="28"/>
        </w:rPr>
      </w:pPr>
      <w:r>
        <w:rPr>
          <w:rStyle w:val="27"/>
          <w:rFonts w:eastAsia="宋体"/>
          <w:color w:val="000000"/>
          <w:szCs w:val="28"/>
        </w:rPr>
        <w:t xml:space="preserve">                                           </w:t>
      </w:r>
    </w:p>
    <w:p>
      <w:pPr>
        <w:widowControl/>
        <w:spacing w:line="500" w:lineRule="exact"/>
        <w:jc w:val="left"/>
        <w:rPr>
          <w:rStyle w:val="27"/>
          <w:rFonts w:hint="eastAsia" w:cs="宋体"/>
          <w:color w:val="000000"/>
          <w:szCs w:val="28"/>
        </w:rPr>
      </w:pPr>
      <w:r>
        <w:rPr>
          <w:rStyle w:val="27"/>
          <w:rFonts w:hint="eastAsia" w:cs="宋体"/>
          <w:color w:val="000000"/>
          <w:szCs w:val="28"/>
        </w:rPr>
        <w:t>备注:</w:t>
      </w:r>
    </w:p>
    <w:p>
      <w:pPr>
        <w:widowControl/>
        <w:spacing w:line="500" w:lineRule="exact"/>
        <w:jc w:val="left"/>
        <w:rPr>
          <w:rFonts w:hint="eastAsia" w:ascii="宋体" w:hAnsi="宋体" w:eastAsia="黑体" w:cs="宋体"/>
          <w:b/>
          <w:bCs/>
          <w:color w:val="000000"/>
          <w:kern w:val="44"/>
          <w:sz w:val="28"/>
          <w:szCs w:val="28"/>
        </w:rPr>
      </w:pPr>
      <w:r>
        <w:rPr>
          <w:rStyle w:val="27"/>
          <w:rFonts w:hint="eastAsia" w:cs="宋体"/>
          <w:color w:val="000000"/>
          <w:szCs w:val="28"/>
        </w:rPr>
        <w:t>一、</w:t>
      </w:r>
      <w:r>
        <w:rPr>
          <w:rFonts w:ascii="宋体" w:hAnsi="宋体" w:eastAsia="黑体" w:cs="宋体"/>
          <w:b/>
          <w:bCs/>
          <w:color w:val="000000"/>
          <w:kern w:val="44"/>
          <w:sz w:val="28"/>
          <w:szCs w:val="28"/>
        </w:rPr>
        <w:t>投标与</w:t>
      </w:r>
      <w:r>
        <w:rPr>
          <w:rFonts w:hint="eastAsia" w:ascii="宋体" w:hAnsi="宋体" w:eastAsia="黑体" w:cs="宋体"/>
          <w:b/>
          <w:bCs/>
          <w:color w:val="000000"/>
          <w:kern w:val="44"/>
          <w:sz w:val="28"/>
          <w:szCs w:val="28"/>
        </w:rPr>
        <w:t>开</w:t>
      </w:r>
      <w:r>
        <w:rPr>
          <w:rFonts w:ascii="宋体" w:hAnsi="宋体" w:eastAsia="黑体" w:cs="宋体"/>
          <w:b/>
          <w:bCs/>
          <w:color w:val="000000"/>
          <w:kern w:val="44"/>
          <w:sz w:val="28"/>
          <w:szCs w:val="28"/>
        </w:rPr>
        <w:t>标同步进行，</w:t>
      </w:r>
      <w:r>
        <w:rPr>
          <w:rFonts w:hint="eastAsia" w:ascii="宋体" w:hAnsi="宋体" w:cs="宋体"/>
          <w:color w:val="000000"/>
          <w:kern w:val="44"/>
          <w:sz w:val="28"/>
          <w:szCs w:val="28"/>
        </w:rPr>
        <w:t>投标商报名成功后请自行关注我院官网</w:t>
      </w:r>
      <w:r>
        <w:rPr>
          <w:rFonts w:hint="eastAsia" w:cs="宋体"/>
          <w:color w:val="000000"/>
          <w:kern w:val="44"/>
          <w:sz w:val="28"/>
          <w:szCs w:val="28"/>
        </w:rPr>
        <w:t>公告</w:t>
      </w:r>
      <w:r>
        <w:rPr>
          <w:rFonts w:hint="eastAsia" w:ascii="宋体" w:hAnsi="宋体" w:cs="宋体"/>
          <w:color w:val="000000"/>
          <w:kern w:val="44"/>
          <w:sz w:val="28"/>
          <w:szCs w:val="28"/>
        </w:rPr>
        <w:t>信息</w:t>
      </w:r>
      <w:r>
        <w:rPr>
          <w:rFonts w:hint="eastAsia" w:ascii="宋体" w:hAnsi="宋体" w:cs="宋体"/>
          <w:color w:val="000000"/>
          <w:kern w:val="44"/>
          <w:sz w:val="28"/>
          <w:szCs w:val="28"/>
          <w:highlight w:val="yellow"/>
        </w:rPr>
        <w:t>（本项目的“开标通知”）</w:t>
      </w:r>
    </w:p>
    <w:p>
      <w:pPr>
        <w:widowControl/>
        <w:spacing w:line="500" w:lineRule="exact"/>
        <w:jc w:val="left"/>
        <w:rPr>
          <w:rFonts w:hint="eastAsia" w:ascii="微软雅黑" w:hAnsi="微软雅黑" w:eastAsia="微软雅黑" w:cs="微软雅黑"/>
          <w:color w:val="000000"/>
          <w:kern w:val="0"/>
          <w:sz w:val="28"/>
          <w:szCs w:val="28"/>
        </w:rPr>
      </w:pPr>
      <w:r>
        <w:rPr>
          <w:rStyle w:val="27"/>
          <w:rFonts w:hint="eastAsia" w:ascii="微软雅黑" w:hAnsi="微软雅黑" w:eastAsia="微软雅黑" w:cs="微软雅黑"/>
          <w:color w:val="000000"/>
          <w:szCs w:val="28"/>
        </w:rPr>
        <w:t>二､</w:t>
      </w:r>
      <w:r>
        <w:rPr>
          <w:rStyle w:val="27"/>
          <w:rFonts w:hint="eastAsia" w:ascii="黑体" w:hAnsi="黑体" w:cs="黑体"/>
          <w:color w:val="000000"/>
          <w:szCs w:val="28"/>
        </w:rPr>
        <w:t>谈判现场</w:t>
      </w:r>
      <w:r>
        <w:rPr>
          <w:rStyle w:val="27"/>
          <w:rFonts w:hint="eastAsia" w:cs="宋体"/>
          <w:color w:val="000000"/>
          <w:szCs w:val="28"/>
        </w:rPr>
        <w:t>,需提交6份密封投标书（2正4副）(胶装成册)</w:t>
      </w:r>
      <w:r>
        <w:rPr>
          <w:rStyle w:val="27"/>
          <w:rFonts w:hint="eastAsia" w:ascii="微软雅黑" w:hAnsi="微软雅黑" w:eastAsia="微软雅黑" w:cs="微软雅黑"/>
          <w:color w:val="000000"/>
          <w:szCs w:val="28"/>
        </w:rPr>
        <w:t>､</w:t>
      </w:r>
      <w:r>
        <w:rPr>
          <w:rStyle w:val="27"/>
          <w:rFonts w:hint="eastAsia" w:ascii="黑体" w:hAnsi="黑体" w:cs="黑体"/>
          <w:color w:val="000000"/>
          <w:szCs w:val="28"/>
        </w:rPr>
        <w:t>1份密封报价单、投标文件PDF版</w:t>
      </w:r>
      <w:r>
        <w:rPr>
          <w:rFonts w:hint="eastAsia"/>
          <w:b/>
          <w:bCs/>
          <w:color w:val="000000"/>
          <w:kern w:val="0"/>
        </w:rPr>
        <w:t>【</w:t>
      </w:r>
      <w:r>
        <w:rPr>
          <w:rFonts w:hint="eastAsia" w:ascii="宋体" w:hAnsi="宋体" w:cs="宋体"/>
          <w:color w:val="000000"/>
          <w:kern w:val="0"/>
          <w:sz w:val="28"/>
          <w:szCs w:val="28"/>
        </w:rPr>
        <w:t>标题格式：2026年第X期 投标公司名称-投标文件</w:t>
      </w:r>
      <w:r>
        <w:rPr>
          <w:rFonts w:hint="eastAsia"/>
          <w:b/>
          <w:bCs/>
          <w:color w:val="000000"/>
          <w:kern w:val="0"/>
        </w:rPr>
        <w:t>】</w:t>
      </w:r>
    </w:p>
    <w:p>
      <w:pPr>
        <w:widowControl/>
        <w:spacing w:line="500" w:lineRule="exact"/>
        <w:jc w:val="left"/>
        <w:rPr>
          <w:rStyle w:val="27"/>
          <w:rFonts w:hint="eastAsia" w:eastAsia="宋体"/>
          <w:color w:val="FF0000"/>
          <w:szCs w:val="28"/>
        </w:rPr>
      </w:pPr>
      <w:r>
        <w:rPr>
          <w:rStyle w:val="27"/>
          <w:rFonts w:hint="eastAsia" w:cs="宋体"/>
          <w:szCs w:val="28"/>
        </w:rPr>
        <w:t>三</w:t>
      </w:r>
      <w:r>
        <w:rPr>
          <w:rStyle w:val="27"/>
          <w:rFonts w:hint="eastAsia" w:ascii="微软雅黑" w:hAnsi="微软雅黑" w:eastAsia="微软雅黑" w:cs="微软雅黑"/>
          <w:szCs w:val="28"/>
        </w:rPr>
        <w:t>､</w:t>
      </w:r>
      <w:r>
        <w:rPr>
          <w:rStyle w:val="27"/>
          <w:rFonts w:hint="eastAsia" w:ascii="黑体" w:hAnsi="黑体" w:cs="黑体"/>
          <w:szCs w:val="28"/>
        </w:rPr>
        <w:t>节约纸张</w:t>
      </w:r>
      <w:r>
        <w:rPr>
          <w:rStyle w:val="27"/>
          <w:rFonts w:hint="eastAsia" w:cs="宋体"/>
          <w:szCs w:val="28"/>
        </w:rPr>
        <w:t>,请双面打印</w:t>
      </w:r>
      <w:r>
        <w:rPr>
          <w:rStyle w:val="27"/>
          <w:rFonts w:hint="eastAsia" w:ascii="微软雅黑" w:hAnsi="微软雅黑" w:eastAsia="微软雅黑" w:cs="微软雅黑"/>
          <w:szCs w:val="28"/>
        </w:rPr>
        <w:t>｡</w:t>
      </w:r>
      <w:r>
        <w:rPr>
          <w:rStyle w:val="27"/>
          <w:rFonts w:eastAsia="宋体"/>
          <w:color w:val="FF0000"/>
          <w:szCs w:val="28"/>
        </w:rPr>
        <w:br w:type="page"/>
      </w:r>
    </w:p>
    <w:p>
      <w:pPr>
        <w:jc w:val="center"/>
        <w:rPr>
          <w:rFonts w:hint="eastAsia" w:ascii="宋体" w:hAnsi="宋体"/>
          <w:b/>
          <w:bCs/>
          <w:sz w:val="48"/>
          <w:szCs w:val="48"/>
        </w:rPr>
      </w:pPr>
      <w:r>
        <w:rPr>
          <w:rFonts w:hint="eastAsia" w:ascii="宋体" w:hAnsi="宋体"/>
          <w:b/>
          <w:bCs/>
          <w:sz w:val="48"/>
          <w:szCs w:val="48"/>
          <w:highlight w:val="yellow"/>
        </w:rPr>
        <w:t>特别警示提醒</w:t>
      </w:r>
    </w:p>
    <w:p>
      <w:pPr>
        <w:snapToGrid w:val="0"/>
        <w:ind w:firstLine="420" w:firstLineChars="200"/>
        <w:contextualSpacing/>
        <w:rPr>
          <w:rFonts w:hint="eastAsia" w:ascii="宋体" w:hAnsi="宋体"/>
          <w:bCs/>
          <w:sz w:val="24"/>
        </w:rPr>
      </w:pPr>
      <w:r>
        <w:rPr>
          <w:rFonts w:hint="eastAsia" w:ascii="宋体" w:hAnsi="宋体" w:cs="宋体"/>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381" w:type="pct"/>
            <w:vAlign w:val="center"/>
          </w:tcPr>
          <w:p>
            <w:pPr>
              <w:snapToGrid w:val="0"/>
              <w:contextualSpacing/>
              <w:jc w:val="center"/>
              <w:rPr>
                <w:rFonts w:hint="eastAsia" w:ascii="宋体" w:hAnsi="宋体" w:cs="宋体"/>
                <w:b/>
                <w:szCs w:val="21"/>
              </w:rPr>
            </w:pPr>
            <w:r>
              <w:rPr>
                <w:rFonts w:hint="eastAsia" w:ascii="宋体" w:hAnsi="宋体" w:cs="宋体"/>
                <w:b/>
                <w:szCs w:val="21"/>
              </w:rPr>
              <w:t>序号</w:t>
            </w:r>
          </w:p>
        </w:tc>
        <w:tc>
          <w:tcPr>
            <w:tcW w:w="4619" w:type="pct"/>
            <w:vAlign w:val="center"/>
          </w:tcPr>
          <w:p>
            <w:pPr>
              <w:snapToGrid w:val="0"/>
              <w:contextualSpacing/>
              <w:jc w:val="center"/>
              <w:rPr>
                <w:rFonts w:hint="eastAsia" w:ascii="宋体" w:hAnsi="宋体" w:cs="宋体"/>
                <w:b/>
                <w:szCs w:val="21"/>
              </w:rPr>
            </w:pPr>
            <w:r>
              <w:rPr>
                <w:rFonts w:hint="eastAsia" w:ascii="宋体" w:hAnsi="宋体" w:cs="宋体"/>
                <w:b/>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1" w:type="pct"/>
            <w:vAlign w:val="center"/>
          </w:tcPr>
          <w:p>
            <w:pPr>
              <w:snapToGrid w:val="0"/>
              <w:contextualSpacing/>
              <w:jc w:val="center"/>
              <w:rPr>
                <w:rFonts w:hint="eastAsia" w:ascii="宋体" w:hAnsi="宋体" w:cs="宋体"/>
                <w:bCs/>
                <w:szCs w:val="21"/>
              </w:rPr>
            </w:pPr>
            <w:r>
              <w:rPr>
                <w:rFonts w:ascii="宋体" w:hAnsi="宋体" w:cs="宋体"/>
                <w:bCs/>
                <w:szCs w:val="21"/>
              </w:rPr>
              <w:t>1</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2</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参与本项目采购活动时，与其他投标供应商存在单位负责人为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3</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w:t>
            </w:r>
            <w:r>
              <w:rPr>
                <w:rFonts w:hint="eastAsia" w:ascii="宋体" w:hAnsi="宋体" w:cs="宋体"/>
                <w:szCs w:val="21"/>
                <w:lang w:val="en-US" w:eastAsia="zh-CN"/>
              </w:rPr>
              <w:t>文件</w:t>
            </w:r>
            <w:r>
              <w:rPr>
                <w:rFonts w:hint="eastAsia" w:ascii="宋体" w:hAnsi="宋体" w:cs="宋体"/>
                <w:szCs w:val="21"/>
              </w:rPr>
              <w:t>及投标文件或部分报名</w:t>
            </w:r>
            <w:r>
              <w:rPr>
                <w:rFonts w:hint="eastAsia" w:ascii="宋体" w:hAnsi="宋体" w:cs="宋体"/>
                <w:szCs w:val="21"/>
                <w:lang w:val="en-US" w:eastAsia="zh-CN"/>
              </w:rPr>
              <w:t>文件</w:t>
            </w:r>
            <w:r>
              <w:rPr>
                <w:rFonts w:hint="eastAsia" w:ascii="宋体" w:hAnsi="宋体" w:cs="宋体"/>
                <w:szCs w:val="21"/>
              </w:rPr>
              <w:t>及投标文件</w:t>
            </w:r>
            <w:r>
              <w:rPr>
                <w:rFonts w:hint="eastAsia" w:ascii="宋体" w:hAnsi="宋体" w:cs="宋体"/>
                <w:b/>
                <w:bCs/>
                <w:szCs w:val="21"/>
              </w:rPr>
              <w:t>相互混装或存在非正常一致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4</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与其他投标供应商的报名</w:t>
            </w:r>
            <w:r>
              <w:rPr>
                <w:rFonts w:hint="eastAsia" w:ascii="宋体" w:hAnsi="宋体" w:cs="宋体"/>
                <w:szCs w:val="21"/>
                <w:lang w:val="en-US" w:eastAsia="zh-CN"/>
              </w:rPr>
              <w:t>文件</w:t>
            </w:r>
            <w:r>
              <w:rPr>
                <w:rFonts w:hint="eastAsia" w:ascii="宋体" w:hAnsi="宋体" w:cs="宋体"/>
                <w:szCs w:val="21"/>
              </w:rPr>
              <w:t>及投标文件由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81" w:type="pct"/>
            <w:vAlign w:val="center"/>
          </w:tcPr>
          <w:p>
            <w:pPr>
              <w:snapToGrid w:val="0"/>
              <w:contextualSpacing/>
              <w:jc w:val="center"/>
              <w:rPr>
                <w:rFonts w:hint="eastAsia" w:ascii="宋体" w:hAnsi="宋体" w:cs="宋体"/>
                <w:bCs/>
                <w:szCs w:val="21"/>
              </w:rPr>
            </w:pPr>
            <w:r>
              <w:rPr>
                <w:rFonts w:hint="eastAsia" w:ascii="宋体" w:hAnsi="宋体" w:cs="宋体"/>
                <w:bCs/>
                <w:szCs w:val="21"/>
              </w:rPr>
              <w:t>5</w:t>
            </w:r>
          </w:p>
        </w:tc>
        <w:tc>
          <w:tcPr>
            <w:tcW w:w="4619" w:type="pct"/>
            <w:vAlign w:val="center"/>
          </w:tcPr>
          <w:p>
            <w:pPr>
              <w:tabs>
                <w:tab w:val="left" w:pos="709"/>
              </w:tabs>
              <w:snapToGrid w:val="0"/>
              <w:contextualSpacing/>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pPr>
        <w:pStyle w:val="19"/>
        <w:shd w:val="clear" w:color="auto" w:fill="FFFFFF"/>
        <w:snapToGrid w:val="0"/>
        <w:spacing w:before="0" w:beforeAutospacing="0" w:after="0" w:afterAutospacing="0"/>
        <w:ind w:firstLine="420" w:firstLineChars="20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pPr>
        <w:pStyle w:val="19"/>
        <w:shd w:val="clear" w:color="auto" w:fill="FFFFFF"/>
        <w:snapToGrid w:val="0"/>
        <w:spacing w:before="0" w:beforeAutospacing="0" w:after="0" w:afterAutospacing="0"/>
        <w:contextualSpacing/>
        <w:jc w:val="both"/>
        <w:rPr>
          <w:rFonts w:hint="eastAsia"/>
          <w:sz w:val="21"/>
          <w:szCs w:val="21"/>
        </w:rPr>
      </w:pPr>
      <w:r>
        <w:rPr>
          <w:rFonts w:hint="eastAsia"/>
          <w:sz w:val="21"/>
          <w:szCs w:val="21"/>
        </w:rPr>
        <w:t>　　除单一来源采购项目外，为采购项目提供整体设计、规范编制或者项目管理、监理、检测等服务的供应商，不得再参加该采购项目的其他采购活动。</w:t>
      </w:r>
    </w:p>
    <w:p>
      <w:pPr>
        <w:ind w:firstLine="420" w:firstLineChars="200"/>
        <w:rPr>
          <w:rFonts w:hint="eastAsia" w:ascii="宋体" w:hAnsi="宋体"/>
          <w:szCs w:val="21"/>
        </w:rPr>
      </w:pPr>
      <w:r>
        <w:rPr>
          <w:rFonts w:hint="eastAsia" w:ascii="宋体" w:hAnsi="宋体"/>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61"/>
          <w:rFonts w:ascii="宋体" w:hAnsi="宋体"/>
          <w:color w:val="auto"/>
          <w:szCs w:val="21"/>
        </w:rPr>
        <w:t>构成犯罪的，依法追究刑事责任：</w:t>
      </w:r>
    </w:p>
    <w:p>
      <w:pPr>
        <w:ind w:firstLine="420" w:firstLineChars="200"/>
        <w:rPr>
          <w:rFonts w:hint="eastAsia" w:ascii="宋体" w:hAnsi="宋体"/>
          <w:szCs w:val="21"/>
        </w:rPr>
      </w:pPr>
      <w:r>
        <w:rPr>
          <w:rFonts w:hint="eastAsia" w:ascii="宋体" w:hAnsi="宋体"/>
          <w:szCs w:val="21"/>
        </w:rPr>
        <w:t>（一）在采购活动中应当回避而未回避的；</w:t>
      </w:r>
    </w:p>
    <w:p>
      <w:pPr>
        <w:ind w:firstLine="420" w:firstLineChars="200"/>
        <w:rPr>
          <w:rFonts w:hint="eastAsia" w:ascii="宋体" w:hAnsi="宋体"/>
          <w:szCs w:val="21"/>
        </w:rPr>
      </w:pPr>
      <w:r>
        <w:rPr>
          <w:rFonts w:hint="eastAsia" w:ascii="宋体" w:hAnsi="宋体"/>
          <w:szCs w:val="21"/>
        </w:rPr>
        <w:t>（二）未按本条例规定签订、履行采购合同，造成严重后果的；</w:t>
      </w:r>
    </w:p>
    <w:p>
      <w:pPr>
        <w:ind w:firstLine="420" w:firstLineChars="200"/>
        <w:rPr>
          <w:rFonts w:hint="eastAsia" w:ascii="宋体" w:hAnsi="宋体"/>
          <w:szCs w:val="21"/>
        </w:rPr>
      </w:pPr>
      <w:r>
        <w:rPr>
          <w:rFonts w:hint="eastAsia" w:ascii="宋体" w:hAnsi="宋体"/>
          <w:szCs w:val="21"/>
        </w:rPr>
        <w:t>（三）隐瞒真实情况，提供虚假资料的；</w:t>
      </w:r>
    </w:p>
    <w:p>
      <w:pPr>
        <w:ind w:firstLine="420" w:firstLineChars="200"/>
        <w:rPr>
          <w:rFonts w:hint="eastAsia" w:ascii="宋体" w:hAnsi="宋体"/>
          <w:szCs w:val="21"/>
        </w:rPr>
      </w:pPr>
      <w:r>
        <w:rPr>
          <w:rFonts w:hint="eastAsia" w:ascii="宋体" w:hAnsi="宋体"/>
          <w:szCs w:val="21"/>
        </w:rPr>
        <w:t>（四）以非法手段排斥其他供应商参与竞争的；</w:t>
      </w:r>
    </w:p>
    <w:p>
      <w:pPr>
        <w:ind w:firstLine="420" w:firstLineChars="200"/>
        <w:rPr>
          <w:rFonts w:hint="eastAsia" w:ascii="宋体" w:hAnsi="宋体"/>
          <w:szCs w:val="21"/>
        </w:rPr>
      </w:pPr>
      <w:r>
        <w:rPr>
          <w:rFonts w:hint="eastAsia" w:ascii="宋体" w:hAnsi="宋体"/>
          <w:szCs w:val="21"/>
        </w:rPr>
        <w:t>（五）与其他采购参加人串通投标的；</w:t>
      </w:r>
    </w:p>
    <w:p>
      <w:pPr>
        <w:ind w:firstLine="420" w:firstLineChars="200"/>
        <w:rPr>
          <w:rFonts w:hint="eastAsia" w:ascii="宋体" w:hAnsi="宋体"/>
          <w:szCs w:val="21"/>
        </w:rPr>
      </w:pPr>
      <w:r>
        <w:rPr>
          <w:rFonts w:hint="eastAsia" w:ascii="宋体" w:hAnsi="宋体"/>
          <w:szCs w:val="21"/>
        </w:rPr>
        <w:t>（六）恶意投诉的；</w:t>
      </w:r>
    </w:p>
    <w:p>
      <w:pPr>
        <w:ind w:firstLine="420" w:firstLineChars="200"/>
        <w:rPr>
          <w:rFonts w:hint="eastAsia" w:ascii="宋体" w:hAnsi="宋体"/>
          <w:szCs w:val="21"/>
        </w:rPr>
      </w:pPr>
      <w:r>
        <w:rPr>
          <w:rFonts w:hint="eastAsia" w:ascii="宋体" w:hAnsi="宋体"/>
          <w:szCs w:val="21"/>
        </w:rPr>
        <w:t>（七）向采购项目相关人行贿或者提供其他不当利益的；</w:t>
      </w:r>
    </w:p>
    <w:p>
      <w:pPr>
        <w:ind w:firstLine="420" w:firstLineChars="200"/>
        <w:rPr>
          <w:rFonts w:hint="eastAsia" w:ascii="宋体" w:hAnsi="宋体"/>
          <w:szCs w:val="21"/>
        </w:rPr>
      </w:pPr>
      <w:r>
        <w:rPr>
          <w:rFonts w:hint="eastAsia" w:ascii="宋体" w:hAnsi="宋体"/>
          <w:szCs w:val="21"/>
        </w:rPr>
        <w:t>（八）阻碍、抗拒主管部门监督检查的；</w:t>
      </w:r>
    </w:p>
    <w:p>
      <w:pPr>
        <w:ind w:firstLine="420" w:firstLineChars="200"/>
        <w:rPr>
          <w:rFonts w:hint="eastAsia" w:ascii="宋体" w:hAnsi="宋体"/>
          <w:szCs w:val="21"/>
        </w:rPr>
      </w:pPr>
      <w:r>
        <w:rPr>
          <w:rFonts w:hint="eastAsia" w:ascii="宋体" w:hAnsi="宋体"/>
          <w:szCs w:val="21"/>
        </w:rPr>
        <w:t>（九）其他违反本条例规定的行为。</w:t>
      </w:r>
    </w:p>
    <w:p>
      <w:pPr>
        <w:ind w:firstLine="420" w:firstLineChars="200"/>
        <w:rPr>
          <w:rFonts w:hint="eastAsia" w:ascii="宋体" w:hAnsi="宋体"/>
          <w:szCs w:val="21"/>
        </w:rPr>
      </w:pPr>
      <w:r>
        <w:rPr>
          <w:rFonts w:hint="eastAsia" w:ascii="宋体" w:hAnsi="宋体"/>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hint="eastAsia" w:ascii="宋体" w:hAnsi="宋体"/>
          <w:szCs w:val="21"/>
        </w:rPr>
        <w:t>存在非正常一致；（六）由同一单位工作人员为两家以上（含两家）供应商进行同一项投标活动的；（七）主管部门依照法律、法规认定的其他情形。</w:t>
      </w:r>
    </w:p>
    <w:p>
      <w:pPr>
        <w:ind w:firstLine="420" w:firstLineChars="200"/>
        <w:rPr>
          <w:rFonts w:hint="eastAsia" w:ascii="宋体" w:hAnsi="宋体"/>
          <w:szCs w:val="21"/>
        </w:rPr>
      </w:pPr>
      <w:r>
        <w:rPr>
          <w:rFonts w:hint="eastAsia" w:ascii="宋体" w:hAnsi="宋体"/>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20" w:firstLineChars="200"/>
        <w:rPr>
          <w:rFonts w:hint="eastAsia"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pPr>
        <w:ind w:firstLine="420" w:firstLineChars="200"/>
        <w:rPr>
          <w:rFonts w:hint="eastAsia" w:ascii="宋体" w:hAnsi="宋体"/>
          <w:szCs w:val="21"/>
        </w:rPr>
      </w:pPr>
      <w:r>
        <w:rPr>
          <w:rFonts w:hint="eastAsia" w:ascii="宋体" w:hAnsi="宋体"/>
          <w:szCs w:val="21"/>
        </w:rPr>
        <w:t>五、请投标供应商阅读《院内招标采购违法行为风险知悉确认书》，并经各投标供应商负责人或投标授权代表签字并加盖单位公章后，与投标文件一并装订提交。注：该风险知悉确认书用于对供应商违法行为的警示，不作为供应商资格性审查及符合性审查条件。</w:t>
      </w:r>
    </w:p>
    <w:p>
      <w:pPr>
        <w:pStyle w:val="39"/>
        <w:rPr>
          <w:rFonts w:hint="eastAsia" w:ascii="宋体" w:hAnsi="宋体" w:eastAsia="宋体"/>
          <w:smallCaps/>
          <w:sz w:val="24"/>
        </w:rPr>
      </w:pPr>
      <w:r>
        <w:rPr>
          <w:rFonts w:hint="eastAsia" w:ascii="宋体" w:hAnsi="宋体" w:eastAsia="宋体"/>
          <w:szCs w:val="21"/>
        </w:rPr>
        <w:t>六、</w:t>
      </w:r>
      <w:r>
        <w:rPr>
          <w:rStyle w:val="61"/>
          <w:rFonts w:hint="eastAsia" w:ascii="宋体" w:hAnsi="宋体" w:eastAsia="宋体"/>
          <w:color w:val="auto"/>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pPr>
        <w:spacing w:after="60" w:line="360" w:lineRule="exact"/>
        <w:ind w:left="1521" w:hanging="1521" w:hangingChars="541"/>
        <w:jc w:val="center"/>
        <w:rPr>
          <w:rFonts w:hint="eastAsia" w:ascii="宋体" w:hAnsi="宋体" w:cs="Arial"/>
          <w:b/>
          <w:color w:val="000000"/>
          <w:sz w:val="28"/>
          <w:szCs w:val="28"/>
        </w:rPr>
      </w:pPr>
    </w:p>
    <w:p>
      <w:pPr>
        <w:pStyle w:val="13"/>
        <w:rPr>
          <w:color w:val="FF0000"/>
          <w:sz w:val="24"/>
          <w:szCs w:val="24"/>
        </w:rPr>
      </w:pPr>
      <w:r>
        <w:rPr>
          <w:rFonts w:hint="eastAsia"/>
          <w:color w:val="FF0000"/>
          <w:sz w:val="24"/>
          <w:szCs w:val="24"/>
          <w:highlight w:val="yellow"/>
        </w:rPr>
        <w:t>（此警示条款需与投标文件一起装订入册）</w:t>
      </w:r>
    </w:p>
    <w:p>
      <w:pPr>
        <w:pStyle w:val="13"/>
      </w:pPr>
    </w:p>
    <w:p>
      <w:pPr>
        <w:pStyle w:val="13"/>
      </w:pPr>
    </w:p>
    <w:p>
      <w:pPr>
        <w:pStyle w:val="13"/>
      </w:pPr>
      <w:r>
        <w:rPr>
          <w:rFonts w:hint="eastAsia"/>
        </w:rPr>
        <w:t xml:space="preserve">                                                         </w:t>
      </w:r>
      <w:bookmarkStart w:id="8" w:name="_Hlk224294994"/>
      <w:r>
        <w:rPr>
          <w:rFonts w:hint="eastAsia"/>
        </w:rPr>
        <w:t xml:space="preserve"> </w:t>
      </w:r>
      <w:r>
        <w:rPr>
          <w:rFonts w:hint="eastAsia" w:hAnsi="宋体"/>
          <w:b/>
          <w:bCs/>
        </w:rPr>
        <w:t>投标人单位名称（单位盖公章）：</w:t>
      </w:r>
      <w:bookmarkEnd w:id="8"/>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widowControl/>
        <w:spacing w:line="360" w:lineRule="atLeast"/>
        <w:ind w:firstLine="3975" w:firstLineChars="1100"/>
        <w:rPr>
          <w:rStyle w:val="27"/>
          <w:rFonts w:hint="eastAsia"/>
          <w:sz w:val="36"/>
          <w:szCs w:val="36"/>
        </w:rPr>
      </w:pPr>
      <w:r>
        <w:rPr>
          <w:rStyle w:val="27"/>
          <w:sz w:val="36"/>
          <w:szCs w:val="36"/>
        </w:rPr>
        <w:t>目  录</w:t>
      </w:r>
    </w:p>
    <w:p>
      <w:pPr>
        <w:numPr>
          <w:ilvl w:val="0"/>
          <w:numId w:val="2"/>
        </w:numPr>
        <w:snapToGrid w:val="0"/>
        <w:contextualSpacing/>
        <w:rPr>
          <w:rFonts w:hint="eastAsia" w:ascii="宋体" w:hAnsi="宋体"/>
          <w:szCs w:val="21"/>
        </w:rPr>
      </w:pPr>
      <w:r>
        <w:rPr>
          <w:rFonts w:hint="eastAsia" w:ascii="宋体" w:hAnsi="宋体"/>
          <w:szCs w:val="21"/>
        </w:rPr>
        <w:t>评标指引表</w:t>
      </w:r>
    </w:p>
    <w:p>
      <w:pPr>
        <w:numPr>
          <w:ilvl w:val="0"/>
          <w:numId w:val="2"/>
        </w:numPr>
        <w:snapToGrid w:val="0"/>
        <w:ind w:left="0" w:firstLine="0"/>
        <w:contextualSpacing/>
        <w:rPr>
          <w:rFonts w:hint="eastAsia" w:ascii="宋体" w:hAnsi="宋体"/>
          <w:bCs/>
          <w:szCs w:val="21"/>
        </w:rPr>
      </w:pPr>
      <w:r>
        <w:rPr>
          <w:rFonts w:hint="eastAsia" w:ascii="宋体" w:hAnsi="宋体"/>
          <w:bCs/>
          <w:szCs w:val="21"/>
        </w:rPr>
        <w:t>投标商自查表</w:t>
      </w:r>
    </w:p>
    <w:p>
      <w:pPr>
        <w:numPr>
          <w:ilvl w:val="0"/>
          <w:numId w:val="2"/>
        </w:numPr>
        <w:snapToGrid w:val="0"/>
        <w:ind w:left="0" w:firstLine="0"/>
        <w:contextualSpacing/>
        <w:rPr>
          <w:rFonts w:hint="eastAsia" w:ascii="宋体" w:hAnsi="宋体"/>
          <w:bCs/>
          <w:szCs w:val="21"/>
        </w:rPr>
      </w:pPr>
      <w:r>
        <w:rPr>
          <w:rFonts w:hint="eastAsia" w:ascii="宋体" w:hAnsi="宋体"/>
          <w:szCs w:val="21"/>
        </w:rPr>
        <w:t>采购需求偏离表（2.1.</w:t>
      </w:r>
      <w:r>
        <w:rPr>
          <w:rFonts w:hint="eastAsia" w:ascii="宋体" w:hAnsi="宋体" w:cs="宋体"/>
          <w:bCs/>
          <w:color w:val="000000"/>
          <w:szCs w:val="21"/>
        </w:rPr>
        <w:t>服务要求偏离表 2.2.</w:t>
      </w:r>
      <w:r>
        <w:rPr>
          <w:rFonts w:hint="eastAsia" w:ascii="宋体" w:hAnsi="宋体"/>
          <w:bCs/>
        </w:rPr>
        <w:t>实质性条款偏离表 2.3.</w:t>
      </w:r>
      <w:r>
        <w:rPr>
          <w:rFonts w:hint="eastAsia" w:ascii="宋体" w:hAnsi="宋体" w:cs="宋体"/>
          <w:bCs/>
          <w:color w:val="000000"/>
          <w:szCs w:val="21"/>
        </w:rPr>
        <w:t>商务条款偏离表</w:t>
      </w:r>
      <w:r>
        <w:rPr>
          <w:rFonts w:hint="eastAsia" w:ascii="宋体" w:hAnsi="宋体"/>
          <w:bCs/>
          <w:szCs w:val="21"/>
        </w:rPr>
        <w:t>）</w:t>
      </w:r>
    </w:p>
    <w:p>
      <w:pPr>
        <w:numPr>
          <w:ilvl w:val="0"/>
          <w:numId w:val="2"/>
        </w:numPr>
        <w:snapToGrid w:val="0"/>
        <w:ind w:left="442" w:hanging="442"/>
        <w:contextualSpacing/>
        <w:rPr>
          <w:rFonts w:hint="eastAsia" w:ascii="宋体" w:hAnsi="宋体"/>
          <w:szCs w:val="21"/>
        </w:rPr>
      </w:pPr>
      <w:r>
        <w:rPr>
          <w:rFonts w:hint="eastAsia" w:ascii="宋体" w:hAnsi="宋体"/>
          <w:szCs w:val="21"/>
        </w:rPr>
        <w:t>投标函</w:t>
      </w:r>
    </w:p>
    <w:p>
      <w:pPr>
        <w:numPr>
          <w:ilvl w:val="0"/>
          <w:numId w:val="2"/>
        </w:numPr>
        <w:snapToGrid w:val="0"/>
        <w:ind w:left="442" w:hanging="442"/>
        <w:contextualSpacing/>
        <w:rPr>
          <w:rFonts w:hint="eastAsia" w:ascii="宋体" w:hAnsi="宋体"/>
          <w:szCs w:val="21"/>
        </w:rPr>
      </w:pPr>
      <w:r>
        <w:rPr>
          <w:rFonts w:hint="eastAsia" w:ascii="宋体" w:hAnsi="宋体"/>
          <w:szCs w:val="21"/>
        </w:rPr>
        <w:t>投标履约承诺函</w:t>
      </w:r>
    </w:p>
    <w:p>
      <w:pPr>
        <w:pStyle w:val="39"/>
        <w:numPr>
          <w:ilvl w:val="0"/>
          <w:numId w:val="2"/>
        </w:numPr>
        <w:snapToGrid w:val="0"/>
        <w:ind w:firstLineChars="0"/>
        <w:contextualSpacing/>
        <w:rPr>
          <w:rFonts w:hint="eastAsia" w:ascii="宋体" w:hAnsi="宋体" w:eastAsia="宋体"/>
          <w:szCs w:val="21"/>
        </w:rPr>
      </w:pPr>
      <w:r>
        <w:rPr>
          <w:rFonts w:hint="eastAsia" w:ascii="宋体" w:hAnsi="宋体" w:eastAsia="宋体"/>
          <w:szCs w:val="21"/>
        </w:rPr>
        <w:t>关于围标串标风险防控的承诺函</w:t>
      </w:r>
    </w:p>
    <w:p>
      <w:pPr>
        <w:numPr>
          <w:ilvl w:val="0"/>
          <w:numId w:val="2"/>
        </w:numPr>
        <w:snapToGrid w:val="0"/>
        <w:ind w:left="442" w:hanging="442"/>
        <w:contextualSpacing/>
        <w:rPr>
          <w:rFonts w:hint="eastAsia" w:ascii="宋体" w:hAnsi="宋体"/>
          <w:szCs w:val="21"/>
        </w:rPr>
      </w:pPr>
      <w:r>
        <w:rPr>
          <w:rFonts w:hint="eastAsia" w:ascii="宋体" w:hAnsi="宋体"/>
          <w:szCs w:val="21"/>
        </w:rPr>
        <w:t>法定代表人授权书</w:t>
      </w:r>
      <w:r>
        <w:rPr>
          <w:rFonts w:ascii="宋体" w:hAnsi="宋体"/>
          <w:szCs w:val="21"/>
        </w:rPr>
        <w:t>(附身份证扫描件)</w:t>
      </w:r>
    </w:p>
    <w:p>
      <w:pPr>
        <w:pStyle w:val="12"/>
        <w:numPr>
          <w:ilvl w:val="0"/>
          <w:numId w:val="2"/>
        </w:numPr>
        <w:snapToGrid w:val="0"/>
        <w:spacing w:line="240" w:lineRule="auto"/>
        <w:ind w:left="442" w:leftChars="0" w:hanging="442" w:firstLineChars="0"/>
        <w:contextualSpacing/>
        <w:rPr>
          <w:rFonts w:hint="eastAsia" w:ascii="宋体" w:hAnsi="宋体" w:eastAsia="宋体"/>
          <w:sz w:val="21"/>
          <w:szCs w:val="21"/>
        </w:rPr>
      </w:pPr>
      <w:bookmarkStart w:id="9" w:name="_Hlk224294738"/>
      <w:r>
        <w:rPr>
          <w:rFonts w:hint="eastAsia" w:ascii="宋体" w:hAnsi="宋体" w:eastAsia="宋体"/>
          <w:sz w:val="21"/>
          <w:szCs w:val="21"/>
        </w:rPr>
        <w:t>供应商基本情况表</w:t>
      </w:r>
    </w:p>
    <w:p>
      <w:pPr>
        <w:numPr>
          <w:ilvl w:val="0"/>
          <w:numId w:val="2"/>
        </w:numPr>
        <w:snapToGrid w:val="0"/>
        <w:ind w:left="442" w:hanging="442"/>
        <w:contextualSpacing/>
        <w:rPr>
          <w:rFonts w:hint="eastAsia" w:ascii="宋体" w:hAnsi="宋体"/>
          <w:szCs w:val="21"/>
        </w:rPr>
      </w:pPr>
      <w:r>
        <w:rPr>
          <w:rFonts w:hint="eastAsia" w:ascii="宋体" w:hAnsi="宋体"/>
          <w:szCs w:val="21"/>
        </w:rPr>
        <w:t>投标供应商资格证明文件</w:t>
      </w:r>
    </w:p>
    <w:bookmarkEnd w:id="9"/>
    <w:p>
      <w:pPr>
        <w:snapToGrid w:val="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 采购违法行为风险知悉确认书</w:t>
      </w:r>
    </w:p>
    <w:p>
      <w:pPr>
        <w:snapToGrid w:val="0"/>
        <w:contextualSpacing/>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 xml:space="preserve">. </w:t>
      </w:r>
      <w:bookmarkStart w:id="10" w:name="_Hlk224294819"/>
      <w:r>
        <w:rPr>
          <w:rFonts w:hint="eastAsia" w:ascii="宋体" w:hAnsi="宋体"/>
          <w:szCs w:val="21"/>
        </w:rPr>
        <w:t>技术部分评分项格式及佐证材料</w:t>
      </w:r>
    </w:p>
    <w:p>
      <w:pPr>
        <w:pStyle w:val="12"/>
        <w:ind w:left="840" w:leftChars="0" w:hanging="840" w:hangingChars="40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eastAsia="zh-CN"/>
        </w:rPr>
        <w:t>2</w:t>
      </w:r>
      <w:r>
        <w:rPr>
          <w:rFonts w:hint="eastAsia" w:ascii="宋体" w:hAnsi="宋体" w:eastAsia="宋体"/>
          <w:sz w:val="21"/>
          <w:szCs w:val="21"/>
        </w:rPr>
        <w:t>. 商务部分评分项格式及佐证材料</w:t>
      </w:r>
    </w:p>
    <w:p>
      <w:pPr>
        <w:snapToGrid w:val="0"/>
        <w:contextualSpacing/>
        <w:rPr>
          <w:rFonts w:hint="eastAsia" w:ascii="宋体" w:hAnsi="宋体"/>
          <w:szCs w:val="21"/>
        </w:rPr>
      </w:pPr>
      <w:r>
        <w:rPr>
          <w:rFonts w:ascii="宋体" w:hAnsi="宋体"/>
          <w:szCs w:val="21"/>
        </w:rPr>
        <w:t>1</w:t>
      </w:r>
      <w:r>
        <w:rPr>
          <w:rFonts w:hint="eastAsia" w:ascii="宋体" w:hAnsi="宋体"/>
          <w:szCs w:val="21"/>
          <w:lang w:val="en-US" w:eastAsia="zh-CN"/>
        </w:rPr>
        <w:t>3</w:t>
      </w:r>
      <w:r>
        <w:rPr>
          <w:rFonts w:ascii="宋体" w:hAnsi="宋体"/>
          <w:szCs w:val="21"/>
        </w:rPr>
        <w:t>.</w:t>
      </w:r>
      <w:r>
        <w:rPr>
          <w:rFonts w:hint="eastAsia" w:ascii="宋体" w:hAnsi="宋体"/>
          <w:szCs w:val="21"/>
        </w:rPr>
        <w:t xml:space="preserve"> 其他:投标供应商认为必要提供的其他内容</w:t>
      </w:r>
      <w:bookmarkEnd w:id="10"/>
    </w:p>
    <w:p>
      <w:pPr>
        <w:snapToGrid w:val="0"/>
        <w:contextualSpacing/>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 报价</w:t>
      </w:r>
      <w:r>
        <w:rPr>
          <w:rFonts w:ascii="宋体" w:hAnsi="宋体"/>
          <w:szCs w:val="21"/>
        </w:rPr>
        <w:t>表</w:t>
      </w:r>
    </w:p>
    <w:p>
      <w:pPr>
        <w:spacing w:after="60" w:line="240" w:lineRule="exact"/>
        <w:ind w:left="420"/>
        <w:rPr>
          <w:rFonts w:hint="eastAsia" w:ascii="宋体" w:hAnsi="宋体"/>
          <w:szCs w:val="21"/>
        </w:rPr>
      </w:pPr>
    </w:p>
    <w:p>
      <w:pPr>
        <w:spacing w:after="60"/>
        <w:ind w:firstLine="420" w:firstLineChars="200"/>
        <w:contextualSpacing/>
        <w:rPr>
          <w:rFonts w:hint="eastAsia" w:ascii="宋体" w:hAnsi="宋体" w:cs="Arial"/>
          <w:kern w:val="0"/>
          <w:szCs w:val="21"/>
        </w:rPr>
      </w:pPr>
      <w:r>
        <w:rPr>
          <w:rFonts w:hint="eastAsia" w:ascii="宋体" w:hAnsi="宋体" w:cs="Arial"/>
          <w:kern w:val="0"/>
          <w:szCs w:val="21"/>
        </w:rPr>
        <w:t>以上材料复印件须盖企业红章，法人代表授权书须有法人代表签名。若以上材料未能全面提供以至影响评标结果，投标人自负全责。</w:t>
      </w:r>
    </w:p>
    <w:p>
      <w:pPr>
        <w:spacing w:after="60"/>
        <w:ind w:left="420"/>
        <w:contextualSpacing/>
        <w:rPr>
          <w:rFonts w:hint="eastAsia" w:ascii="宋体" w:hAnsi="宋体"/>
          <w:szCs w:val="21"/>
        </w:rPr>
      </w:pPr>
      <w:r>
        <w:rPr>
          <w:rFonts w:hint="eastAsia" w:ascii="宋体" w:hAnsi="宋体"/>
          <w:szCs w:val="21"/>
        </w:rPr>
        <w:t>备注：</w:t>
      </w:r>
    </w:p>
    <w:p>
      <w:pPr>
        <w:spacing w:after="60"/>
        <w:ind w:left="420"/>
        <w:contextualSpacing/>
        <w:rPr>
          <w:rFonts w:hint="eastAsia" w:ascii="宋体" w:hAnsi="宋体"/>
          <w:szCs w:val="21"/>
        </w:rPr>
      </w:pPr>
      <w:r>
        <w:rPr>
          <w:rFonts w:hint="eastAsia" w:ascii="宋体" w:hAnsi="宋体"/>
          <w:szCs w:val="21"/>
        </w:rPr>
        <w:t>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Cs w:val="21"/>
        </w:rPr>
        <w:t>。</w:t>
      </w:r>
    </w:p>
    <w:p>
      <w:pPr>
        <w:widowControl/>
        <w:snapToGrid w:val="0"/>
        <w:ind w:firstLine="420" w:firstLineChars="200"/>
        <w:contextualSpacing/>
        <w:rPr>
          <w:rFonts w:hint="eastAsia" w:ascii="宋体" w:hAnsi="宋体" w:cs="宋体-18030"/>
          <w:bCs/>
          <w:kern w:val="0"/>
          <w:szCs w:val="21"/>
        </w:rPr>
      </w:pPr>
      <w:r>
        <w:rPr>
          <w:rFonts w:hint="eastAsia" w:ascii="宋体" w:hAnsi="宋体" w:cs="宋体-18030"/>
          <w:bCs/>
          <w:kern w:val="0"/>
          <w:szCs w:val="21"/>
        </w:rPr>
        <w:t>2、投标人联系方式为异地号码的，请在号码前面加“0”。</w:t>
      </w:r>
    </w:p>
    <w:p>
      <w:pPr>
        <w:widowControl/>
        <w:snapToGrid w:val="0"/>
        <w:ind w:firstLine="411" w:firstLineChars="196"/>
        <w:contextualSpacing/>
        <w:rPr>
          <w:rFonts w:hint="eastAsia" w:ascii="宋体" w:hAnsi="宋体" w:cs="宋体-18030"/>
          <w:bCs/>
          <w:kern w:val="0"/>
          <w:szCs w:val="21"/>
        </w:rPr>
      </w:pPr>
      <w:r>
        <w:rPr>
          <w:rFonts w:hint="eastAsia" w:ascii="宋体" w:hAnsi="宋体" w:cs="宋体-18030"/>
          <w:bCs/>
          <w:kern w:val="0"/>
          <w:szCs w:val="21"/>
        </w:rPr>
        <w:t>3、</w:t>
      </w:r>
      <w:r>
        <w:rPr>
          <w:rFonts w:hint="eastAsia" w:ascii="宋体" w:hAnsi="宋体" w:cs="Arial"/>
          <w:kern w:val="0"/>
          <w:szCs w:val="21"/>
        </w:rPr>
        <w:t>投标书加盖公司公章及骑缝章，</w:t>
      </w:r>
      <w:r>
        <w:rPr>
          <w:rFonts w:hint="eastAsia" w:ascii="宋体" w:hAnsi="宋体" w:cs="宋体-18030"/>
          <w:bCs/>
          <w:kern w:val="0"/>
          <w:szCs w:val="21"/>
        </w:rPr>
        <w:t>法人代表授权书须有法人代表签名或盖章。</w:t>
      </w:r>
    </w:p>
    <w:p>
      <w:pPr>
        <w:ind w:firstLine="420" w:firstLineChars="200"/>
        <w:contextualSpacing/>
        <w:rPr>
          <w:rFonts w:hint="eastAsia" w:ascii="宋体" w:hAnsi="宋体"/>
          <w:szCs w:val="21"/>
        </w:rPr>
      </w:pPr>
      <w:r>
        <w:rPr>
          <w:rFonts w:hint="eastAsia" w:ascii="宋体" w:hAnsi="宋体"/>
          <w:szCs w:val="21"/>
        </w:rPr>
        <w:t>4、</w:t>
      </w:r>
      <w:r>
        <w:rPr>
          <w:rFonts w:hint="eastAsia" w:ascii="宋体" w:hAnsi="宋体"/>
          <w:szCs w:val="21"/>
          <w:highlight w:val="yellow"/>
        </w:rPr>
        <w:t>《投标人报名材料》预审成功后立即将PDF版发送至招标办邮箱。</w:t>
      </w:r>
    </w:p>
    <w:p>
      <w:pPr>
        <w:pStyle w:val="12"/>
        <w:ind w:left="840" w:hanging="420"/>
        <w:rPr>
          <w:rFonts w:hint="eastAsia" w:ascii="宋体" w:hAnsi="宋体" w:eastAsia="宋体"/>
          <w:sz w:val="21"/>
          <w:szCs w:val="21"/>
        </w:rPr>
      </w:pPr>
    </w:p>
    <w:p>
      <w:pPr>
        <w:spacing w:after="78" w:afterLines="25" w:line="300" w:lineRule="auto"/>
        <w:jc w:val="center"/>
        <w:rPr>
          <w:rFonts w:cs="Arial"/>
          <w:b/>
          <w:sz w:val="24"/>
        </w:rPr>
      </w:pPr>
      <w:r>
        <w:rPr>
          <w:rFonts w:cs="Arial"/>
          <w:b/>
          <w:sz w:val="24"/>
        </w:rPr>
        <w:br w:type="page"/>
      </w:r>
    </w:p>
    <w:p>
      <w:pPr>
        <w:spacing w:after="78" w:afterLines="25" w:line="300" w:lineRule="auto"/>
        <w:jc w:val="center"/>
        <w:rPr>
          <w:rFonts w:cs="Arial"/>
          <w:b/>
          <w:sz w:val="28"/>
          <w:szCs w:val="28"/>
        </w:rPr>
      </w:pPr>
      <w:r>
        <w:rPr>
          <w:rFonts w:hint="eastAsia" w:cs="Arial"/>
          <w:b/>
          <w:sz w:val="28"/>
          <w:szCs w:val="28"/>
        </w:rPr>
        <w:t>一、评标指引表</w:t>
      </w:r>
    </w:p>
    <w:p>
      <w:pPr>
        <w:snapToGrid w:val="0"/>
        <w:ind w:firstLine="420" w:firstLineChars="200"/>
        <w:contextualSpacing/>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pPr>
        <w:spacing w:line="360" w:lineRule="auto"/>
        <w:ind w:firstLine="420" w:firstLineChars="200"/>
        <w:rPr>
          <w:rFonts w:hint="eastAsia" w:ascii="宋体" w:hAnsi="宋体"/>
          <w:szCs w:val="21"/>
        </w:rPr>
      </w:pPr>
    </w:p>
    <w:tbl>
      <w:tblPr>
        <w:tblStyle w:val="21"/>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854"/>
        <w:gridCol w:w="216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一、综合评分指引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pPr>
              <w:spacing w:line="360" w:lineRule="exact"/>
              <w:jc w:val="center"/>
              <w:rPr>
                <w:rFonts w:hint="eastAsia" w:ascii="宋体" w:hAnsi="宋体"/>
                <w:szCs w:val="21"/>
              </w:rPr>
            </w:pPr>
            <w:r>
              <w:rPr>
                <w:rFonts w:hint="eastAsia" w:ascii="宋体" w:hAnsi="宋体"/>
                <w:szCs w:val="21"/>
              </w:rPr>
              <w:t>评分因素</w:t>
            </w:r>
          </w:p>
        </w:tc>
        <w:tc>
          <w:tcPr>
            <w:tcW w:w="2169" w:type="dxa"/>
            <w:vAlign w:val="center"/>
          </w:tcPr>
          <w:p>
            <w:pPr>
              <w:spacing w:line="360" w:lineRule="exact"/>
              <w:jc w:val="center"/>
              <w:rPr>
                <w:rFonts w:hint="eastAsia" w:ascii="宋体" w:hAnsi="宋体"/>
                <w:szCs w:val="21"/>
              </w:rPr>
            </w:pPr>
            <w:r>
              <w:rPr>
                <w:rFonts w:hint="eastAsia" w:ascii="宋体" w:hAnsi="宋体"/>
                <w:szCs w:val="21"/>
              </w:rPr>
              <w:t>证明文件起止页码</w:t>
            </w:r>
          </w:p>
        </w:tc>
        <w:tc>
          <w:tcPr>
            <w:tcW w:w="2095" w:type="dxa"/>
            <w:vAlign w:val="center"/>
          </w:tcPr>
          <w:p>
            <w:pPr>
              <w:spacing w:line="360" w:lineRule="exact"/>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技术部分</w:t>
            </w:r>
          </w:p>
        </w:tc>
        <w:tc>
          <w:tcPr>
            <w:tcW w:w="4854" w:type="dxa"/>
          </w:tcPr>
          <w:p>
            <w:pPr>
              <w:jc w:val="center"/>
              <w:rPr>
                <w:rFonts w:hint="eastAsia" w:ascii="宋体" w:hAnsi="宋体"/>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jc w:val="center"/>
              <w:rPr>
                <w:rFonts w:hint="eastAsia" w:ascii="宋体" w:hAnsi="宋体"/>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restart"/>
            <w:vAlign w:val="center"/>
          </w:tcPr>
          <w:p>
            <w:pPr>
              <w:spacing w:line="360" w:lineRule="exact"/>
              <w:jc w:val="center"/>
              <w:rPr>
                <w:rFonts w:hint="eastAsia" w:ascii="宋体" w:hAnsi="宋体"/>
                <w:szCs w:val="21"/>
              </w:rPr>
            </w:pPr>
            <w:r>
              <w:rPr>
                <w:rFonts w:hint="eastAsia" w:ascii="宋体" w:hAnsi="宋体"/>
                <w:szCs w:val="21"/>
              </w:rPr>
              <w:t>商务部分</w:t>
            </w:r>
          </w:p>
        </w:tc>
        <w:tc>
          <w:tcPr>
            <w:tcW w:w="4854" w:type="dxa"/>
          </w:tcPr>
          <w:p>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02" w:type="dxa"/>
            <w:vMerge w:val="continue"/>
            <w:vAlign w:val="center"/>
          </w:tcPr>
          <w:p>
            <w:pPr>
              <w:spacing w:line="360" w:lineRule="exact"/>
              <w:jc w:val="center"/>
              <w:rPr>
                <w:rFonts w:hint="eastAsia" w:ascii="宋体" w:hAnsi="宋体"/>
                <w:szCs w:val="21"/>
              </w:rPr>
            </w:pPr>
          </w:p>
        </w:tc>
        <w:tc>
          <w:tcPr>
            <w:tcW w:w="4854" w:type="dxa"/>
          </w:tcPr>
          <w:p>
            <w:pPr>
              <w:spacing w:line="360" w:lineRule="exact"/>
              <w:jc w:val="center"/>
              <w:rPr>
                <w:rFonts w:hint="eastAsia" w:ascii="宋体" w:hAnsi="宋体"/>
                <w:szCs w:val="21"/>
              </w:rPr>
            </w:pPr>
            <w:r>
              <w:rPr>
                <w:rFonts w:hint="eastAsia" w:ascii="宋体" w:hAnsi="宋体"/>
                <w:szCs w:val="21"/>
              </w:rPr>
              <w:t>……</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pPr>
              <w:spacing w:line="360" w:lineRule="exact"/>
              <w:jc w:val="center"/>
              <w:rPr>
                <w:rFonts w:hint="eastAsia" w:ascii="宋体" w:hAnsi="宋体"/>
                <w:szCs w:val="21"/>
              </w:rPr>
            </w:pP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320" w:type="dxa"/>
            <w:gridSpan w:val="4"/>
            <w:vAlign w:val="center"/>
          </w:tcPr>
          <w:p>
            <w:pPr>
              <w:spacing w:line="360" w:lineRule="exact"/>
              <w:jc w:val="center"/>
              <w:rPr>
                <w:rFonts w:hint="eastAsia" w:ascii="宋体" w:hAnsi="宋体"/>
                <w:b/>
                <w:szCs w:val="21"/>
              </w:rPr>
            </w:pPr>
            <w:r>
              <w:rPr>
                <w:rFonts w:hint="eastAsia" w:ascii="宋体" w:hAnsi="宋体"/>
                <w:b/>
                <w:szCs w:val="21"/>
              </w:rPr>
              <w:t>二、其他评标指引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02" w:type="dxa"/>
            <w:vAlign w:val="center"/>
          </w:tcPr>
          <w:p>
            <w:pPr>
              <w:spacing w:line="360" w:lineRule="exact"/>
              <w:jc w:val="center"/>
              <w:rPr>
                <w:rFonts w:hint="eastAsia" w:ascii="宋体" w:hAnsi="宋体"/>
                <w:szCs w:val="21"/>
              </w:rPr>
            </w:pPr>
            <w:r>
              <w:rPr>
                <w:rFonts w:hint="eastAsia" w:ascii="宋体" w:hAnsi="宋体"/>
                <w:szCs w:val="21"/>
              </w:rPr>
              <w:t>其他资料</w:t>
            </w:r>
          </w:p>
        </w:tc>
        <w:tc>
          <w:tcPr>
            <w:tcW w:w="4854" w:type="dxa"/>
            <w:vAlign w:val="center"/>
          </w:tcPr>
          <w:p>
            <w:pPr>
              <w:rPr>
                <w:rFonts w:hint="eastAsia" w:ascii="宋体" w:hAnsi="宋体"/>
              </w:rPr>
            </w:pPr>
            <w:r>
              <w:rPr>
                <w:rFonts w:hint="eastAsia" w:ascii="宋体" w:hAnsi="宋体"/>
                <w:kern w:val="0"/>
                <w:szCs w:val="21"/>
              </w:rPr>
              <w:t>投标单位法定代表人、主要经营负责人、项目投标授权代表人、项目负责人及主要技术人员</w:t>
            </w:r>
            <w:r>
              <w:rPr>
                <w:rFonts w:ascii="宋体" w:hAnsi="宋体"/>
                <w:kern w:val="0"/>
                <w:szCs w:val="21"/>
              </w:rPr>
              <w:t>投标截止日</w:t>
            </w:r>
            <w:r>
              <w:rPr>
                <w:rFonts w:hint="eastAsia" w:ascii="宋体" w:hAnsi="宋体"/>
                <w:kern w:val="0"/>
                <w:szCs w:val="21"/>
              </w:rPr>
              <w:t>最近一个月社保缴纳查询记录（包含在投标单位及其他缴纳社保单位的记录）；社保缴纳不满一个月的按实际缴纳情况提供。</w:t>
            </w:r>
          </w:p>
        </w:tc>
        <w:tc>
          <w:tcPr>
            <w:tcW w:w="2169" w:type="dxa"/>
            <w:vAlign w:val="center"/>
          </w:tcPr>
          <w:p>
            <w:pPr>
              <w:spacing w:line="360" w:lineRule="exact"/>
              <w:jc w:val="center"/>
              <w:rPr>
                <w:rFonts w:hint="eastAsia" w:ascii="宋体" w:hAnsi="宋体"/>
                <w:b/>
                <w:szCs w:val="21"/>
              </w:rPr>
            </w:pPr>
          </w:p>
        </w:tc>
        <w:tc>
          <w:tcPr>
            <w:tcW w:w="2095" w:type="dxa"/>
            <w:vAlign w:val="center"/>
          </w:tcPr>
          <w:p>
            <w:pPr>
              <w:spacing w:line="360" w:lineRule="exact"/>
              <w:jc w:val="center"/>
              <w:rPr>
                <w:rFonts w:hint="eastAsia" w:ascii="宋体" w:hAnsi="宋体"/>
                <w:b/>
                <w:szCs w:val="21"/>
              </w:rPr>
            </w:pPr>
          </w:p>
        </w:tc>
      </w:tr>
    </w:tbl>
    <w:p>
      <w:pPr>
        <w:pStyle w:val="13"/>
        <w:spacing w:line="360" w:lineRule="auto"/>
        <w:ind w:right="118" w:rightChars="56" w:firstLine="424" w:firstLineChars="201"/>
      </w:pPr>
      <w:r>
        <w:rPr>
          <w:rFonts w:hint="eastAsia" w:hAnsi="宋体"/>
          <w:b/>
        </w:rPr>
        <w:t>注：请投标人按照招标文件规定的审查和评分内容，自上而下的顺序填写本表</w:t>
      </w:r>
      <w:r>
        <w:rPr>
          <w:rFonts w:hint="eastAsia"/>
          <w:b/>
        </w:rPr>
        <w:t>。因项目次序混乱而影响评标结果者，投标人自负其责。</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ind w:right="960"/>
        <w:rPr>
          <w:rFonts w:cs="Arial"/>
          <w:bCs/>
          <w:sz w:val="24"/>
        </w:rPr>
      </w:pPr>
      <w:r>
        <w:rPr>
          <w:rFonts w:hint="eastAsia" w:cs="Arial"/>
          <w:bCs/>
          <w:sz w:val="24"/>
        </w:rPr>
        <w:t xml:space="preserve">                                                   </w:t>
      </w:r>
      <w:r>
        <w:rPr>
          <w:rFonts w:hint="eastAsia" w:ascii="宋体" w:hAnsi="宋体" w:cs="宋体"/>
          <w:b/>
          <w:bCs/>
          <w:szCs w:val="21"/>
        </w:rPr>
        <w:t>投标人单位名称（单位盖公章）：</w:t>
      </w: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rPr>
          <w:rFonts w:cs="Arial"/>
          <w:bCs/>
          <w:sz w:val="24"/>
        </w:rPr>
      </w:pPr>
    </w:p>
    <w:p>
      <w:pPr>
        <w:spacing w:after="78" w:afterLines="25" w:line="300" w:lineRule="auto"/>
        <w:jc w:val="center"/>
        <w:rPr>
          <w:rFonts w:cs="Arial"/>
          <w:b/>
          <w:sz w:val="24"/>
        </w:rPr>
      </w:pPr>
    </w:p>
    <w:p>
      <w:pPr>
        <w:spacing w:after="78" w:afterLines="25" w:line="300" w:lineRule="auto"/>
        <w:jc w:val="center"/>
        <w:rPr>
          <w:rFonts w:cs="Arial"/>
          <w:b/>
          <w:sz w:val="24"/>
        </w:rPr>
      </w:pPr>
    </w:p>
    <w:p>
      <w:pPr>
        <w:pStyle w:val="13"/>
      </w:pPr>
    </w:p>
    <w:p>
      <w:pPr>
        <w:pStyle w:val="13"/>
      </w:pPr>
    </w:p>
    <w:p>
      <w:pPr>
        <w:pStyle w:val="13"/>
      </w:pPr>
    </w:p>
    <w:p>
      <w:pPr>
        <w:pStyle w:val="13"/>
      </w:pPr>
    </w:p>
    <w:p>
      <w:pPr>
        <w:spacing w:after="78" w:afterLines="25" w:line="300" w:lineRule="auto"/>
        <w:jc w:val="center"/>
        <w:rPr>
          <w:rFonts w:hint="eastAsia" w:ascii="宋体" w:hAnsi="宋体" w:cs="微软雅黑"/>
          <w:b/>
          <w:sz w:val="28"/>
          <w:szCs w:val="28"/>
        </w:rPr>
      </w:pPr>
      <w:r>
        <w:rPr>
          <w:rFonts w:hint="eastAsia" w:cs="Arial"/>
          <w:b/>
          <w:sz w:val="28"/>
          <w:szCs w:val="28"/>
        </w:rPr>
        <w:t>二</w:t>
      </w:r>
      <w:r>
        <w:rPr>
          <w:rFonts w:hint="eastAsia" w:ascii="微软雅黑" w:hAnsi="微软雅黑" w:eastAsia="微软雅黑" w:cs="微软雅黑"/>
          <w:b/>
          <w:sz w:val="28"/>
          <w:szCs w:val="28"/>
        </w:rPr>
        <w:t>､</w:t>
      </w:r>
      <w:r>
        <w:rPr>
          <w:rFonts w:hint="eastAsia" w:ascii="宋体" w:hAnsi="宋体" w:cs="微软雅黑"/>
          <w:b/>
          <w:sz w:val="28"/>
          <w:szCs w:val="28"/>
        </w:rPr>
        <w:t>投标商自查表</w:t>
      </w:r>
    </w:p>
    <w:p>
      <w:pPr>
        <w:pStyle w:val="18"/>
        <w:snapToGrid w:val="0"/>
        <w:spacing w:line="240" w:lineRule="auto"/>
        <w:ind w:left="-283" w:leftChars="-135" w:firstLine="422" w:firstLineChars="200"/>
        <w:contextualSpacing/>
        <w:rPr>
          <w:color w:val="EE0000"/>
        </w:rPr>
      </w:pPr>
      <w:r>
        <w:rPr>
          <w:rFonts w:hint="eastAsia"/>
          <w:b/>
          <w:bCs/>
          <w:color w:val="EE0000"/>
        </w:rPr>
        <w:t>备注：</w:t>
      </w:r>
      <w:r>
        <w:rPr>
          <w:rStyle w:val="24"/>
          <w:rFonts w:hint="eastAsia"/>
          <w:color w:val="EE0000"/>
        </w:rPr>
        <w:t>请在</w:t>
      </w:r>
      <w:r>
        <w:rPr>
          <w:rStyle w:val="24"/>
          <w:color w:val="EE0000"/>
        </w:rPr>
        <w:t>自查结论</w:t>
      </w:r>
      <w:r>
        <w:rPr>
          <w:rStyle w:val="24"/>
          <w:rFonts w:hint="eastAsia"/>
          <w:color w:val="EE0000"/>
        </w:rPr>
        <w:t>表格中</w:t>
      </w:r>
      <w:r>
        <w:rPr>
          <w:rFonts w:hint="eastAsia"/>
          <w:b/>
          <w:bCs/>
          <w:color w:val="EE0000"/>
        </w:rPr>
        <w:t>审查通过的内容打 “√”，不通过的打 “×”</w:t>
      </w:r>
      <w:r>
        <w:rPr>
          <w:rStyle w:val="24"/>
          <w:rFonts w:hint="eastAsia"/>
          <w:color w:val="EE0000"/>
        </w:rPr>
        <w:t>,投标人必须严格按照《投标商自查表》的评审内容的要求如实提供证明材料并加盖投标人公章,对缺漏或不符合项将直接导致无效投标。</w:t>
      </w:r>
    </w:p>
    <w:tbl>
      <w:tblPr>
        <w:tblStyle w:val="21"/>
        <w:tblW w:w="4997"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580"/>
        <w:gridCol w:w="7427"/>
        <w:gridCol w:w="851"/>
        <w:gridCol w:w="184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b/>
                <w:bCs/>
                <w:szCs w:val="21"/>
              </w:rPr>
            </w:pPr>
            <w:r>
              <w:rPr>
                <w:rFonts w:hint="eastAsia" w:ascii="宋体" w:hAnsi="宋体" w:cs="宋体"/>
                <w:b/>
                <w:bCs/>
                <w:szCs w:val="21"/>
              </w:rPr>
              <w:t>序号</w:t>
            </w:r>
          </w:p>
        </w:tc>
        <w:tc>
          <w:tcPr>
            <w:tcW w:w="7427"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18"/>
                <w:szCs w:val="18"/>
              </w:rPr>
            </w:pPr>
            <w:r>
              <w:rPr>
                <w:rStyle w:val="24"/>
                <w:rFonts w:hint="eastAsia"/>
                <w:szCs w:val="21"/>
              </w:rPr>
              <w:t>招标</w:t>
            </w:r>
            <w:r>
              <w:rPr>
                <w:rStyle w:val="24"/>
                <w:szCs w:val="21"/>
              </w:rPr>
              <w:t>文件要求</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Style w:val="24"/>
              </w:rPr>
            </w:pPr>
            <w:r>
              <w:rPr>
                <w:rStyle w:val="24"/>
              </w:rPr>
              <w:t>自查</w:t>
            </w:r>
          </w:p>
          <w:p>
            <w:pPr>
              <w:spacing w:line="20" w:lineRule="atLeast"/>
              <w:jc w:val="center"/>
              <w:rPr>
                <w:rFonts w:hint="eastAsia" w:ascii="宋体" w:hAnsi="宋体" w:cs="宋体"/>
                <w:sz w:val="18"/>
                <w:szCs w:val="18"/>
              </w:rPr>
            </w:pPr>
            <w:r>
              <w:rPr>
                <w:rStyle w:val="24"/>
              </w:rPr>
              <w:t>结论</w:t>
            </w:r>
          </w:p>
        </w:tc>
        <w:tc>
          <w:tcPr>
            <w:tcW w:w="184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 w:val="24"/>
              </w:rPr>
            </w:pPr>
            <w:r>
              <w:rPr>
                <w:rStyle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73"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1</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r>
              <w:rPr>
                <w:rFonts w:hint="eastAsia" w:cs="宋体"/>
                <w:color w:val="000000"/>
                <w:kern w:val="0"/>
                <w:szCs w:val="21"/>
              </w:rPr>
              <w:t>提供营业执照或事业单位法人证书等证明资料扫描件，原件备查</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9"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szCs w:val="21"/>
              </w:rPr>
            </w:pPr>
            <w:r>
              <w:rPr>
                <w:rFonts w:hint="eastAsia" w:ascii="宋体" w:hAnsi="宋体" w:cs="宋体"/>
                <w:szCs w:val="21"/>
              </w:rPr>
              <w:t>2</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szCs w:val="21"/>
              </w:rPr>
            </w:pPr>
            <w:r>
              <w:rPr>
                <w:rFonts w:hint="eastAsia" w:ascii="宋体" w:hAnsi="宋体" w:cs="宋体"/>
                <w:szCs w:val="21"/>
              </w:rPr>
              <w:t>按招标文件要求提供法人授权委托证明书</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06"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3</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szCs w:val="21"/>
              </w:rPr>
              <w:t>不得将一个包的内容拆开投标</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2"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4</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ascii="宋体" w:hAnsi="宋体" w:cs="宋体"/>
                <w:bCs/>
                <w:kern w:val="0"/>
                <w:szCs w:val="21"/>
              </w:rPr>
              <w:t>对同一项目投标时，不得提供两套以上的投标方案(招标文件另有规定的除外)</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06"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5</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分项报价或投标总价不得高于相应预算金额(或设定的预算金额下的最高限价)</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rFonts w:hint="eastAsia" w:ascii="宋体" w:hAnsi="宋体" w:cs="宋体"/>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rFonts w:hint="eastAsia" w:ascii="宋体" w:hAnsi="宋体" w:cs="宋体"/>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76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6</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8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7</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投标文件完全满足招标文件的实质性条款（即标注★号条款）无负偏离的</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见第（</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87"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8</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按照招标文件的格式详细填写《投标函》，且投标有效期不少于招标文件中载明的投标有效期</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6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9</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left"/>
              <w:rPr>
                <w:rFonts w:hint="eastAsia" w:ascii="宋体" w:hAnsi="宋体" w:cs="宋体"/>
                <w:bCs/>
                <w:kern w:val="0"/>
                <w:szCs w:val="21"/>
              </w:rPr>
            </w:pPr>
            <w:r>
              <w:rPr>
                <w:rFonts w:hint="eastAsia" w:ascii="宋体" w:hAnsi="宋体" w:cs="宋体"/>
                <w:bCs/>
                <w:kern w:val="0"/>
                <w:szCs w:val="21"/>
              </w:rPr>
              <w:t>按照招标文件的格式详细填写《投标履约承诺函》、《关于围标串标风险防控承诺函》</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napToGrid w:val="0"/>
              <w:contextualSpacing/>
              <w:jc w:val="center"/>
              <w:rPr>
                <w:rFonts w:hint="eastAsia" w:ascii="宋体" w:hAnsi="宋体" w:cs="宋体"/>
                <w:kern w:val="0"/>
                <w:szCs w:val="21"/>
              </w:rPr>
            </w:pPr>
            <w:r>
              <w:rPr>
                <w:rFonts w:hint="eastAsia" w:ascii="宋体" w:hAnsi="宋体" w:cs="宋体"/>
                <w:kern w:val="0"/>
                <w:szCs w:val="21"/>
              </w:rPr>
              <w:t>10</w:t>
            </w:r>
          </w:p>
        </w:tc>
        <w:tc>
          <w:tcPr>
            <w:tcW w:w="7427" w:type="dxa"/>
            <w:tcBorders>
              <w:top w:val="outset" w:color="111111" w:sz="6" w:space="0"/>
              <w:left w:val="outset" w:color="111111" w:sz="6" w:space="0"/>
              <w:bottom w:val="outset" w:color="111111" w:sz="6" w:space="0"/>
              <w:right w:val="outset" w:color="111111" w:sz="6" w:space="0"/>
            </w:tcBorders>
            <w:vAlign w:val="center"/>
          </w:tcPr>
          <w:p>
            <w:pPr>
              <w:pStyle w:val="8"/>
              <w:snapToGrid w:val="0"/>
              <w:contextualSpacing/>
            </w:pPr>
            <w:r>
              <w:rPr>
                <w:rFonts w:hint="eastAsia"/>
              </w:rPr>
              <w:t>投标报价按照招标文件要求进行报价，没有删除品种、缺项、漏项(数量不符合将被视为漏项)的</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642"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11</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《供应商基本情况表》中相关人员投标截止日前最近一个月内社保缴纳证明</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第</w:t>
            </w:r>
            <w:r>
              <w:rPr>
                <w:szCs w:val="21"/>
              </w:rPr>
              <w:t>（</w:t>
            </w:r>
            <w:r>
              <w:rPr>
                <w:rFonts w:hint="eastAsia"/>
                <w:szCs w:val="21"/>
              </w:rPr>
              <w:t xml:space="preserve"> </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490"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12</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投标文件未附有采购人或招标需求不能接受的条件</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napToGrid w:val="0"/>
              <w:contextualSpacing/>
              <w:jc w:val="center"/>
              <w:rPr>
                <w:szCs w:val="21"/>
              </w:rPr>
            </w:pPr>
            <w:r>
              <w:rPr>
                <w:szCs w:val="21"/>
              </w:rPr>
              <w:t>见（</w:t>
            </w:r>
            <w:r>
              <w:rPr>
                <w:rFonts w:hint="eastAsia"/>
                <w:szCs w:val="21"/>
              </w:rPr>
              <w:t>所有</w:t>
            </w:r>
            <w:r>
              <w:rPr>
                <w:szCs w:val="21"/>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11" w:hRule="exact"/>
          <w:jc w:val="center"/>
        </w:trPr>
        <w:tc>
          <w:tcPr>
            <w:tcW w:w="580"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13</w:t>
            </w:r>
          </w:p>
        </w:tc>
        <w:tc>
          <w:tcPr>
            <w:tcW w:w="7427"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300" w:lineRule="exact"/>
              <w:jc w:val="left"/>
              <w:rPr>
                <w:rFonts w:hint="eastAsia" w:ascii="宋体" w:hAnsi="宋体" w:cs="宋体"/>
                <w:bCs/>
                <w:kern w:val="0"/>
                <w:szCs w:val="21"/>
              </w:rPr>
            </w:pPr>
            <w:r>
              <w:rPr>
                <w:rFonts w:hint="eastAsia" w:ascii="宋体" w:hAnsi="宋体" w:cs="宋体"/>
                <w:bCs/>
                <w:kern w:val="0"/>
                <w:szCs w:val="21"/>
              </w:rPr>
              <w:t>法律、法规、规章、规范性文件规定的其他情形</w:t>
            </w:r>
          </w:p>
        </w:tc>
        <w:tc>
          <w:tcPr>
            <w:tcW w:w="851"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rPr>
                <w:szCs w:val="21"/>
              </w:rPr>
            </w:pPr>
          </w:p>
        </w:tc>
        <w:tc>
          <w:tcPr>
            <w:tcW w:w="1842" w:type="dxa"/>
            <w:tcBorders>
              <w:top w:val="outset" w:color="111111" w:sz="6" w:space="0"/>
              <w:left w:val="outset" w:color="111111" w:sz="6" w:space="0"/>
              <w:bottom w:val="outset" w:color="111111" w:sz="6" w:space="0"/>
              <w:right w:val="outset" w:color="111111" w:sz="6" w:space="0"/>
            </w:tcBorders>
            <w:vAlign w:val="center"/>
          </w:tcPr>
          <w:p>
            <w:pPr>
              <w:spacing w:line="20" w:lineRule="atLeast"/>
              <w:jc w:val="center"/>
            </w:pPr>
            <w:r>
              <w:rPr>
                <w:szCs w:val="21"/>
              </w:rPr>
              <w:t>见</w:t>
            </w:r>
            <w:r>
              <w:rPr>
                <w:rFonts w:hint="eastAsia"/>
                <w:szCs w:val="21"/>
              </w:rPr>
              <w:t>第</w:t>
            </w:r>
            <w:r>
              <w:rPr>
                <w:szCs w:val="21"/>
              </w:rPr>
              <w:t>（</w:t>
            </w:r>
            <w:r>
              <w:rPr>
                <w:rFonts w:hint="eastAsia"/>
                <w:szCs w:val="21"/>
              </w:rPr>
              <w:t xml:space="preserve"> </w:t>
            </w:r>
            <w:r>
              <w:rPr>
                <w:szCs w:val="21"/>
              </w:rPr>
              <w:t>）页</w:t>
            </w:r>
          </w:p>
        </w:tc>
      </w:tr>
    </w:tbl>
    <w:p>
      <w:pPr>
        <w:pStyle w:val="12"/>
        <w:ind w:left="899" w:leftChars="68" w:hanging="756" w:hangingChars="315"/>
        <w:rPr>
          <w:rFonts w:hint="eastAsia" w:ascii="宋体" w:hAnsi="宋体" w:eastAsia="宋体"/>
          <w:sz w:val="24"/>
          <w:szCs w:val="24"/>
        </w:rPr>
      </w:pPr>
    </w:p>
    <w:p>
      <w:pPr>
        <w:pStyle w:val="13"/>
      </w:pPr>
    </w:p>
    <w:p>
      <w:pPr>
        <w:pStyle w:val="13"/>
      </w:pPr>
    </w:p>
    <w:p>
      <w:pPr>
        <w:pStyle w:val="13"/>
      </w:pPr>
      <w:r>
        <w:rPr>
          <w:rFonts w:hint="eastAsia"/>
        </w:rPr>
        <w:t xml:space="preserve">                                                                    </w:t>
      </w:r>
      <w:r>
        <w:rPr>
          <w:rFonts w:hint="eastAsia" w:hAnsi="宋体"/>
          <w:b/>
          <w:bCs/>
        </w:rPr>
        <w:t>投标人单位名称（单位盖公章）：</w:t>
      </w:r>
    </w:p>
    <w:p>
      <w:pPr>
        <w:pStyle w:val="13"/>
      </w:pPr>
    </w:p>
    <w:p>
      <w:pPr>
        <w:pStyle w:val="13"/>
      </w:pPr>
    </w:p>
    <w:p>
      <w:pPr>
        <w:pStyle w:val="13"/>
      </w:pPr>
    </w:p>
    <w:p>
      <w:pPr>
        <w:pStyle w:val="13"/>
      </w:pPr>
    </w:p>
    <w:p>
      <w:pPr>
        <w:pStyle w:val="13"/>
      </w:pPr>
    </w:p>
    <w:p>
      <w:pPr>
        <w:spacing w:after="78" w:afterLines="25" w:line="300" w:lineRule="auto"/>
        <w:jc w:val="center"/>
        <w:rPr>
          <w:rFonts w:hint="eastAsia" w:ascii="宋体" w:hAnsi="宋体" w:cs="Arial"/>
          <w:b/>
          <w:color w:val="000000"/>
          <w:sz w:val="28"/>
          <w:szCs w:val="28"/>
        </w:rPr>
      </w:pPr>
      <w:r>
        <w:rPr>
          <w:rFonts w:hint="eastAsia" w:ascii="宋体" w:hAnsi="宋体" w:cs="Arial"/>
          <w:b/>
          <w:color w:val="000000"/>
          <w:sz w:val="28"/>
          <w:szCs w:val="28"/>
        </w:rPr>
        <w:t>三、采购需求响应情况</w:t>
      </w:r>
    </w:p>
    <w:p>
      <w:pPr>
        <w:jc w:val="center"/>
        <w:outlineLvl w:val="0"/>
        <w:rPr>
          <w:rFonts w:cs="宋体"/>
          <w:b/>
          <w:color w:val="000000"/>
          <w:szCs w:val="21"/>
        </w:rPr>
      </w:pPr>
      <w:r>
        <w:rPr>
          <w:rFonts w:hint="eastAsia"/>
          <w:b/>
        </w:rPr>
        <w:t xml:space="preserve">    </w:t>
      </w:r>
      <w:r>
        <w:rPr>
          <w:rFonts w:hint="eastAsia" w:cs="宋体"/>
          <w:b/>
          <w:color w:val="000000"/>
          <w:szCs w:val="21"/>
        </w:rPr>
        <w:t>3.1 服务要求条款偏离表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3"/>
        <w:gridCol w:w="3124"/>
        <w:gridCol w:w="189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招标服务要求</w:t>
            </w: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投标实际参数</w:t>
            </w:r>
          </w:p>
          <w:p>
            <w:pPr>
              <w:jc w:val="center"/>
              <w:outlineLvl w:val="0"/>
              <w:rPr>
                <w:rFonts w:cs="宋体"/>
                <w:b/>
                <w:color w:val="000000"/>
                <w:szCs w:val="21"/>
              </w:rPr>
            </w:pPr>
            <w:r>
              <w:rPr>
                <w:rFonts w:cs="宋体"/>
                <w:b/>
                <w:bCs/>
                <w:color w:val="000000"/>
                <w:szCs w:val="21"/>
              </w:rPr>
              <w:t>(</w:t>
            </w:r>
            <w:r>
              <w:rPr>
                <w:rFonts w:hint="eastAsia" w:cs="宋体"/>
                <w:b/>
                <w:bCs/>
                <w:color w:val="000000"/>
                <w:szCs w:val="21"/>
              </w:rPr>
              <w:t>投标人应按投标货物实际数据如实填写</w:t>
            </w:r>
            <w:r>
              <w:rPr>
                <w:rFonts w:cs="宋体"/>
                <w:b/>
                <w:bCs/>
                <w:color w:val="000000"/>
                <w:szCs w:val="21"/>
              </w:rPr>
              <w:t>,</w:t>
            </w:r>
            <w:r>
              <w:rPr>
                <w:rFonts w:hint="eastAsia" w:cs="宋体"/>
                <w:b/>
                <w:bCs/>
                <w:color w:val="000000"/>
                <w:szCs w:val="21"/>
              </w:rPr>
              <w:t>不能照抄招标要求</w:t>
            </w:r>
            <w:r>
              <w:rPr>
                <w:rFonts w:cs="宋体"/>
                <w:b/>
                <w:bCs/>
                <w:color w:val="000000"/>
                <w:szCs w:val="21"/>
              </w:rPr>
              <w:t>)</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是否偏离</w:t>
            </w:r>
            <w:r>
              <w:rPr>
                <w:rFonts w:cs="宋体"/>
                <w:b/>
                <w:color w:val="000000"/>
                <w:szCs w:val="21"/>
              </w:rPr>
              <w:t>(</w:t>
            </w:r>
            <w:r>
              <w:rPr>
                <w:rFonts w:hint="eastAsia" w:cs="宋体"/>
                <w:b/>
                <w:color w:val="000000"/>
                <w:szCs w:val="21"/>
              </w:rPr>
              <w:t>无偏离</w:t>
            </w:r>
            <w:r>
              <w:rPr>
                <w:rFonts w:cs="宋体"/>
                <w:b/>
                <w:color w:val="000000"/>
                <w:szCs w:val="21"/>
              </w:rPr>
              <w:t>/</w:t>
            </w:r>
            <w:r>
              <w:rPr>
                <w:rFonts w:hint="eastAsia" w:cs="宋体"/>
                <w:b/>
                <w:color w:val="000000"/>
                <w:szCs w:val="21"/>
              </w:rPr>
              <w:t>正偏离</w:t>
            </w:r>
            <w:r>
              <w:rPr>
                <w:rFonts w:cs="宋体"/>
                <w:b/>
                <w:color w:val="000000"/>
                <w:szCs w:val="21"/>
              </w:rPr>
              <w:t>/</w:t>
            </w:r>
            <w:r>
              <w:rPr>
                <w:rFonts w:hint="eastAsia" w:cs="宋体"/>
                <w:b/>
                <w:color w:val="000000"/>
                <w:szCs w:val="21"/>
              </w:rPr>
              <w:t>负偏离</w:t>
            </w:r>
            <w:r>
              <w:rPr>
                <w:rFonts w:cs="宋体"/>
                <w:b/>
                <w:color w:val="000000"/>
                <w:szCs w:val="21"/>
              </w:rPr>
              <w:t>)</w:t>
            </w: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31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c>
          <w:tcPr>
            <w:tcW w:w="2850"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p>
        </w:tc>
      </w:tr>
    </w:tbl>
    <w:p>
      <w:pPr>
        <w:ind w:left="-283" w:leftChars="-135" w:firstLine="281" w:firstLineChars="134"/>
        <w:outlineLvl w:val="0"/>
        <w:rPr>
          <w:rFonts w:cs="宋体"/>
          <w:bCs/>
          <w:color w:val="000000"/>
          <w:szCs w:val="21"/>
        </w:rPr>
      </w:pPr>
      <w:r>
        <w:rPr>
          <w:rFonts w:hint="eastAsia" w:cs="宋体"/>
          <w:bCs/>
          <w:color w:val="000000"/>
          <w:szCs w:val="21"/>
        </w:rPr>
        <w:t>此表可延长</w:t>
      </w:r>
    </w:p>
    <w:p>
      <w:pPr>
        <w:jc w:val="center"/>
        <w:outlineLvl w:val="0"/>
        <w:rPr>
          <w:rFonts w:cs="宋体"/>
          <w:bCs/>
          <w:color w:val="000000"/>
          <w:szCs w:val="21"/>
        </w:rPr>
      </w:pPr>
    </w:p>
    <w:p>
      <w:pPr>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Cs/>
          <w:color w:val="000000"/>
          <w:szCs w:val="21"/>
        </w:rPr>
      </w:pPr>
      <w:r>
        <w:rPr>
          <w:rFonts w:hint="eastAsia" w:ascii="宋体" w:hAnsi="宋体" w:cs="宋体"/>
          <w:b/>
          <w:bCs/>
          <w:szCs w:val="21"/>
        </w:rPr>
        <w:t xml:space="preserve">         投标人单位名称（单位盖公章）：</w:t>
      </w: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jc w:val="center"/>
        <w:outlineLvl w:val="0"/>
        <w:rPr>
          <w:rFonts w:cs="宋体"/>
          <w:b/>
          <w:color w:val="000000"/>
          <w:szCs w:val="21"/>
        </w:rPr>
      </w:pPr>
    </w:p>
    <w:p>
      <w:pPr>
        <w:pStyle w:val="12"/>
        <w:ind w:left="1060" w:hanging="640"/>
      </w:pPr>
    </w:p>
    <w:p>
      <w:pPr>
        <w:jc w:val="center"/>
        <w:outlineLvl w:val="0"/>
        <w:rPr>
          <w:rFonts w:cs="宋体"/>
          <w:b/>
          <w:color w:val="000000"/>
          <w:szCs w:val="21"/>
        </w:rPr>
      </w:pPr>
    </w:p>
    <w:p>
      <w:pPr>
        <w:pStyle w:val="13"/>
        <w:ind w:left="1063" w:hanging="643"/>
        <w:jc w:val="center"/>
        <w:rPr>
          <w:b/>
          <w:bCs/>
        </w:rPr>
      </w:pPr>
      <w:r>
        <w:rPr>
          <w:rFonts w:hint="eastAsia"/>
          <w:b/>
          <w:bCs/>
        </w:rPr>
        <w:t>3.2 实质性条款偏离表</w:t>
      </w:r>
    </w:p>
    <w:p>
      <w:pPr>
        <w:keepNext/>
        <w:keepLines/>
        <w:adjustRightInd w:val="0"/>
        <w:spacing w:before="156" w:beforeLines="50" w:after="156" w:afterLines="50"/>
        <w:jc w:val="center"/>
        <w:textAlignment w:val="baseline"/>
        <w:outlineLvl w:val="1"/>
        <w:rPr>
          <w:b/>
          <w:bCs/>
          <w:kern w:val="0"/>
          <w:sz w:val="24"/>
        </w:rPr>
      </w:pPr>
    </w:p>
    <w:tbl>
      <w:tblPr>
        <w:tblStyle w:val="21"/>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331"/>
        <w:gridCol w:w="2332"/>
        <w:gridCol w:w="2331"/>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8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序号</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实质性条款具体内容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投标人响应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偏离情况</w:t>
            </w:r>
          </w:p>
        </w:tc>
        <w:tc>
          <w:tcPr>
            <w:tcW w:w="2899"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8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1</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本项目招标文件中所有带</w:t>
            </w:r>
            <w:r>
              <w:rPr>
                <w:rFonts w:hint="eastAsia" w:ascii="宋体" w:hAnsi="宋体"/>
                <w:b/>
                <w:sz w:val="24"/>
              </w:rPr>
              <w:t>★号条款内容</w:t>
            </w:r>
          </w:p>
        </w:tc>
        <w:tc>
          <w:tcPr>
            <w:tcW w:w="2332"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完全响应</w:t>
            </w:r>
          </w:p>
        </w:tc>
        <w:tc>
          <w:tcPr>
            <w:tcW w:w="2331"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无偏离</w:t>
            </w:r>
          </w:p>
        </w:tc>
        <w:tc>
          <w:tcPr>
            <w:tcW w:w="2899" w:type="dxa"/>
            <w:vAlign w:val="center"/>
          </w:tcPr>
          <w:p>
            <w:pPr>
              <w:adjustRightInd w:val="0"/>
              <w:snapToGrid w:val="0"/>
              <w:jc w:val="center"/>
              <w:rPr>
                <w:rFonts w:hint="eastAsia" w:ascii="宋体" w:hAnsi="宋体" w:cs="宋体"/>
                <w:b/>
                <w:kern w:val="0"/>
                <w:szCs w:val="21"/>
              </w:rPr>
            </w:pPr>
            <w:r>
              <w:rPr>
                <w:rFonts w:hint="eastAsia" w:ascii="宋体" w:hAnsi="宋体" w:cs="宋体"/>
                <w:b/>
                <w:kern w:val="0"/>
                <w:szCs w:val="21"/>
              </w:rPr>
              <w:t>/</w:t>
            </w:r>
          </w:p>
        </w:tc>
      </w:tr>
    </w:tbl>
    <w:p>
      <w:pPr>
        <w:pStyle w:val="13"/>
        <w:ind w:left="1060" w:hanging="640"/>
      </w:pPr>
    </w:p>
    <w:p>
      <w:pPr>
        <w:pStyle w:val="13"/>
        <w:ind w:left="1060" w:hanging="1344"/>
        <w:jc w:val="left"/>
      </w:pPr>
      <w:r>
        <w:rPr>
          <w:rFonts w:hint="eastAsia"/>
        </w:rPr>
        <w:t>填写说明:</w:t>
      </w:r>
    </w:p>
    <w:p>
      <w:pPr>
        <w:pStyle w:val="13"/>
        <w:ind w:left="850" w:leftChars="100" w:hanging="640"/>
        <w:jc w:val="left"/>
      </w:pPr>
      <w:r>
        <w:rPr>
          <w:rFonts w:hint="eastAsia"/>
        </w:rPr>
        <w:t>1. 上表所列各项均为不可负偏离条款。</w:t>
      </w:r>
    </w:p>
    <w:p>
      <w:pPr>
        <w:pStyle w:val="13"/>
        <w:ind w:left="-283" w:leftChars="-135" w:firstLine="493" w:firstLineChars="235"/>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3"/>
        <w:ind w:left="-283" w:leftChars="-135" w:firstLine="493" w:firstLineChars="235"/>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3"/>
        <w:ind w:left="-283" w:leftChars="-135" w:firstLine="493" w:firstLineChars="235"/>
        <w:jc w:val="left"/>
      </w:pPr>
      <w:r>
        <w:rPr>
          <w:rFonts w:hint="eastAsia"/>
        </w:rPr>
        <w:t>4. 评审委员会有权对投标响应情况作出判断。</w:t>
      </w:r>
    </w:p>
    <w:p>
      <w:pPr>
        <w:pStyle w:val="13"/>
        <w:ind w:left="-73" w:leftChars="-35" w:firstLine="281" w:firstLineChars="134"/>
        <w:jc w:val="left"/>
      </w:pPr>
      <w:r>
        <w:rPr>
          <w:rFonts w:hint="eastAsia"/>
        </w:rPr>
        <w:t>5. 实质性响应条款“投标响应情况”与投标文件其它内容冲突的，以实质性响应条款“投标响应情况”为准。</w:t>
      </w:r>
    </w:p>
    <w:p>
      <w:pPr>
        <w:pStyle w:val="13"/>
        <w:ind w:left="-141" w:leftChars="-67" w:firstLine="348" w:firstLineChars="166"/>
        <w:jc w:val="left"/>
      </w:pPr>
      <w:r>
        <w:rPr>
          <w:rFonts w:hint="eastAsia"/>
        </w:rPr>
        <w:t>6. 以上实质性条款中要求提供证明材料，需如实提供证明材料扫描件，在“说明’一栏中列明证明材料的位置，以便评审；未要求提供证明材料的，投标人可以不提供。</w:t>
      </w:r>
    </w:p>
    <w:p>
      <w:pPr>
        <w:ind w:leftChars="-202" w:hanging="424" w:hangingChars="202"/>
        <w:jc w:val="center"/>
        <w:outlineLvl w:val="0"/>
        <w:rPr>
          <w:rFonts w:cs="宋体"/>
          <w:bCs/>
          <w:color w:val="000000"/>
          <w:szCs w:val="21"/>
        </w:rPr>
      </w:pPr>
      <w:r>
        <w:rPr>
          <w:rFonts w:hint="eastAsia" w:cs="宋体"/>
          <w:bCs/>
          <w:color w:val="000000"/>
          <w:szCs w:val="21"/>
        </w:rPr>
        <w:t xml:space="preserve">                                               </w:t>
      </w:r>
    </w:p>
    <w:p>
      <w:pPr>
        <w:ind w:leftChars="-202" w:hanging="424" w:hangingChars="202"/>
        <w:jc w:val="center"/>
        <w:outlineLvl w:val="0"/>
        <w:rPr>
          <w:rFonts w:cs="宋体"/>
          <w:bCs/>
          <w:color w:val="000000"/>
          <w:szCs w:val="21"/>
        </w:rPr>
      </w:pPr>
    </w:p>
    <w:p>
      <w:pPr>
        <w:ind w:leftChars="-202" w:hanging="424" w:hangingChars="202"/>
        <w:jc w:val="center"/>
        <w:outlineLvl w:val="0"/>
        <w:rPr>
          <w:rFonts w:cs="宋体"/>
          <w:bCs/>
          <w:color w:val="000000"/>
          <w:szCs w:val="21"/>
        </w:rPr>
      </w:pPr>
      <w:r>
        <w:rPr>
          <w:rFonts w:hint="eastAsia" w:cs="宋体"/>
          <w:bCs/>
          <w:color w:val="000000"/>
          <w:szCs w:val="21"/>
        </w:rPr>
        <w:t xml:space="preserve">                                       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pStyle w:val="13"/>
        <w:ind w:left="1060" w:hanging="640"/>
        <w:jc w:val="center"/>
      </w:pPr>
      <w:r>
        <w:rPr>
          <w:rFonts w:hint="eastAsia"/>
          <w:bCs/>
          <w:color w:val="000000"/>
        </w:rPr>
        <w:t xml:space="preserve">                                                             </w:t>
      </w:r>
      <w:r>
        <w:rPr>
          <w:bCs/>
          <w:color w:val="000000"/>
        </w:rPr>
        <w:t xml:space="preserve"> </w:t>
      </w:r>
      <w:r>
        <w:rPr>
          <w:rFonts w:hint="eastAsia"/>
          <w:bCs/>
          <w:color w:val="000000"/>
        </w:rPr>
        <w:t>职务</w:t>
      </w: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r>
        <w:rPr>
          <w:rFonts w:hint="eastAsia" w:hAnsi="宋体"/>
          <w:b/>
          <w:bCs/>
        </w:rPr>
        <w:t>投标人单位名称（单位盖公章）：</w:t>
      </w: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pStyle w:val="13"/>
        <w:ind w:left="1060" w:hanging="640"/>
        <w:jc w:val="center"/>
      </w:pPr>
    </w:p>
    <w:p>
      <w:pPr>
        <w:jc w:val="center"/>
        <w:outlineLvl w:val="0"/>
        <w:rPr>
          <w:rFonts w:cs="宋体"/>
          <w:b/>
          <w:color w:val="000000"/>
          <w:szCs w:val="21"/>
        </w:rPr>
      </w:pPr>
      <w:r>
        <w:rPr>
          <w:rFonts w:hint="eastAsia" w:cs="宋体"/>
          <w:b/>
          <w:color w:val="000000"/>
          <w:szCs w:val="21"/>
        </w:rPr>
        <w:t>3.3商务条款偏离表</w:t>
      </w:r>
    </w:p>
    <w:p>
      <w:pPr>
        <w:pStyle w:val="12"/>
        <w:ind w:left="900" w:hanging="480"/>
        <w:rPr>
          <w:rFonts w:hint="eastAsia" w:ascii="宋体" w:hAnsi="宋体" w:eastAsia="宋体"/>
          <w:sz w:val="24"/>
          <w:szCs w:val="24"/>
        </w:rPr>
      </w:pPr>
    </w:p>
    <w:tbl>
      <w:tblPr>
        <w:tblStyle w:val="21"/>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686"/>
        <w:gridCol w:w="2055"/>
        <w:gridCol w:w="205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序号</w:t>
            </w:r>
          </w:p>
        </w:tc>
        <w:tc>
          <w:tcPr>
            <w:tcW w:w="368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招标文件要求</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投标人响应</w:t>
            </w:r>
          </w:p>
        </w:tc>
        <w:tc>
          <w:tcPr>
            <w:tcW w:w="205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偏离情况</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
                <w:color w:val="000000"/>
                <w:szCs w:val="21"/>
              </w:rPr>
            </w:pPr>
            <w:r>
              <w:rPr>
                <w:rFonts w:hint="eastAsia" w:cs="宋体"/>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1</w:t>
            </w:r>
          </w:p>
        </w:tc>
        <w:tc>
          <w:tcPr>
            <w:tcW w:w="368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商务条款要求中所有条款要求</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完全响应</w:t>
            </w:r>
          </w:p>
        </w:tc>
        <w:tc>
          <w:tcPr>
            <w:tcW w:w="2056"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无偏离</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bCs/>
                <w:color w:val="000000"/>
                <w:szCs w:val="21"/>
              </w:rPr>
            </w:pPr>
            <w:r>
              <w:rPr>
                <w:rFonts w:hint="eastAsia" w:cs="宋体"/>
                <w:bCs/>
                <w:color w:val="000000"/>
                <w:szCs w:val="21"/>
              </w:rPr>
              <w:t>无偏离</w:t>
            </w:r>
          </w:p>
        </w:tc>
      </w:tr>
    </w:tbl>
    <w:p>
      <w:pPr>
        <w:pStyle w:val="13"/>
        <w:ind w:left="1060" w:hanging="640"/>
        <w:jc w:val="left"/>
      </w:pPr>
    </w:p>
    <w:p>
      <w:pPr>
        <w:pStyle w:val="13"/>
        <w:ind w:left="1060" w:hanging="1344"/>
        <w:jc w:val="left"/>
      </w:pPr>
      <w:r>
        <w:rPr>
          <w:rFonts w:hint="eastAsia"/>
        </w:rPr>
        <w:t>填写说明:</w:t>
      </w:r>
    </w:p>
    <w:p>
      <w:pPr>
        <w:pStyle w:val="13"/>
        <w:ind w:firstLine="210"/>
        <w:jc w:val="left"/>
        <w:rPr>
          <w:b/>
          <w:bCs/>
        </w:rPr>
      </w:pPr>
      <w:r>
        <w:rPr>
          <w:rFonts w:hint="eastAsia"/>
        </w:rPr>
        <w:t>1.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pPr>
        <w:pStyle w:val="13"/>
        <w:ind w:left="-283" w:leftChars="-135" w:firstLine="493" w:firstLineChars="235"/>
        <w:jc w:val="left"/>
      </w:pPr>
      <w:r>
        <w:rPr>
          <w:rFonts w:hint="eastAsia"/>
        </w:rPr>
        <w:t>2.“偏离情况”一栏应填写“正偏离”或“负偏离”或“无偏离”，“正偏离”表示“投标响应优于实质性条款具体内容要求”，“负偏离”表示“投标响应不满足实质性条款具体内容要求”，“无偏离”表示“投标响应与实质性条款具体内容要求一致”。</w:t>
      </w:r>
    </w:p>
    <w:p>
      <w:pPr>
        <w:pStyle w:val="13"/>
        <w:ind w:left="-283" w:leftChars="-135" w:firstLine="493" w:firstLineChars="235"/>
        <w:jc w:val="left"/>
      </w:pPr>
      <w:r>
        <w:rPr>
          <w:rFonts w:hint="eastAsia"/>
        </w:rPr>
        <w:t>3. 评审委员会有权对投标响应情况作出判断。</w:t>
      </w:r>
    </w:p>
    <w:p>
      <w:pPr>
        <w:pStyle w:val="13"/>
        <w:ind w:left="-73" w:leftChars="-35" w:firstLine="281" w:firstLineChars="134"/>
        <w:jc w:val="left"/>
      </w:pPr>
      <w:r>
        <w:rPr>
          <w:rFonts w:hint="eastAsia"/>
        </w:rPr>
        <w:t>4. 实质性响应条款“投标响应情况”与投标文件其它内容冲突的，以实质性响应条款“投标响应情况”为准。</w:t>
      </w:r>
    </w:p>
    <w:p>
      <w:pPr>
        <w:pStyle w:val="13"/>
        <w:ind w:left="-141" w:leftChars="-67" w:firstLine="348" w:firstLineChars="166"/>
        <w:jc w:val="left"/>
      </w:pPr>
      <w:r>
        <w:rPr>
          <w:rFonts w:hint="eastAsia"/>
        </w:rPr>
        <w:t>5. 以上实质性条款中要求提供证明材料，需如实提供证明材料扫描件，在“说明’一栏中列明证明材料的位置，以便评审；未要求提供证明材料的，投标人可以不提供。</w:t>
      </w:r>
    </w:p>
    <w:p>
      <w:pPr>
        <w:ind w:left="-708" w:leftChars="-472" w:hanging="283" w:hangingChars="135"/>
        <w:outlineLvl w:val="0"/>
        <w:rPr>
          <w:rFonts w:cs="宋体"/>
          <w:bCs/>
          <w:color w:val="000000"/>
          <w:szCs w:val="21"/>
        </w:rPr>
      </w:pPr>
    </w:p>
    <w:p>
      <w:pPr>
        <w:jc w:val="center"/>
        <w:outlineLvl w:val="0"/>
        <w:rPr>
          <w:rFonts w:cs="宋体"/>
          <w:bCs/>
          <w:color w:val="000000"/>
          <w:szCs w:val="21"/>
        </w:rPr>
      </w:pPr>
      <w:r>
        <w:rPr>
          <w:rFonts w:cs="宋体"/>
          <w:bCs/>
          <w:color w:val="000000"/>
          <w:szCs w:val="21"/>
        </w:rPr>
        <w:t xml:space="preserve"> </w:t>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投标人授权代表签字</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hint="eastAsia" w:cs="宋体"/>
          <w:bCs/>
          <w:color w:val="000000"/>
          <w:szCs w:val="21"/>
        </w:rPr>
        <w:t>公章</w:t>
      </w:r>
      <w:r>
        <w:rPr>
          <w:rFonts w:cs="宋体"/>
          <w:bCs/>
          <w:color w:val="000000"/>
          <w:szCs w:val="21"/>
        </w:rPr>
        <w:t>)</w:t>
      </w:r>
    </w:p>
    <w:p>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 xml:space="preserve">        </w:t>
      </w:r>
      <w:r>
        <w:rPr>
          <w:rFonts w:cs="宋体"/>
          <w:bCs/>
          <w:color w:val="000000"/>
          <w:szCs w:val="21"/>
        </w:rPr>
        <w:br w:type="textWrapping"/>
      </w: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日期</w:t>
      </w:r>
      <w:r>
        <w:rPr>
          <w:rFonts w:cs="宋体"/>
          <w:bCs/>
          <w:color w:val="000000"/>
          <w:szCs w:val="21"/>
        </w:rPr>
        <w:t>:</w:t>
      </w:r>
    </w:p>
    <w:p>
      <w:pPr>
        <w:jc w:val="center"/>
        <w:outlineLvl w:val="0"/>
        <w:rPr>
          <w:rFonts w:cs="宋体"/>
          <w:bCs/>
          <w:color w:val="000000"/>
          <w:szCs w:val="21"/>
        </w:rPr>
      </w:pPr>
      <w:r>
        <w:rPr>
          <w:rFonts w:cs="宋体"/>
          <w:bCs/>
          <w:color w:val="000000"/>
          <w:szCs w:val="21"/>
        </w:rPr>
        <w:t xml:space="preserve">                                                          </w:t>
      </w:r>
    </w:p>
    <w:p>
      <w:pPr>
        <w:jc w:val="center"/>
        <w:outlineLvl w:val="0"/>
        <w:rPr>
          <w:rFonts w:cs="宋体"/>
          <w:bCs/>
          <w:color w:val="000000"/>
          <w:szCs w:val="21"/>
        </w:rPr>
      </w:pPr>
      <w:r>
        <w:rPr>
          <w:rFonts w:hint="eastAsia" w:cs="宋体"/>
          <w:bCs/>
          <w:color w:val="000000"/>
          <w:szCs w:val="21"/>
        </w:rPr>
        <w:t xml:space="preserve">                                                      </w:t>
      </w:r>
      <w:r>
        <w:rPr>
          <w:rFonts w:cs="宋体"/>
          <w:bCs/>
          <w:color w:val="000000"/>
          <w:szCs w:val="21"/>
        </w:rPr>
        <w:t xml:space="preserve"> </w:t>
      </w:r>
      <w:r>
        <w:rPr>
          <w:rFonts w:hint="eastAsia" w:cs="宋体"/>
          <w:bCs/>
          <w:color w:val="000000"/>
          <w:szCs w:val="21"/>
        </w:rPr>
        <w:t>职务</w:t>
      </w:r>
      <w:r>
        <w:rPr>
          <w:rFonts w:cs="宋体"/>
          <w:bCs/>
          <w:color w:val="000000"/>
          <w:szCs w:val="21"/>
        </w:rPr>
        <w:t>:</w:t>
      </w:r>
    </w:p>
    <w:p>
      <w:pPr>
        <w:jc w:val="center"/>
        <w:outlineLvl w:val="0"/>
        <w:rPr>
          <w:rFonts w:cs="宋体"/>
          <w:b/>
          <w:bCs/>
          <w:color w:val="000000"/>
          <w:szCs w:val="21"/>
        </w:rPr>
      </w:pPr>
    </w:p>
    <w:p>
      <w:pPr>
        <w:jc w:val="center"/>
        <w:outlineLvl w:val="0"/>
        <w:rPr>
          <w:rFonts w:hint="eastAsia" w:ascii="宋体" w:hAnsi="宋体" w:cs="Arial"/>
          <w:b/>
          <w:bCs/>
          <w:color w:val="000000"/>
          <w:kern w:val="0"/>
          <w:sz w:val="28"/>
          <w:szCs w:val="28"/>
        </w:rPr>
      </w:pPr>
    </w:p>
    <w:p>
      <w:pPr>
        <w:pStyle w:val="13"/>
        <w:ind w:left="1060" w:hanging="640"/>
      </w:pPr>
    </w:p>
    <w:p>
      <w:pPr>
        <w:pStyle w:val="13"/>
        <w:ind w:left="1060" w:hanging="640"/>
      </w:pPr>
      <w:r>
        <w:rPr>
          <w:rFonts w:hint="eastAsia"/>
        </w:rPr>
        <w:t xml:space="preserve">                                                     </w:t>
      </w:r>
      <w:r>
        <w:rPr>
          <w:rFonts w:hint="eastAsia" w:hAnsi="宋体"/>
          <w:b/>
          <w:bCs/>
        </w:rPr>
        <w:t>投标人单位名称（单位盖公章）：</w:t>
      </w:r>
    </w:p>
    <w:p>
      <w:pPr>
        <w:pStyle w:val="13"/>
        <w:ind w:left="1060" w:hanging="640"/>
      </w:pPr>
    </w:p>
    <w:p>
      <w:pPr>
        <w:pStyle w:val="13"/>
        <w:ind w:left="1060" w:hanging="640"/>
      </w:pPr>
    </w:p>
    <w:p>
      <w:pPr>
        <w:pStyle w:val="13"/>
        <w:ind w:left="1060" w:hanging="640"/>
      </w:pPr>
    </w:p>
    <w:p>
      <w:pPr>
        <w:pStyle w:val="13"/>
        <w:ind w:left="1060" w:hanging="640"/>
      </w:pPr>
    </w:p>
    <w:p>
      <w:pPr>
        <w:pStyle w:val="13"/>
        <w:ind w:left="1060" w:hanging="640"/>
      </w:pPr>
    </w:p>
    <w:p>
      <w:pPr>
        <w:pStyle w:val="13"/>
        <w:ind w:left="1060" w:hanging="640"/>
      </w:pPr>
    </w:p>
    <w:p>
      <w:pPr>
        <w:pStyle w:val="13"/>
        <w:ind w:left="1060" w:hanging="640"/>
      </w:pPr>
    </w:p>
    <w:p>
      <w:pPr>
        <w:widowControl/>
        <w:ind w:left="1"/>
        <w:jc w:val="left"/>
        <w:rPr>
          <w:rFonts w:hint="eastAsia" w:hAnsi="宋体"/>
          <w:b/>
          <w:kern w:val="0"/>
        </w:rPr>
      </w:pPr>
    </w:p>
    <w:p>
      <w:pPr>
        <w:pStyle w:val="12"/>
        <w:ind w:left="1060" w:hanging="640"/>
      </w:pPr>
    </w:p>
    <w:p>
      <w:pPr>
        <w:pStyle w:val="13"/>
      </w:pPr>
    </w:p>
    <w:p>
      <w:pPr>
        <w:pStyle w:val="13"/>
      </w:pPr>
    </w:p>
    <w:p>
      <w:pPr>
        <w:pStyle w:val="13"/>
      </w:pPr>
    </w:p>
    <w:p>
      <w:pPr>
        <w:pStyle w:val="13"/>
      </w:pPr>
    </w:p>
    <w:p>
      <w:pPr>
        <w:pStyle w:val="13"/>
      </w:pPr>
    </w:p>
    <w:p>
      <w:pPr>
        <w:pStyle w:val="13"/>
      </w:pPr>
    </w:p>
    <w:p>
      <w:pPr>
        <w:jc w:val="center"/>
        <w:outlineLvl w:val="0"/>
        <w:rPr>
          <w:rFonts w:hint="eastAsia" w:ascii="宋体" w:hAnsi="宋体" w:cs="Arial"/>
          <w:color w:val="000000"/>
          <w:kern w:val="0"/>
          <w:sz w:val="28"/>
          <w:szCs w:val="28"/>
        </w:rPr>
      </w:pPr>
      <w:r>
        <w:rPr>
          <w:rFonts w:hint="eastAsia" w:ascii="宋体" w:hAnsi="宋体" w:cs="Arial"/>
          <w:b/>
          <w:bCs/>
          <w:color w:val="000000"/>
          <w:kern w:val="0"/>
          <w:sz w:val="28"/>
          <w:szCs w:val="28"/>
        </w:rPr>
        <w:t>四</w:t>
      </w:r>
      <w:r>
        <w:rPr>
          <w:rFonts w:hint="eastAsia" w:ascii="微软雅黑" w:hAnsi="微软雅黑" w:eastAsia="微软雅黑" w:cs="微软雅黑"/>
          <w:b/>
          <w:bCs/>
          <w:color w:val="000000"/>
          <w:kern w:val="0"/>
          <w:sz w:val="28"/>
          <w:szCs w:val="28"/>
        </w:rPr>
        <w:t>､</w:t>
      </w:r>
      <w:r>
        <w:rPr>
          <w:rFonts w:hint="eastAsia" w:ascii="宋体" w:hAnsi="宋体" w:cs="Arial"/>
          <w:b/>
          <w:bCs/>
          <w:color w:val="000000"/>
          <w:kern w:val="0"/>
          <w:sz w:val="28"/>
          <w:szCs w:val="28"/>
        </w:rPr>
        <w:t>投标函</w:t>
      </w:r>
    </w:p>
    <w:p>
      <w:pPr>
        <w:widowControl/>
        <w:spacing w:line="360" w:lineRule="atLeast"/>
        <w:jc w:val="left"/>
        <w:rPr>
          <w:rFonts w:hint="eastAsia" w:ascii="宋体" w:hAnsi="宋体" w:cs="Arial"/>
          <w:color w:val="000000"/>
          <w:kern w:val="0"/>
          <w:szCs w:val="21"/>
        </w:rPr>
      </w:pPr>
      <w:r>
        <w:rPr>
          <w:rFonts w:hint="eastAsia" w:ascii="宋体" w:hAnsi="宋体" w:cs="Arial"/>
          <w:color w:val="000000"/>
          <w:kern w:val="0"/>
          <w:szCs w:val="21"/>
        </w:rPr>
        <w:t>致：深圳市宝安区人民医院</w:t>
      </w:r>
      <w:r>
        <w:rPr>
          <w:rFonts w:ascii="宋体" w:hAnsi="宋体" w:cs="Arial"/>
          <w:color w:val="000000"/>
          <w:kern w:val="0"/>
          <w:szCs w:val="21"/>
        </w:rPr>
        <w:t>:</w:t>
      </w:r>
    </w:p>
    <w:p>
      <w:pPr>
        <w:widowControl/>
        <w:spacing w:line="320" w:lineRule="exact"/>
        <w:ind w:firstLine="420" w:firstLineChars="200"/>
        <w:jc w:val="left"/>
        <w:rPr>
          <w:rFonts w:hint="eastAsia" w:ascii="宋体" w:hAnsi="宋体" w:cs="Arial"/>
          <w:color w:val="000000"/>
          <w:kern w:val="0"/>
          <w:szCs w:val="21"/>
        </w:rPr>
      </w:pPr>
      <w:bookmarkStart w:id="11" w:name="_Hlk73818812"/>
      <w:r>
        <w:rPr>
          <w:rFonts w:ascii="宋体" w:hAnsi="宋体" w:cs="Arial"/>
          <w:color w:val="000000"/>
          <w:kern w:val="0"/>
          <w:szCs w:val="21"/>
          <w:u w:val="single"/>
        </w:rPr>
        <w:t>(</w:t>
      </w:r>
      <w:r>
        <w:rPr>
          <w:rFonts w:hint="eastAsia" w:ascii="宋体" w:hAnsi="宋体" w:cs="Arial"/>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微软雅黑" w:hAnsi="微软雅黑" w:eastAsia="微软雅黑" w:cs="微软雅黑"/>
          <w:color w:val="000000"/>
          <w:kern w:val="0"/>
          <w:szCs w:val="21"/>
          <w:u w:val="single"/>
        </w:rPr>
        <w:t>､</w:t>
      </w:r>
      <w:r>
        <w:rPr>
          <w:rFonts w:hint="eastAsia" w:ascii="宋体" w:hAnsi="宋体" w:cs="宋体"/>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hint="eastAsia" w:ascii="宋体" w:hAnsi="宋体" w:cs="Arial"/>
          <w:color w:val="000000"/>
          <w:kern w:val="0"/>
          <w:szCs w:val="21"/>
        </w:rPr>
        <w:t>院内公开采购</w:t>
      </w:r>
      <w:r>
        <w:rPr>
          <w:rFonts w:ascii="宋体" w:hAnsi="宋体" w:cs="Arial"/>
          <w:color w:val="000000"/>
          <w:kern w:val="0"/>
          <w:szCs w:val="21"/>
        </w:rPr>
        <w:t>活动并投标</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为此</w:t>
      </w:r>
      <w:r>
        <w:rPr>
          <w:rFonts w:ascii="宋体" w:hAnsi="宋体" w:cs="Arial"/>
          <w:color w:val="000000"/>
          <w:kern w:val="0"/>
          <w:szCs w:val="21"/>
        </w:rPr>
        <w:t>:</w:t>
      </w:r>
    </w:p>
    <w:p>
      <w:pPr>
        <w:snapToGrid w:val="0"/>
        <w:spacing w:line="360" w:lineRule="auto"/>
        <w:rPr>
          <w:rFonts w:ascii="Arial" w:hAnsi="Arial" w:cs="Arial"/>
          <w:szCs w:val="21"/>
        </w:rPr>
      </w:pPr>
      <w:r>
        <w:rPr>
          <w:rFonts w:hint="eastAsia" w:ascii="Arial" w:hAnsi="Arial" w:cs="Arial"/>
          <w:szCs w:val="21"/>
        </w:rPr>
        <w:t>1、我单位愿意遵守招标文件的各项规定，自愿参加投标，并已清楚招标文件的要求及有关文件规定，并严格按照招标文件的规定履行全部责任和义务。</w:t>
      </w:r>
    </w:p>
    <w:p>
      <w:pPr>
        <w:snapToGrid w:val="0"/>
        <w:spacing w:line="360" w:lineRule="auto"/>
        <w:rPr>
          <w:rFonts w:hint="eastAsia" w:ascii="宋体" w:hAnsi="宋体" w:cs="Arial"/>
          <w:color w:val="000000"/>
          <w:kern w:val="0"/>
          <w:szCs w:val="21"/>
        </w:rPr>
      </w:pPr>
      <w:r>
        <w:rPr>
          <w:rFonts w:hint="eastAsia" w:ascii="Arial" w:hAnsi="Arial" w:cs="Arial"/>
          <w:szCs w:val="21"/>
        </w:rPr>
        <w:t>2、我单位已经详细地阅读了全部招标文件及其附件，包括澄清及参考文件(如果有的话)。我单位已完全清晰理解招标文件的要求，</w:t>
      </w:r>
      <w:r>
        <w:rPr>
          <w:rFonts w:hint="eastAsia" w:ascii="宋体" w:hAnsi="宋体" w:cs="Arial"/>
          <w:color w:val="000000"/>
          <w:kern w:val="0"/>
          <w:szCs w:val="21"/>
        </w:rPr>
        <w:t>同意</w:t>
      </w:r>
      <w:r>
        <w:rPr>
          <w:rFonts w:ascii="宋体" w:hAnsi="宋体" w:cs="Arial"/>
          <w:color w:val="000000"/>
          <w:kern w:val="0"/>
          <w:szCs w:val="21"/>
        </w:rPr>
        <w:t>放弃在此方面提出含糊意见或误解的一切权力</w:t>
      </w:r>
      <w:r>
        <w:rPr>
          <w:rFonts w:hint="eastAsia" w:ascii="宋体" w:hAnsi="宋体" w:cs="Arial"/>
          <w:color w:val="000000"/>
          <w:kern w:val="0"/>
          <w:szCs w:val="21"/>
        </w:rPr>
        <w:t>。</w:t>
      </w:r>
    </w:p>
    <w:p>
      <w:pPr>
        <w:snapToGrid w:val="0"/>
        <w:spacing w:line="360" w:lineRule="auto"/>
        <w:rPr>
          <w:rFonts w:hint="eastAsia" w:ascii="宋体" w:hAnsi="宋体"/>
        </w:rPr>
      </w:pPr>
      <w:r>
        <w:rPr>
          <w:rFonts w:hint="eastAsia" w:ascii="Arial" w:hAnsi="Arial" w:cs="Arial"/>
          <w:szCs w:val="21"/>
        </w:rPr>
        <w:t>3、</w:t>
      </w:r>
      <w:r>
        <w:rPr>
          <w:rFonts w:hint="eastAsia" w:ascii="宋体" w:hAnsi="宋体" w:cs="Arial"/>
          <w:szCs w:val="21"/>
        </w:rPr>
        <w:t>如果我单位中标，我单位将履行招标文件中规定的每一项要求，按期、按质、按量完成任务。</w:t>
      </w:r>
    </w:p>
    <w:p>
      <w:pPr>
        <w:snapToGrid w:val="0"/>
        <w:spacing w:line="360" w:lineRule="auto"/>
        <w:rPr>
          <w:rFonts w:ascii="Arial" w:hAnsi="Arial" w:cs="Arial"/>
          <w:szCs w:val="21"/>
        </w:rPr>
      </w:pPr>
      <w:r>
        <w:rPr>
          <w:rFonts w:hint="eastAsia" w:ascii="宋体" w:hAnsi="宋体" w:cs="Arial"/>
          <w:szCs w:val="21"/>
        </w:rPr>
        <w:t>4、我</w:t>
      </w:r>
      <w:r>
        <w:rPr>
          <w:rFonts w:hint="eastAsia" w:ascii="宋体" w:hAnsi="宋体" w:cs="Courier New"/>
          <w:snapToGrid w:val="0"/>
          <w:szCs w:val="18"/>
        </w:rPr>
        <w:t>单位</w:t>
      </w:r>
      <w:r>
        <w:rPr>
          <w:rFonts w:hint="eastAsia" w:ascii="宋体" w:hAnsi="宋体" w:cs="Arial"/>
          <w:szCs w:val="21"/>
        </w:rPr>
        <w:t>承诺在本次投标响应中提供的一切文件，无论是原件还是复印件均保证其真实性、准确性和合法性，绝无任何虚假、伪造和夸</w:t>
      </w:r>
      <w:r>
        <w:rPr>
          <w:rFonts w:hint="eastAsia" w:ascii="Arial" w:hAnsi="Arial" w:cs="Arial"/>
          <w:szCs w:val="21"/>
        </w:rPr>
        <w:t>大的成份，否则，愿承担相应的后果和法律责任。</w:t>
      </w:r>
    </w:p>
    <w:p>
      <w:pPr>
        <w:snapToGrid w:val="0"/>
        <w:spacing w:line="360" w:lineRule="auto"/>
        <w:rPr>
          <w:rFonts w:ascii="Arial" w:hAnsi="Arial" w:cs="Arial"/>
          <w:szCs w:val="21"/>
        </w:rPr>
      </w:pPr>
      <w:r>
        <w:rPr>
          <w:rFonts w:hint="eastAsia" w:ascii="Arial" w:hAnsi="Arial" w:cs="Arial"/>
          <w:szCs w:val="21"/>
        </w:rPr>
        <w:t>5、</w:t>
      </w:r>
      <w:r>
        <w:rPr>
          <w:rFonts w:hint="eastAsia" w:ascii="宋体" w:hAnsi="宋体" w:cs="Arial"/>
          <w:szCs w:val="21"/>
        </w:rPr>
        <w:t>我</w:t>
      </w:r>
      <w:r>
        <w:rPr>
          <w:rFonts w:hint="eastAsia" w:ascii="宋体" w:hAnsi="宋体" w:cs="Courier New"/>
          <w:snapToGrid w:val="0"/>
          <w:szCs w:val="18"/>
        </w:rPr>
        <w:t>单位</w:t>
      </w:r>
      <w:r>
        <w:rPr>
          <w:rFonts w:hint="eastAsia" w:ascii="宋体" w:hAnsi="宋体" w:cs="Arial"/>
          <w:szCs w:val="21"/>
        </w:rPr>
        <w:t>完</w:t>
      </w:r>
      <w:r>
        <w:rPr>
          <w:rFonts w:hint="eastAsia" w:ascii="Arial" w:hAnsi="Arial" w:cs="Arial"/>
          <w:szCs w:val="21"/>
        </w:rPr>
        <w:t>全服从和尊重评委会所作的评定结果，</w:t>
      </w:r>
      <w:r>
        <w:rPr>
          <w:rFonts w:hint="eastAsia" w:ascii="Arial" w:hAnsi="Arial" w:cs="Arial"/>
          <w:b/>
          <w:bCs/>
          <w:szCs w:val="21"/>
        </w:rPr>
        <w:t>同时清楚理解报价最低并非意味着必定获得中标资格</w:t>
      </w:r>
      <w:r>
        <w:rPr>
          <w:rFonts w:hint="eastAsia" w:ascii="Arial" w:hAnsi="Arial" w:cs="Arial"/>
          <w:szCs w:val="21"/>
        </w:rPr>
        <w:t>。</w:t>
      </w:r>
    </w:p>
    <w:bookmarkEnd w:id="11"/>
    <w:p>
      <w:pPr>
        <w:snapToGrid w:val="0"/>
        <w:spacing w:line="360" w:lineRule="auto"/>
        <w:rPr>
          <w:rFonts w:ascii="Arial" w:hAnsi="Arial" w:cs="Arial"/>
          <w:bCs/>
          <w:szCs w:val="21"/>
        </w:rPr>
      </w:pPr>
      <w:r>
        <w:rPr>
          <w:rFonts w:hint="eastAsia" w:ascii="Arial" w:hAnsi="Arial" w:cs="Arial"/>
          <w:bCs/>
          <w:szCs w:val="21"/>
        </w:rPr>
        <w:t>6</w:t>
      </w:r>
      <w:r>
        <w:rPr>
          <w:rFonts w:ascii="Arial" w:hAnsi="Arial" w:cs="Arial"/>
          <w:bCs/>
          <w:szCs w:val="21"/>
        </w:rPr>
        <w:t>、如我单位提交样品，且未在规定时间内取回样品的，视同放弃取回，同意</w:t>
      </w:r>
      <w:r>
        <w:rPr>
          <w:rFonts w:hint="eastAsia" w:ascii="Arial" w:hAnsi="Arial" w:cs="Arial"/>
          <w:bCs/>
          <w:szCs w:val="21"/>
        </w:rPr>
        <w:t>深圳市宝安区人民医院</w:t>
      </w:r>
      <w:r>
        <w:rPr>
          <w:rFonts w:ascii="Arial" w:hAnsi="Arial" w:cs="Arial"/>
          <w:bCs/>
          <w:szCs w:val="21"/>
        </w:rPr>
        <w:t>对我单位提交的样品进行清理。</w:t>
      </w:r>
    </w:p>
    <w:p>
      <w:pPr>
        <w:snapToGrid w:val="0"/>
        <w:spacing w:line="360" w:lineRule="auto"/>
        <w:rPr>
          <w:rFonts w:ascii="Arial" w:hAnsi="Arial" w:cs="Arial"/>
          <w:b/>
          <w:szCs w:val="21"/>
        </w:rPr>
      </w:pPr>
      <w:r>
        <w:rPr>
          <w:rFonts w:hint="eastAsia" w:ascii="Arial" w:hAnsi="Arial" w:cs="Arial"/>
          <w:szCs w:val="21"/>
        </w:rPr>
        <w:t>7、投标函自开标日起有效期为60个工作日。</w:t>
      </w:r>
    </w:p>
    <w:p>
      <w:pPr>
        <w:snapToGrid w:val="0"/>
        <w:spacing w:line="360" w:lineRule="auto"/>
        <w:rPr>
          <w:rFonts w:ascii="Arial" w:hAnsi="Arial" w:cs="Arial"/>
          <w:szCs w:val="21"/>
          <w:u w:val="single"/>
        </w:rPr>
      </w:pPr>
      <w:r>
        <w:rPr>
          <w:rFonts w:hint="eastAsia" w:ascii="Arial" w:hAnsi="Arial" w:cs="Arial"/>
          <w:szCs w:val="21"/>
        </w:rPr>
        <w:t>投标人：</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单位地址：</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法定代表人（负责人）或其授权委托代理人：</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邮政编码：</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电话：</w:t>
      </w:r>
      <w:r>
        <w:rPr>
          <w:rFonts w:hint="eastAsia" w:ascii="Arial" w:hAnsi="Arial" w:cs="Arial"/>
          <w:szCs w:val="21"/>
          <w:u w:val="single"/>
        </w:rPr>
        <w:t xml:space="preserve">           </w:t>
      </w:r>
    </w:p>
    <w:p>
      <w:pPr>
        <w:snapToGrid w:val="0"/>
        <w:spacing w:line="360" w:lineRule="auto"/>
        <w:rPr>
          <w:rFonts w:ascii="Arial" w:hAnsi="Arial" w:cs="Arial"/>
          <w:szCs w:val="21"/>
          <w:u w:val="single"/>
        </w:rPr>
      </w:pPr>
      <w:r>
        <w:rPr>
          <w:rFonts w:hint="eastAsia" w:ascii="Arial" w:hAnsi="Arial" w:cs="Arial"/>
          <w:szCs w:val="21"/>
        </w:rPr>
        <w:t>传真：</w:t>
      </w:r>
      <w:r>
        <w:rPr>
          <w:rFonts w:hint="eastAsia" w:ascii="Arial" w:hAnsi="Arial" w:cs="Arial"/>
          <w:szCs w:val="21"/>
          <w:u w:val="single"/>
        </w:rPr>
        <w:t xml:space="preserve">           </w:t>
      </w:r>
    </w:p>
    <w:p>
      <w:pPr>
        <w:snapToGrid w:val="0"/>
        <w:spacing w:line="360" w:lineRule="auto"/>
        <w:rPr>
          <w:rFonts w:ascii="Arial" w:hAnsi="Arial" w:cs="Arial"/>
          <w:szCs w:val="21"/>
        </w:rPr>
      </w:pPr>
      <w:r>
        <w:rPr>
          <w:rFonts w:hint="eastAsia" w:ascii="Arial" w:hAnsi="Arial" w:cs="Arial"/>
          <w:szCs w:val="21"/>
        </w:rPr>
        <w:t>邮箱：</w:t>
      </w:r>
      <w:r>
        <w:rPr>
          <w:rFonts w:hint="eastAsia" w:ascii="Arial" w:hAnsi="Arial" w:cs="Arial"/>
          <w:szCs w:val="21"/>
          <w:u w:val="single"/>
        </w:rPr>
        <w:t xml:space="preserve">           </w:t>
      </w:r>
      <w:r>
        <w:rPr>
          <w:rFonts w:hint="eastAsia" w:ascii="Arial" w:hAnsi="Arial" w:cs="Arial"/>
          <w:szCs w:val="21"/>
        </w:rPr>
        <w:t xml:space="preserve"> </w:t>
      </w:r>
    </w:p>
    <w:p>
      <w:pPr>
        <w:snapToGrid w:val="0"/>
        <w:spacing w:line="360" w:lineRule="auto"/>
        <w:rPr>
          <w:rFonts w:ascii="Arial" w:hAnsi="Arial" w:cs="Arial"/>
          <w:szCs w:val="21"/>
        </w:rPr>
      </w:pPr>
    </w:p>
    <w:p>
      <w:pPr>
        <w:snapToGrid w:val="0"/>
        <w:spacing w:line="360" w:lineRule="auto"/>
        <w:rPr>
          <w:rFonts w:ascii="Arial" w:hAnsi="Arial" w:cs="Arial"/>
          <w:szCs w:val="21"/>
        </w:rPr>
      </w:pPr>
      <w:r>
        <w:rPr>
          <w:rFonts w:hint="eastAsia" w:ascii="Arial" w:hAnsi="Arial" w:cs="Arial"/>
          <w:szCs w:val="21"/>
        </w:rPr>
        <w:t>日期： 年  月  日</w:t>
      </w:r>
    </w:p>
    <w:p>
      <w:pPr>
        <w:snapToGrid w:val="0"/>
        <w:spacing w:line="360" w:lineRule="auto"/>
        <w:rPr>
          <w:rFonts w:ascii="Arial" w:hAnsi="Arial" w:cs="Arial"/>
          <w:szCs w:val="21"/>
        </w:rPr>
      </w:pPr>
    </w:p>
    <w:p>
      <w:pPr>
        <w:widowControl/>
        <w:spacing w:line="360" w:lineRule="atLeast"/>
        <w:jc w:val="left"/>
        <w:rPr>
          <w:rFonts w:hint="eastAsia" w:ascii="宋体" w:hAnsi="宋体" w:cs="Arial"/>
          <w:kern w:val="0"/>
          <w:szCs w:val="21"/>
        </w:rPr>
      </w:pPr>
      <w:r>
        <w:rPr>
          <w:rFonts w:hint="eastAsia" w:ascii="Arial" w:hAnsi="Arial" w:cs="Arial"/>
          <w:szCs w:val="21"/>
        </w:rPr>
        <w:t>备注：不得擅自改变此投标函内容。</w:t>
      </w:r>
    </w:p>
    <w:p>
      <w:pPr>
        <w:spacing w:line="300" w:lineRule="auto"/>
        <w:ind w:left="140"/>
        <w:jc w:val="center"/>
        <w:rPr>
          <w:rFonts w:hint="eastAsia" w:ascii="宋体" w:hAnsi="宋体" w:cs="Arial"/>
          <w:b/>
          <w:color w:val="000000"/>
          <w:sz w:val="28"/>
          <w:szCs w:val="28"/>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00" w:lineRule="auto"/>
        <w:ind w:left="140"/>
        <w:jc w:val="center"/>
        <w:rPr>
          <w:rFonts w:hint="eastAsia" w:ascii="宋体" w:hAnsi="宋体" w:cs="Arial"/>
          <w:b/>
          <w:color w:val="000000"/>
          <w:sz w:val="28"/>
          <w:szCs w:val="28"/>
        </w:rPr>
      </w:pPr>
    </w:p>
    <w:p>
      <w:pPr>
        <w:pStyle w:val="13"/>
      </w:pPr>
    </w:p>
    <w:p>
      <w:pPr>
        <w:pStyle w:val="13"/>
      </w:pPr>
    </w:p>
    <w:p>
      <w:pPr>
        <w:pStyle w:val="13"/>
      </w:pPr>
    </w:p>
    <w:p>
      <w:pPr>
        <w:pStyle w:val="13"/>
      </w:pPr>
    </w:p>
    <w:p>
      <w:pPr>
        <w:pStyle w:val="13"/>
      </w:pPr>
    </w:p>
    <w:p>
      <w:pPr>
        <w:pStyle w:val="13"/>
      </w:pPr>
    </w:p>
    <w:p>
      <w:pPr>
        <w:pStyle w:val="13"/>
      </w:pPr>
    </w:p>
    <w:p>
      <w:pPr>
        <w:spacing w:line="300" w:lineRule="auto"/>
        <w:ind w:left="140"/>
        <w:jc w:val="center"/>
        <w:rPr>
          <w:rFonts w:hint="eastAsia" w:ascii="宋体" w:hAnsi="宋体" w:cs="Arial"/>
          <w:b/>
          <w:color w:val="000000"/>
          <w:sz w:val="28"/>
          <w:szCs w:val="28"/>
        </w:rPr>
      </w:pPr>
      <w:r>
        <w:rPr>
          <w:rFonts w:hint="eastAsia" w:ascii="宋体" w:hAnsi="宋体" w:cs="Arial"/>
          <w:b/>
          <w:color w:val="000000"/>
          <w:sz w:val="28"/>
          <w:szCs w:val="28"/>
        </w:rPr>
        <w:t>五、投标履约承诺函</w:t>
      </w:r>
    </w:p>
    <w:p>
      <w:pPr>
        <w:adjustRightInd w:val="0"/>
        <w:snapToGrid w:val="0"/>
        <w:contextualSpacing/>
        <w:rPr>
          <w:rFonts w:hint="eastAsia" w:ascii="宋体" w:hAnsi="宋体"/>
          <w:szCs w:val="21"/>
        </w:rPr>
      </w:pPr>
      <w:r>
        <w:rPr>
          <w:rFonts w:hint="eastAsia" w:ascii="宋体" w:hAnsi="宋体"/>
          <w:szCs w:val="21"/>
        </w:rPr>
        <w:t>致：</w:t>
      </w:r>
      <w:r>
        <w:rPr>
          <w:rFonts w:hint="eastAsia" w:ascii="宋体" w:hAnsi="宋体"/>
          <w:szCs w:val="21"/>
          <w:u w:val="single"/>
        </w:rPr>
        <w:t>深圳市宝安区人民医院</w:t>
      </w:r>
    </w:p>
    <w:p>
      <w:pPr>
        <w:ind w:right="-815" w:firstLine="420" w:firstLineChars="200"/>
        <w:contextualSpacing/>
        <w:rPr>
          <w:rFonts w:hint="eastAsia" w:ascii="宋体" w:hAnsi="宋体"/>
          <w:szCs w:val="21"/>
        </w:rPr>
      </w:pPr>
      <w:r>
        <w:rPr>
          <w:rFonts w:hint="eastAsia" w:ascii="宋体" w:hAnsi="宋体"/>
          <w:szCs w:val="21"/>
        </w:rPr>
        <w:t>我单位承诺：</w:t>
      </w:r>
    </w:p>
    <w:p>
      <w:pPr>
        <w:ind w:firstLine="420" w:firstLineChars="200"/>
        <w:contextualSpacing/>
        <w:rPr>
          <w:rFonts w:hint="eastAsia" w:ascii="宋体" w:hAnsi="宋体"/>
          <w:szCs w:val="21"/>
        </w:rPr>
      </w:pPr>
      <w:r>
        <w:rPr>
          <w:rFonts w:hint="eastAsia" w:ascii="宋体" w:hAnsi="宋体"/>
          <w:szCs w:val="21"/>
        </w:rPr>
        <w:t>1.我单位参与本项目所投标（响应）的货物、工程或服务，不存在侵犯</w:t>
      </w:r>
      <w:r>
        <w:rPr>
          <w:rFonts w:hint="eastAsia" w:ascii="宋体" w:hAnsi="宋体"/>
          <w:b/>
          <w:bCs/>
          <w:szCs w:val="21"/>
        </w:rPr>
        <w:t>知识产权</w:t>
      </w:r>
      <w:r>
        <w:rPr>
          <w:rFonts w:hint="eastAsia" w:ascii="宋体" w:hAnsi="宋体"/>
          <w:szCs w:val="21"/>
        </w:rPr>
        <w:t>的情况。</w:t>
      </w:r>
    </w:p>
    <w:p>
      <w:pPr>
        <w:ind w:firstLine="420" w:firstLineChars="200"/>
        <w:contextualSpacing/>
        <w:rPr>
          <w:rFonts w:hint="eastAsia" w:ascii="宋体" w:hAnsi="宋体"/>
          <w:szCs w:val="21"/>
        </w:rPr>
      </w:pPr>
      <w:r>
        <w:rPr>
          <w:rFonts w:hint="eastAsia" w:ascii="宋体" w:hAnsi="宋体"/>
          <w:szCs w:val="21"/>
        </w:rPr>
        <w:t>2.我单位参与贵单位</w:t>
      </w:r>
      <w:r>
        <w:rPr>
          <w:rFonts w:hint="eastAsia"/>
          <w:szCs w:val="21"/>
        </w:rPr>
        <w:t>采购活动时不存在被有关部门禁止参与政府采购活动且在有效期内的情况。</w:t>
      </w:r>
    </w:p>
    <w:p>
      <w:pPr>
        <w:ind w:firstLine="420" w:firstLineChars="200"/>
        <w:contextualSpacing/>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contextualSpacing/>
        <w:rPr>
          <w:szCs w:val="21"/>
        </w:rPr>
      </w:pPr>
      <w:r>
        <w:rPr>
          <w:rFonts w:hint="eastAsia" w:ascii="宋体" w:hAnsi="宋体"/>
          <w:szCs w:val="21"/>
        </w:rPr>
        <w:t>4.我单位</w:t>
      </w:r>
      <w:r>
        <w:rPr>
          <w:rFonts w:hint="eastAsia"/>
          <w:szCs w:val="21"/>
        </w:rPr>
        <w:t>未被列入失信被执行人、重大税收违法案件当事人名单、政府采购严重违法失信行为记录名单。</w:t>
      </w:r>
    </w:p>
    <w:p>
      <w:pPr>
        <w:pStyle w:val="13"/>
      </w:pPr>
      <w:r>
        <w:rPr>
          <w:rFonts w:hint="eastAsia"/>
        </w:rPr>
        <w:t xml:space="preserve">    5.我单位不存在《深圳市财政局政府采购供应商信用信息管理办法》(深财规〔2023〕3号)列明的严重违法失信行为。</w:t>
      </w:r>
    </w:p>
    <w:p>
      <w:pPr>
        <w:ind w:firstLine="420" w:firstLineChars="200"/>
        <w:contextualSpacing/>
        <w:rPr>
          <w:rFonts w:hint="eastAsia" w:ascii="宋体" w:hAnsi="宋体"/>
          <w:szCs w:val="21"/>
        </w:rPr>
      </w:pPr>
      <w:r>
        <w:rPr>
          <w:rFonts w:hint="eastAsia" w:ascii="宋体" w:hAnsi="宋体"/>
          <w:szCs w:val="21"/>
        </w:rPr>
        <w:t>6.我单位参与该项目投标，严格遵守政府采购相关法律，</w:t>
      </w:r>
      <w:r>
        <w:rPr>
          <w:rFonts w:hint="eastAsia" w:ascii="宋体" w:hAnsi="宋体"/>
          <w:b/>
          <w:bCs/>
          <w:szCs w:val="21"/>
        </w:rPr>
        <w:t>不造假，不围标、串标、陪标。</w:t>
      </w:r>
      <w:r>
        <w:rPr>
          <w:rFonts w:hint="eastAsia" w:ascii="宋体" w:hAnsi="宋体"/>
          <w:szCs w:val="21"/>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contextualSpacing/>
        <w:rPr>
          <w:rFonts w:hint="eastAsia" w:ascii="宋体" w:hAnsi="宋体"/>
          <w:szCs w:val="21"/>
        </w:rPr>
      </w:pPr>
      <w:r>
        <w:rPr>
          <w:rFonts w:hint="eastAsia" w:ascii="宋体" w:hAnsi="宋体"/>
          <w:szCs w:val="21"/>
        </w:rPr>
        <w:t>7.我单位如果中标，做到</w:t>
      </w:r>
      <w:r>
        <w:rPr>
          <w:rFonts w:hint="eastAsia" w:ascii="宋体" w:hAnsi="宋体"/>
          <w:b/>
          <w:bCs/>
          <w:szCs w:val="21"/>
        </w:rPr>
        <w:t>守信，不偷工减料</w:t>
      </w:r>
      <w:r>
        <w:rPr>
          <w:rFonts w:hint="eastAsia" w:ascii="宋体" w:hAnsi="宋体"/>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contextualSpacing/>
        <w:rPr>
          <w:rFonts w:hint="eastAsia" w:ascii="宋体" w:hAnsi="宋体"/>
          <w:szCs w:val="21"/>
        </w:rPr>
      </w:pPr>
      <w:r>
        <w:rPr>
          <w:rFonts w:hint="eastAsia" w:ascii="宋体" w:hAnsi="宋体"/>
          <w:szCs w:val="21"/>
        </w:rPr>
        <w:t>我单位清楚，</w:t>
      </w:r>
      <w:r>
        <w:rPr>
          <w:rFonts w:hint="eastAsia" w:ascii="宋体" w:hAnsi="宋体"/>
          <w:b/>
          <w:bCs/>
          <w:szCs w:val="21"/>
        </w:rPr>
        <w:t>若以“报价太低而无法履约”为理由放弃本项目中标资格时，愿意接受主管部门的处理处罚</w:t>
      </w:r>
      <w:r>
        <w:rPr>
          <w:rFonts w:hint="eastAsia" w:ascii="宋体" w:hAnsi="宋体"/>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contextualSpacing/>
        <w:rPr>
          <w:rFonts w:hint="eastAsia" w:ascii="宋体" w:hAnsi="宋体"/>
          <w:szCs w:val="21"/>
        </w:rPr>
      </w:pPr>
      <w:r>
        <w:rPr>
          <w:rFonts w:hint="eastAsia" w:ascii="宋体" w:hAnsi="宋体"/>
          <w:szCs w:val="21"/>
        </w:rPr>
        <w:t>8.我单位已认真核实了投标文件的全部内容，所有资料均为</w:t>
      </w:r>
      <w:r>
        <w:rPr>
          <w:rFonts w:hint="eastAsia" w:ascii="宋体" w:hAnsi="宋体"/>
          <w:b/>
          <w:bCs/>
          <w:szCs w:val="21"/>
        </w:rPr>
        <w:t>真实资料</w:t>
      </w:r>
      <w:r>
        <w:rPr>
          <w:rFonts w:hint="eastAsia" w:ascii="宋体" w:hAnsi="宋体"/>
          <w:szCs w:val="21"/>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contextualSpacing/>
        <w:rPr>
          <w:rFonts w:hint="eastAsia" w:ascii="宋体" w:hAnsi="宋体"/>
          <w:szCs w:val="21"/>
        </w:rPr>
      </w:pPr>
      <w:r>
        <w:rPr>
          <w:rFonts w:hint="eastAsia" w:ascii="宋体" w:hAnsi="宋体"/>
          <w:szCs w:val="21"/>
        </w:rPr>
        <w:t>9.我单位承诺</w:t>
      </w:r>
      <w:r>
        <w:rPr>
          <w:rFonts w:hint="eastAsia" w:ascii="宋体" w:hAnsi="宋体"/>
          <w:b/>
          <w:bCs/>
          <w:szCs w:val="21"/>
        </w:rPr>
        <w:t>非联合体投标，不非法转包或分包</w:t>
      </w:r>
      <w:r>
        <w:rPr>
          <w:rFonts w:hint="eastAsia" w:ascii="宋体" w:hAnsi="宋体"/>
          <w:szCs w:val="21"/>
        </w:rPr>
        <w:t>。</w:t>
      </w:r>
    </w:p>
    <w:p>
      <w:pPr>
        <w:ind w:firstLine="420" w:firstLineChars="200"/>
        <w:contextualSpacing/>
        <w:rPr>
          <w:rFonts w:hint="eastAsia" w:ascii="宋体" w:hAnsi="宋体"/>
          <w:szCs w:val="21"/>
        </w:rPr>
      </w:pPr>
      <w:r>
        <w:rPr>
          <w:rFonts w:hint="eastAsia" w:ascii="宋体" w:hAnsi="宋体"/>
          <w:szCs w:val="21"/>
        </w:rPr>
        <w:t>10</w:t>
      </w:r>
      <w:r>
        <w:rPr>
          <w:rFonts w:ascii="宋体" w:hAnsi="宋体"/>
          <w:szCs w:val="21"/>
        </w:rPr>
        <w:t>.</w:t>
      </w:r>
      <w:r>
        <w:rPr>
          <w:rFonts w:hint="eastAsia" w:ascii="宋体" w:hAnsi="宋体"/>
          <w:szCs w:val="21"/>
        </w:rPr>
        <w:t>我单位保证，其所提供的货物通过</w:t>
      </w:r>
      <w:r>
        <w:rPr>
          <w:rFonts w:hint="eastAsia" w:ascii="宋体" w:hAnsi="宋体"/>
          <w:b/>
          <w:bCs/>
          <w:szCs w:val="21"/>
        </w:rPr>
        <w:t>合法正规渠道供货</w:t>
      </w:r>
      <w:r>
        <w:rPr>
          <w:rFonts w:hint="eastAsia" w:ascii="宋体" w:hAnsi="宋体"/>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contextualSpacing/>
        <w:rPr>
          <w:rFonts w:hint="eastAsia" w:ascii="宋体" w:hAnsi="宋体"/>
          <w:bCs/>
          <w:szCs w:val="21"/>
        </w:rPr>
      </w:pPr>
      <w:r>
        <w:rPr>
          <w:rFonts w:hint="eastAsia" w:ascii="宋体" w:hAnsi="宋体" w:cs="宋体"/>
          <w:bCs/>
          <w:kern w:val="0"/>
          <w:szCs w:val="21"/>
        </w:rPr>
        <w:t>11.</w:t>
      </w:r>
      <w:r>
        <w:rPr>
          <w:rFonts w:hint="eastAsia" w:ascii="宋体" w:hAnsi="宋体"/>
          <w:bCs/>
          <w:szCs w:val="21"/>
        </w:rPr>
        <w:t>我单位已知悉并同意中标（成交）结果信息公示（公开）的内容。</w:t>
      </w:r>
    </w:p>
    <w:p>
      <w:pPr>
        <w:ind w:firstLine="420" w:firstLineChars="200"/>
        <w:contextualSpacing/>
        <w:rPr>
          <w:rFonts w:hint="eastAsia" w:ascii="宋体" w:hAnsi="宋体"/>
          <w:bCs/>
          <w:szCs w:val="21"/>
        </w:rPr>
      </w:pPr>
      <w:r>
        <w:rPr>
          <w:rFonts w:hint="eastAsia" w:ascii="宋体" w:hAnsi="宋体"/>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contextualSpacing/>
        <w:rPr>
          <w:rFonts w:hint="eastAsia" w:ascii="宋体" w:hAnsi="宋体" w:cs="宋体"/>
          <w:bCs/>
          <w:kern w:val="0"/>
          <w:szCs w:val="21"/>
        </w:rPr>
      </w:pPr>
      <w:r>
        <w:rPr>
          <w:rFonts w:hint="eastAsia" w:ascii="宋体" w:hAnsi="宋体" w:cs="宋体"/>
          <w:bCs/>
          <w:kern w:val="0"/>
          <w:szCs w:val="21"/>
        </w:rPr>
        <w:t>13.我单位获得中标、成交资格后无正当理由放弃中标、成交资格的，自愿接受贵单位作出的处理处罚，一切不利后果我单位均自愿承担。</w:t>
      </w:r>
    </w:p>
    <w:p>
      <w:pPr>
        <w:ind w:firstLine="422" w:firstLineChars="200"/>
        <w:contextualSpacing/>
        <w:rPr>
          <w:rFonts w:hint="eastAsia" w:ascii="宋体" w:hAnsi="宋体"/>
          <w:b/>
          <w:szCs w:val="21"/>
        </w:rPr>
      </w:pPr>
      <w:r>
        <w:rPr>
          <w:rFonts w:hint="eastAsia" w:ascii="宋体" w:hAnsi="宋体"/>
          <w:b/>
          <w:szCs w:val="21"/>
        </w:rPr>
        <w:t>14.我单位清楚，如存在违反投标承诺行为情节严重的，将根据《深圳市财政局关于印发&lt;深圳市财政局政府采购供应商信用信息管理办法&gt;的通知》，依法被列入失信信息。</w:t>
      </w:r>
    </w:p>
    <w:p>
      <w:pPr>
        <w:pStyle w:val="13"/>
        <w:ind w:firstLine="420" w:firstLineChars="200"/>
        <w:contextualSpacing/>
      </w:pPr>
    </w:p>
    <w:p>
      <w:pPr>
        <w:ind w:firstLine="420" w:firstLineChars="200"/>
        <w:contextualSpacing/>
        <w:rPr>
          <w:rFonts w:hint="eastAsia" w:ascii="宋体" w:hAnsi="宋体"/>
          <w:szCs w:val="21"/>
        </w:rPr>
      </w:pPr>
      <w:r>
        <w:rPr>
          <w:rFonts w:hint="eastAsia" w:ascii="宋体" w:hAnsi="宋体"/>
          <w:szCs w:val="21"/>
        </w:rPr>
        <w:t>以上承诺，如有违反，愿依照国家相关法律法规处理，并承担由此给贵单位带来的损失。</w:t>
      </w:r>
    </w:p>
    <w:p>
      <w:pPr>
        <w:ind w:firstLine="420" w:firstLineChars="200"/>
        <w:contextualSpacing/>
        <w:rPr>
          <w:rFonts w:hint="eastAsia"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r>
        <w:rPr>
          <w:rFonts w:hint="eastAsia" w:ascii="宋体" w:hAnsi="宋体"/>
          <w:szCs w:val="21"/>
        </w:rPr>
        <w:t xml:space="preserve">                </w:t>
      </w:r>
    </w:p>
    <w:p>
      <w:pPr>
        <w:ind w:firstLine="420" w:firstLineChars="200"/>
        <w:contextualSpacing/>
        <w:rPr>
          <w:rFonts w:hint="eastAsia" w:ascii="宋体" w:hAnsi="宋体"/>
          <w:szCs w:val="21"/>
        </w:rPr>
      </w:pPr>
      <w:r>
        <w:rPr>
          <w:rFonts w:hint="eastAsia" w:ascii="宋体" w:hAnsi="宋体"/>
          <w:szCs w:val="21"/>
        </w:rPr>
        <w:t xml:space="preserve">                                                            </w:t>
      </w:r>
    </w:p>
    <w:p>
      <w:pPr>
        <w:ind w:firstLine="7770" w:firstLineChars="3700"/>
        <w:contextualSpacing/>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3"/>
        <w:contextualSpacing/>
        <w:rPr>
          <w:rFonts w:hint="eastAsia" w:hAnsi="宋体"/>
        </w:rPr>
      </w:pPr>
    </w:p>
    <w:p>
      <w:pPr>
        <w:widowControl/>
        <w:contextualSpacing/>
        <w:rPr>
          <w:rFonts w:hint="eastAsia" w:ascii="宋体" w:hAnsi="宋体"/>
          <w:b/>
          <w:kern w:val="0"/>
          <w:szCs w:val="21"/>
        </w:rPr>
      </w:pPr>
      <w:r>
        <w:rPr>
          <w:rFonts w:hint="eastAsia" w:ascii="宋体" w:hAnsi="宋体"/>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contextualSpacing/>
        <w:rPr>
          <w:rFonts w:hint="eastAsia" w:ascii="宋体" w:hAnsi="宋体"/>
          <w:b/>
          <w:kern w:val="0"/>
          <w:szCs w:val="21"/>
        </w:rPr>
      </w:pPr>
      <w:r>
        <w:rPr>
          <w:rFonts w:hint="eastAsia" w:ascii="宋体" w:hAnsi="宋体"/>
          <w:b/>
          <w:kern w:val="0"/>
          <w:szCs w:val="21"/>
        </w:rPr>
        <w:t>2.不得擅自改变此投标履约承诺函内容。</w:t>
      </w:r>
    </w:p>
    <w:p>
      <w:pPr>
        <w:pStyle w:val="12"/>
        <w:ind w:left="840" w:hanging="420"/>
        <w:rPr>
          <w:rFonts w:hint="eastAsia" w:ascii="宋体" w:hAnsi="宋体" w:eastAsia="宋体"/>
          <w:sz w:val="21"/>
          <w:szCs w:val="21"/>
        </w:rPr>
      </w:pPr>
      <w:r>
        <w:rPr>
          <w:rFonts w:hint="eastAsia" w:ascii="宋体" w:hAnsi="宋体" w:eastAsia="宋体"/>
          <w:sz w:val="21"/>
          <w:szCs w:val="21"/>
        </w:rPr>
        <w:t xml:space="preserve">                                                           </w:t>
      </w:r>
      <w:r>
        <w:rPr>
          <w:rFonts w:hint="eastAsia" w:ascii="宋体" w:hAnsi="宋体" w:eastAsia="宋体" w:cs="宋体"/>
          <w:b/>
          <w:bCs/>
          <w:sz w:val="21"/>
          <w:szCs w:val="21"/>
        </w:rPr>
        <w:t>投标人单位名称（单位盖公章）：</w:t>
      </w:r>
    </w:p>
    <w:p>
      <w:pPr>
        <w:jc w:val="center"/>
        <w:rPr>
          <w:rFonts w:hint="eastAsia" w:ascii="宋体" w:hAnsi="宋体" w:cs="宋体"/>
          <w:b/>
          <w:sz w:val="28"/>
          <w:szCs w:val="28"/>
        </w:rPr>
      </w:pPr>
      <w:r>
        <w:rPr>
          <w:rFonts w:hint="eastAsia" w:ascii="宋体" w:hAnsi="宋体" w:cs="Arial"/>
          <w:b/>
          <w:color w:val="000000"/>
          <w:sz w:val="28"/>
          <w:szCs w:val="28"/>
        </w:rPr>
        <w:t>六</w:t>
      </w:r>
      <w:r>
        <w:rPr>
          <w:rFonts w:hint="eastAsia" w:ascii="微软雅黑" w:hAnsi="微软雅黑" w:eastAsia="微软雅黑" w:cs="微软雅黑"/>
          <w:b/>
          <w:color w:val="000000"/>
          <w:sz w:val="28"/>
          <w:szCs w:val="28"/>
        </w:rPr>
        <w:t>､</w:t>
      </w:r>
      <w:r>
        <w:rPr>
          <w:rFonts w:hint="eastAsia" w:ascii="宋体" w:hAnsi="宋体" w:cs="宋体"/>
          <w:b/>
          <w:sz w:val="28"/>
          <w:szCs w:val="28"/>
        </w:rPr>
        <w:t>关于围标串标风险防控的承诺函</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致：深圳市宝安区人民医院</w:t>
      </w:r>
    </w:p>
    <w:p>
      <w:pPr>
        <w:spacing w:line="360" w:lineRule="auto"/>
        <w:ind w:firstLine="420" w:firstLineChars="200"/>
        <w:rPr>
          <w:rFonts w:hint="eastAsia" w:ascii="宋体" w:hAnsi="宋体" w:cs="宋体"/>
          <w:szCs w:val="21"/>
        </w:rPr>
      </w:pPr>
      <w:r>
        <w:rPr>
          <w:rFonts w:hint="eastAsia" w:ascii="宋体" w:hAnsi="宋体" w:cs="宋体"/>
          <w:szCs w:val="21"/>
        </w:rPr>
        <w:t>我公司参与（项目名称）（项目编号：（项目编号））的采购活动，现针对投标事宜，郑重作出如下承诺：</w:t>
      </w:r>
    </w:p>
    <w:p>
      <w:pPr>
        <w:spacing w:line="360" w:lineRule="auto"/>
        <w:ind w:right="-94" w:firstLine="420" w:firstLineChars="200"/>
      </w:pPr>
      <w:r>
        <w:rPr>
          <w:rFonts w:hint="eastAsia" w:ascii="宋体" w:hAnsi="宋体" w:cs="宋体"/>
          <w:szCs w:val="21"/>
        </w:rPr>
        <w:t>1.</w:t>
      </w:r>
      <w:r>
        <w:rPr>
          <w:rFonts w:hint="eastAsia" w:ascii="宋体" w:hAnsi="宋体"/>
          <w:szCs w:val="21"/>
        </w:rPr>
        <w:t>我公司参与该项目投标，严格遵守政府采购相关法律，不造假，不围标、串标、陪标。</w:t>
      </w:r>
    </w:p>
    <w:p>
      <w:pPr>
        <w:spacing w:line="360" w:lineRule="auto"/>
        <w:ind w:firstLine="420" w:firstLineChars="200"/>
        <w:rPr>
          <w:rFonts w:hint="eastAsia" w:ascii="宋体" w:hAnsi="宋体" w:cs="宋体"/>
          <w:szCs w:val="21"/>
        </w:rPr>
      </w:pPr>
      <w:r>
        <w:rPr>
          <w:rFonts w:hint="eastAsia" w:ascii="宋体" w:hAnsi="宋体" w:cs="宋体"/>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ascii="宋体" w:hAnsi="宋体" w:cs="宋体"/>
          <w:szCs w:val="21"/>
        </w:rPr>
      </w:pPr>
      <w:r>
        <w:rPr>
          <w:rFonts w:hint="eastAsia" w:ascii="宋体" w:hAnsi="宋体" w:cs="宋体"/>
          <w:szCs w:val="21"/>
        </w:rPr>
        <w:t>若因本公司违反上述任何声明或承诺，导致采购人遭受相应损失、损害，本公司将承担全部赔偿责任。</w:t>
      </w:r>
    </w:p>
    <w:p>
      <w:pPr>
        <w:spacing w:line="360" w:lineRule="auto"/>
        <w:ind w:firstLine="420"/>
        <w:jc w:val="right"/>
        <w:rPr>
          <w:rFonts w:hint="eastAsia" w:ascii="宋体" w:hAnsi="宋体" w:cs="宋体"/>
          <w:b/>
          <w:bCs/>
          <w:szCs w:val="21"/>
        </w:rPr>
      </w:pPr>
    </w:p>
    <w:p>
      <w:pPr>
        <w:spacing w:line="360" w:lineRule="auto"/>
        <w:ind w:firstLine="420"/>
        <w:jc w:val="right"/>
        <w:rPr>
          <w:rFonts w:hint="eastAsia" w:ascii="宋体" w:hAnsi="宋体" w:cs="宋体"/>
          <w:szCs w:val="21"/>
          <w:u w:val="single"/>
        </w:rPr>
      </w:pPr>
      <w:r>
        <w:rPr>
          <w:rFonts w:hint="eastAsia" w:ascii="宋体" w:hAnsi="宋体" w:cs="宋体"/>
          <w:b/>
          <w:bCs/>
          <w:szCs w:val="21"/>
        </w:rPr>
        <w:t>投标人单位名称（单位盖公章）：</w:t>
      </w:r>
      <w:r>
        <w:rPr>
          <w:rFonts w:hint="eastAsia" w:ascii="宋体" w:hAnsi="宋体" w:cs="宋体"/>
          <w:szCs w:val="21"/>
          <w:u w:val="single"/>
        </w:rPr>
        <w:t xml:space="preserve"> </w:t>
      </w:r>
    </w:p>
    <w:p>
      <w:pPr>
        <w:spacing w:line="360" w:lineRule="auto"/>
        <w:ind w:firstLine="420"/>
        <w:jc w:val="right"/>
        <w:rPr>
          <w:rFonts w:hint="eastAsia" w:ascii="宋体" w:hAnsi="宋体" w:cs="宋体"/>
          <w:color w:val="000000"/>
          <w:szCs w:val="21"/>
        </w:rPr>
      </w:pPr>
      <w:r>
        <w:rPr>
          <w:rFonts w:hint="eastAsia" w:ascii="宋体" w:hAnsi="宋体" w:cs="宋体"/>
          <w:b/>
          <w:bCs/>
          <w:szCs w:val="21"/>
        </w:rPr>
        <w:t xml:space="preserve">法定代表人（签字）： </w:t>
      </w:r>
      <w:r>
        <w:rPr>
          <w:rFonts w:hint="eastAsia" w:ascii="宋体" w:hAnsi="宋体" w:cs="宋体"/>
          <w:szCs w:val="21"/>
          <w:u w:val="single"/>
        </w:rPr>
        <w:t xml:space="preserve">                           </w:t>
      </w:r>
      <w:r>
        <w:rPr>
          <w:rFonts w:hint="eastAsia" w:ascii="宋体" w:hAnsi="宋体" w:cs="宋体"/>
          <w:szCs w:val="21"/>
        </w:rPr>
        <w:t>　</w:t>
      </w:r>
      <w:r>
        <w:rPr>
          <w:rFonts w:hint="eastAsia" w:ascii="宋体" w:hAnsi="宋体" w:cs="宋体"/>
          <w:color w:val="000000"/>
          <w:szCs w:val="21"/>
        </w:rPr>
        <w:t>　　　　　　</w:t>
      </w:r>
    </w:p>
    <w:p>
      <w:pPr>
        <w:ind w:firstLine="422" w:firstLineChars="200"/>
        <w:jc w:val="right"/>
        <w:rPr>
          <w:rFonts w:hint="eastAsia" w:ascii="宋体" w:hAnsi="宋体" w:cs="宋体"/>
          <w:szCs w:val="21"/>
        </w:rPr>
      </w:pPr>
      <w:r>
        <w:rPr>
          <w:rFonts w:hint="eastAsia" w:ascii="宋体" w:hAnsi="宋体" w:cs="宋体"/>
          <w:b/>
          <w:bCs/>
          <w:color w:val="000000"/>
          <w:szCs w:val="21"/>
        </w:rPr>
        <w:t>日期：</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rPr>
        <w:t>日</w:t>
      </w:r>
    </w:p>
    <w:p>
      <w:pPr>
        <w:rPr>
          <w:rFonts w:hint="eastAsia" w:ascii="宋体" w:hAnsi="宋体" w:cs="宋体"/>
          <w:b/>
          <w:sz w:val="24"/>
        </w:rPr>
      </w:pPr>
    </w:p>
    <w:p>
      <w:pPr>
        <w:spacing w:line="300" w:lineRule="auto"/>
        <w:ind w:left="140"/>
        <w:jc w:val="center"/>
        <w:rPr>
          <w:rFonts w:hint="eastAsia" w:ascii="宋体" w:hAnsi="微软雅黑" w:eastAsia="微软雅黑" w:cs="微软雅黑"/>
          <w:b/>
          <w:color w:val="000000"/>
          <w:sz w:val="28"/>
          <w:szCs w:val="28"/>
        </w:rPr>
      </w:pPr>
    </w:p>
    <w:p>
      <w:pPr>
        <w:pStyle w:val="12"/>
        <w:ind w:left="1060" w:hanging="640"/>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00" w:lineRule="auto"/>
        <w:ind w:left="140"/>
        <w:jc w:val="center"/>
        <w:rPr>
          <w:rFonts w:ascii="Arial" w:hAnsi="Arial" w:cs="Arial"/>
          <w:b/>
          <w:sz w:val="24"/>
        </w:rPr>
      </w:pPr>
      <w:r>
        <w:rPr>
          <w:rFonts w:hint="eastAsia" w:ascii="宋体" w:hAnsi="宋体" w:cs="Arial"/>
          <w:b/>
          <w:color w:val="000000"/>
          <w:sz w:val="28"/>
          <w:szCs w:val="28"/>
        </w:rPr>
        <w:t xml:space="preserve"> 七、</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hint="eastAsia"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hint="eastAsia" w:ascii="宋体" w:hAnsi="宋体"/>
          <w:color w:val="FF0000"/>
          <w:szCs w:val="21"/>
        </w:rPr>
      </w:pPr>
      <w:r>
        <w:rPr>
          <w:rFonts w:ascii="宋体" w:hAnsi="宋体"/>
          <w:color w:val="FF0000"/>
          <w:szCs w:val="21"/>
        </w:rPr>
        <w:t>备注:</w:t>
      </w:r>
    </w:p>
    <w:p>
      <w:pPr>
        <w:pStyle w:val="5"/>
        <w:snapToGrid w:val="0"/>
        <w:contextualSpacing/>
        <w:rPr>
          <w:color w:val="FF0000"/>
        </w:rPr>
      </w:pPr>
      <w:r>
        <w:rPr>
          <w:rFonts w:hint="eastAsia"/>
          <w:color w:val="FF0000"/>
        </w:rPr>
        <w:t>1. 本项目投标授权代表为法定代表人（负责人）的，需提供法人身份证复印件。</w:t>
      </w:r>
    </w:p>
    <w:p>
      <w:pPr>
        <w:pStyle w:val="5"/>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5"/>
        <w:snapToGrid w:val="0"/>
        <w:contextualSpacing/>
        <w:rPr>
          <w:rFonts w:hint="eastAsia" w:ascii="宋体" w:hAnsi="宋体"/>
          <w:color w:val="FF0000"/>
          <w:szCs w:val="21"/>
        </w:rPr>
      </w:pPr>
      <w:r>
        <w:rPr>
          <w:rFonts w:hint="eastAsia" w:cs="宋体"/>
          <w:color w:val="FF0000"/>
        </w:rPr>
        <w:t>3. 如法人代表出现转授权</w:t>
      </w:r>
      <w:r>
        <w:rPr>
          <w:color w:val="FF0000"/>
        </w:rPr>
        <w:t>,则以最终参与评标现场会的被授权人为准</w:t>
      </w:r>
      <w:r>
        <w:rPr>
          <w:rFonts w:hint="eastAsia" w:ascii="微软雅黑" w:hAnsi="微软雅黑" w:eastAsia="微软雅黑" w:cs="微软雅黑"/>
          <w:color w:val="FF0000"/>
        </w:rPr>
        <w:t>｡</w:t>
      </w:r>
    </w:p>
    <w:p>
      <w:pPr>
        <w:spacing w:line="500" w:lineRule="exact"/>
        <w:ind w:firstLine="555"/>
        <w:jc w:val="left"/>
        <w:rPr>
          <w:rFonts w:hint="eastAsia" w:ascii="宋体" w:hAnsi="宋体" w:eastAsia="仿宋_GB2312"/>
          <w:bCs/>
          <w:sz w:val="28"/>
          <w:szCs w:val="28"/>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80645</wp:posOffset>
                </wp:positionV>
                <wp:extent cx="3005455" cy="1319530"/>
                <wp:effectExtent l="0" t="0" r="23495" b="13970"/>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3005455" cy="131953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2"/>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0.35pt;margin-top:6.35pt;height:103.9pt;width:236.65pt;z-index:251663360;mso-width-relative:page;mso-height-relative:page;" fillcolor="#FFFFFF" filled="t" stroked="t" coordsize="21600,21600" o:gfxdata="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cO/1QAAAAcBAAAPAAAAAAAAAAEAIAAAACIAAABkcnMv&#10;ZG93bnJldi54bWxQSwECFAAUAAAACACHTuJAyEdw2j8CAACJBAAADgAAAAAAAAABACAAAAAk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2"/>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3415030</wp:posOffset>
                </wp:positionH>
                <wp:positionV relativeFrom="paragraph">
                  <wp:posOffset>80645</wp:posOffset>
                </wp:positionV>
                <wp:extent cx="2976245" cy="1310005"/>
                <wp:effectExtent l="0" t="0" r="14605" b="2349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976245" cy="131000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2"/>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68.9pt;margin-top:6.35pt;height:103.15pt;width:234.35pt;z-index:251659264;mso-width-relative:page;mso-height-relative:page;" fillcolor="#FFFFFF" filled="t" stroked="t" coordsize="21600,21600" o:gfxdata="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&#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XwiL2AAAAAsBAAAPAAAAAAAAAAEAIAAAACIAAABk&#10;cnMvZG93bnJldi54bWxQSwECFAAUAAAACACHTuJAtLbr2j8CAACJBAAADgAAAAAAAAABACAAAAAn&#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52"/>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spacing w:line="500" w:lineRule="exact"/>
        <w:ind w:firstLine="555"/>
        <w:jc w:val="left"/>
        <w:rPr>
          <w:rFonts w:hint="eastAsia"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3419475</wp:posOffset>
                </wp:positionH>
                <wp:positionV relativeFrom="paragraph">
                  <wp:posOffset>105410</wp:posOffset>
                </wp:positionV>
                <wp:extent cx="2995930" cy="1233805"/>
                <wp:effectExtent l="0" t="0" r="13970" b="2349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2995930" cy="123380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2"/>
                              <w:ind w:firstLine="1120" w:firstLineChars="4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69.25pt;margin-top:8.3pt;height:97.15pt;width:235.9pt;z-index:251662336;mso-width-relative:page;mso-height-relative:page;" fillcolor="#FFFFFF" filled="t" stroked="t" coordsize="21600,21600" o:gfxdata="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Fk0LYAAAACwEAAA8AAAAAAAAAAQAgAAAAIgAAAGRy&#10;cy9kb3ducmV2LnhtbFBLAQIUABQAAAAIAIdO4kBmwqrh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2"/>
                        <w:ind w:firstLine="1120" w:firstLineChars="400"/>
                        <w:rPr>
                          <w:rFonts w:hint="eastAsia"/>
                        </w:rPr>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110230" cy="1338580"/>
                <wp:effectExtent l="0" t="0" r="13970" b="1397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3110230" cy="13385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2"/>
                              <w:ind w:firstLine="840" w:firstLineChars="300"/>
                              <w:rPr>
                                <w:rFonts w:hint="eastAsia"/>
                              </w:rPr>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pt;margin-top:0pt;height:105.4pt;width:244.9pt;z-index:251661312;mso-width-relative:page;mso-height-relative:page;" fillcolor="#FFFFFF" filled="t" stroked="t" coordsize="21600,21600" o:gfxdata="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pH+31AAAAAUBAAAPAAAAAAAAAAEAIAAAACIAAABkcnMv&#10;ZG93bnJldi54bWxQSwECFAAUAAAACACHTuJAXBtzdEACAACJBAAADgAAAAAAAAABACAAAAAj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52"/>
                        <w:ind w:firstLine="840" w:firstLineChars="300"/>
                        <w:rPr>
                          <w:rFonts w:hint="eastAsia"/>
                        </w:rPr>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after="60"/>
        <w:ind w:left="440"/>
        <w:contextualSpacing/>
        <w:jc w:val="center"/>
        <w:rPr>
          <w:rFonts w:cs="Arial"/>
          <w:b/>
          <w:color w:val="000000"/>
          <w:sz w:val="28"/>
          <w:szCs w:val="28"/>
        </w:rPr>
      </w:pPr>
    </w:p>
    <w:p>
      <w:pPr>
        <w:pStyle w:val="12"/>
        <w:ind w:left="1060" w:hanging="640"/>
      </w:pPr>
    </w:p>
    <w:p>
      <w:pPr>
        <w:pStyle w:val="13"/>
        <w:ind w:right="840"/>
        <w:jc w:val="center"/>
      </w:pPr>
      <w:r>
        <w:rPr>
          <w:rFonts w:hint="eastAsia"/>
        </w:rPr>
        <w:t xml:space="preserve">                                                      </w:t>
      </w:r>
      <w:r>
        <w:rPr>
          <w:rFonts w:hint="eastAsia" w:hAnsi="宋体"/>
          <w:b/>
          <w:bCs/>
        </w:rPr>
        <w:t>投标人单位名称（单位盖公章）：</w:t>
      </w:r>
    </w:p>
    <w:p>
      <w:pPr>
        <w:spacing w:after="60"/>
        <w:ind w:left="440"/>
        <w:contextualSpacing/>
        <w:jc w:val="center"/>
        <w:rPr>
          <w:rFonts w:cs="Arial"/>
          <w:b/>
          <w:color w:val="000000"/>
          <w:sz w:val="28"/>
          <w:szCs w:val="28"/>
        </w:rPr>
      </w:pPr>
      <w:r>
        <w:rPr>
          <w:rFonts w:cs="Arial"/>
          <w:b/>
          <w:color w:val="000000"/>
          <w:sz w:val="28"/>
          <w:szCs w:val="28"/>
        </w:rPr>
        <w:br w:type="page"/>
      </w:r>
      <w:r>
        <w:rPr>
          <w:rFonts w:hint="eastAsia" w:cs="Arial"/>
          <w:b/>
          <w:color w:val="000000"/>
          <w:sz w:val="28"/>
          <w:szCs w:val="28"/>
        </w:rPr>
        <w:t>八、供应商基本情况表</w:t>
      </w:r>
    </w:p>
    <w:p>
      <w:pPr>
        <w:pStyle w:val="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sz w:val="15"/>
          <w:szCs w:val="15"/>
        </w:rPr>
      </w:pPr>
    </w:p>
    <w:tbl>
      <w:tblPr>
        <w:tblStyle w:val="21"/>
        <w:tblW w:w="0" w:type="auto"/>
        <w:jc w:val="center"/>
        <w:tblLayout w:type="fixed"/>
        <w:tblCellMar>
          <w:top w:w="0" w:type="dxa"/>
          <w:left w:w="0" w:type="dxa"/>
          <w:bottom w:w="0" w:type="dxa"/>
          <w:right w:w="0" w:type="dxa"/>
        </w:tblCellMar>
      </w:tblPr>
      <w:tblGrid>
        <w:gridCol w:w="736"/>
        <w:gridCol w:w="676"/>
        <w:gridCol w:w="1606"/>
        <w:gridCol w:w="947"/>
        <w:gridCol w:w="599"/>
        <w:gridCol w:w="1392"/>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r>
              <w:rPr>
                <w:rFonts w:hint="eastAsia" w:ascii="宋体" w:hAnsi="宋体"/>
                <w:szCs w:val="21"/>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68"/>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68"/>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68"/>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line="312" w:lineRule="exact"/>
              <w:ind w:left="257"/>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93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firstLine="245" w:firstLineChars="117"/>
              <w:contextualSpacing/>
              <w:rPr>
                <w:rFonts w:hint="eastAsia" w:ascii="宋体" w:hAnsi="宋体" w:eastAsia="宋体" w:cs="Microsoft JhengHei"/>
                <w:sz w:val="21"/>
                <w:szCs w:val="21"/>
              </w:rPr>
            </w:pPr>
            <w:r>
              <w:rPr>
                <w:rFonts w:ascii="宋体" w:hAnsi="宋体" w:eastAsia="宋体" w:cs="Microsoft JhengHei"/>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p>
          <w:p>
            <w:pPr>
              <w:pStyle w:val="68"/>
              <w:kinsoku w:val="0"/>
              <w:overflowPunct w:val="0"/>
              <w:snapToGrid w:val="0"/>
              <w:ind w:left="2"/>
              <w:contextualSpacing/>
              <w:jc w:val="center"/>
              <w:rPr>
                <w:rFonts w:hint="eastAsia" w:ascii="宋体" w:hAnsi="宋体" w:eastAsia="宋体"/>
                <w:sz w:val="21"/>
                <w:szCs w:val="21"/>
              </w:rPr>
            </w:pP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Chars="-4" w:hanging="8" w:hangingChars="4"/>
              <w:contextualSpacing/>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146"/>
              <w:contextualSpacing/>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210" w:leftChars="-100" w:firstLine="455" w:firstLineChars="217"/>
              <w:contextualSpacing/>
              <w:rPr>
                <w:rFonts w:hint="eastAsia" w:ascii="宋体" w:hAnsi="宋体" w:eastAsia="宋体" w:cs="Microsoft JhengHei"/>
                <w:sz w:val="21"/>
                <w:szCs w:val="21"/>
              </w:rPr>
            </w:pPr>
            <w:r>
              <w:rPr>
                <w:rFonts w:ascii="宋体" w:hAnsi="宋体" w:eastAsia="宋体" w:cs="Microsoft JhengHei"/>
                <w:sz w:val="21"/>
                <w:szCs w:val="21"/>
              </w:rPr>
              <w:t>3</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535"/>
              <w:contextualSpacing/>
              <w:rPr>
                <w:rFonts w:hint="eastAsia" w:ascii="宋体" w:hAnsi="宋体" w:eastAsia="宋体"/>
                <w:sz w:val="21"/>
                <w:szCs w:val="21"/>
              </w:rPr>
            </w:pPr>
            <w:r>
              <w:rPr>
                <w:rFonts w:hint="eastAsia" w:ascii="宋体" w:hAnsi="宋体" w:eastAsia="宋体" w:cs="Microsoft JhengHei"/>
                <w:sz w:val="21"/>
                <w:szCs w:val="21"/>
              </w:rPr>
              <w:t>项目负责人</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Chars="-60" w:hanging="126" w:hangingChars="60"/>
              <w:contextualSpacing/>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415"/>
              <w:contextualSpacing/>
              <w:rPr>
                <w:rFonts w:hint="eastAsia" w:ascii="宋体" w:hAnsi="宋体" w:eastAsia="宋体"/>
                <w:sz w:val="21"/>
                <w:szCs w:val="21"/>
              </w:rPr>
            </w:pPr>
            <w:r>
              <w:rPr>
                <w:rFonts w:hint="eastAsia" w:ascii="宋体" w:hAnsi="宋体" w:eastAsia="宋体" w:cs="Microsoft JhengHei"/>
                <w:sz w:val="21"/>
                <w:szCs w:val="21"/>
              </w:rPr>
              <w:t>主要技术人员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Chars="-60" w:hanging="126" w:hangingChars="60"/>
              <w:contextualSpacing/>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napToGrid w:val="0"/>
              <w:ind w:left="175"/>
              <w:contextualSpacing/>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szCs w:val="21"/>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528" w:type="dxa"/>
            <w:gridSpan w:val="3"/>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243"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8"/>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282" w:type="dxa"/>
            <w:gridSpan w:val="2"/>
            <w:tcBorders>
              <w:top w:val="single" w:color="000000" w:sz="4" w:space="0"/>
              <w:left w:val="single" w:color="000000" w:sz="4" w:space="0"/>
              <w:bottom w:val="single" w:color="000000" w:sz="4" w:space="0"/>
              <w:right w:val="single" w:color="000000" w:sz="4" w:space="0"/>
            </w:tcBorders>
            <w:vAlign w:val="center"/>
          </w:tcPr>
          <w:p>
            <w:pPr>
              <w:pStyle w:val="68"/>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54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Cs w:val="21"/>
              </w:rPr>
            </w:pPr>
          </w:p>
        </w:tc>
        <w:tc>
          <w:tcPr>
            <w:tcW w:w="5528" w:type="dxa"/>
            <w:gridSpan w:val="3"/>
            <w:tcBorders>
              <w:top w:val="single" w:color="000000" w:sz="4" w:space="0"/>
              <w:left w:val="single" w:color="000000" w:sz="4" w:space="0"/>
              <w:bottom w:val="single" w:color="000000" w:sz="4" w:space="0"/>
              <w:right w:val="single" w:color="000000" w:sz="4" w:space="0"/>
            </w:tcBorders>
          </w:tcPr>
          <w:p>
            <w:pPr>
              <w:pStyle w:val="68"/>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68"/>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pStyle w:val="13"/>
        <w:rPr>
          <w:b/>
        </w:rPr>
      </w:pPr>
    </w:p>
    <w:p>
      <w:pPr>
        <w:pStyle w:val="13"/>
        <w:rPr>
          <w:b/>
          <w:sz w:val="24"/>
          <w:szCs w:val="24"/>
        </w:rPr>
      </w:pPr>
      <w:bookmarkStart w:id="12" w:name="_Hlk224295115"/>
      <w:r>
        <w:rPr>
          <w:rFonts w:hint="eastAsia"/>
          <w:b/>
          <w:sz w:val="24"/>
          <w:szCs w:val="24"/>
        </w:rPr>
        <w:t>备注：只要填写在《供应商基本情况表》的人员都要提供</w:t>
      </w:r>
      <w:r>
        <w:rPr>
          <w:b/>
          <w:sz w:val="24"/>
          <w:szCs w:val="24"/>
        </w:rPr>
        <w:t>投标截止日</w:t>
      </w:r>
      <w:r>
        <w:rPr>
          <w:rFonts w:hint="eastAsia"/>
          <w:b/>
          <w:sz w:val="24"/>
          <w:szCs w:val="24"/>
        </w:rPr>
        <w:t>最近一个月社保缴交凭证证明，未提供按招标文件资格审查处理，视为投标无效。</w:t>
      </w:r>
    </w:p>
    <w:p>
      <w:pPr>
        <w:pStyle w:val="50"/>
        <w:spacing w:before="0" w:after="0" w:line="240" w:lineRule="auto"/>
        <w:ind w:firstLine="480"/>
        <w:contextualSpacing/>
        <w:rPr>
          <w:rFonts w:hint="eastAsia" w:ascii="宋体" w:hAnsi="宋体"/>
        </w:rPr>
      </w:pPr>
    </w:p>
    <w:p>
      <w:pPr>
        <w:pStyle w:val="50"/>
        <w:spacing w:before="0" w:after="0" w:line="240" w:lineRule="auto"/>
        <w:ind w:firstLine="480"/>
        <w:contextualSpacing/>
        <w:rPr>
          <w:rFonts w:hint="eastAsia" w:ascii="宋体" w:hAnsi="宋体"/>
        </w:rPr>
      </w:pPr>
      <w:r>
        <w:rPr>
          <w:rFonts w:hint="eastAsia" w:ascii="宋体" w:hAnsi="宋体"/>
        </w:rPr>
        <w:t>1. 投标人为新成立企业且成立时间不足一个月可提供加盖投标人公章的情况说明或者证明材料亦视为符合。</w:t>
      </w:r>
    </w:p>
    <w:p>
      <w:pPr>
        <w:pStyle w:val="50"/>
        <w:spacing w:before="0" w:after="0" w:line="240" w:lineRule="auto"/>
        <w:ind w:firstLine="480"/>
        <w:contextualSpacing/>
        <w:rPr>
          <w:rFonts w:hint="eastAsia" w:ascii="宋体" w:hAnsi="宋体"/>
        </w:rPr>
      </w:pPr>
      <w:r>
        <w:rPr>
          <w:rFonts w:hint="eastAsia" w:ascii="宋体" w:hAnsi="宋体"/>
        </w:rPr>
        <w:t>2. 若为退休人员，提供退休证明并提供与劳动合同或返聘协议，无需提供相关人员社保，亦视为符合。</w:t>
      </w:r>
    </w:p>
    <w:p>
      <w:pPr>
        <w:pStyle w:val="50"/>
        <w:spacing w:before="0" w:after="0" w:line="240" w:lineRule="auto"/>
        <w:ind w:firstLine="480"/>
        <w:contextualSpacing/>
        <w:rPr>
          <w:rFonts w:hint="eastAsia" w:ascii="宋体" w:hAnsi="宋体"/>
        </w:rPr>
      </w:pPr>
      <w:r>
        <w:rPr>
          <w:rFonts w:hint="eastAsia" w:ascii="宋体" w:hAnsi="宋体"/>
        </w:rPr>
        <w:t>3. 如依法不需要缴纳社会保险的，提供相应文件证明。</w:t>
      </w:r>
    </w:p>
    <w:p>
      <w:pPr>
        <w:pStyle w:val="50"/>
        <w:spacing w:before="0" w:after="0" w:line="240" w:lineRule="auto"/>
        <w:ind w:firstLine="480"/>
        <w:contextualSpacing/>
        <w:rPr>
          <w:rFonts w:hint="eastAsia" w:ascii="宋体" w:hAnsi="宋体"/>
        </w:rPr>
      </w:pPr>
      <w:r>
        <w:rPr>
          <w:rFonts w:hint="eastAsia" w:ascii="宋体" w:hAnsi="宋体"/>
        </w:rPr>
        <w:t>4. 若因为社保部门或税务部门原因无法提供的，需提供劳动合同及社保部门或税务部门官方通知证明（或官网公告截图）。</w:t>
      </w:r>
    </w:p>
    <w:p>
      <w:pPr>
        <w:pStyle w:val="50"/>
        <w:spacing w:before="0" w:after="0" w:line="240" w:lineRule="auto"/>
        <w:ind w:firstLine="480"/>
        <w:contextualSpacing/>
        <w:rPr>
          <w:rFonts w:hint="eastAsia" w:ascii="宋体" w:hAnsi="宋体"/>
        </w:rPr>
      </w:pPr>
      <w:r>
        <w:rPr>
          <w:rFonts w:hint="eastAsia" w:ascii="宋体" w:hAnsi="宋体"/>
        </w:rPr>
        <w:t>5. 如本项目未安排项目投标授权代表人、项目负责人、主要技术人员的，无需提供投标授权代表人、项目负责人、主要技术人员的社保。</w:t>
      </w:r>
    </w:p>
    <w:p>
      <w:pPr>
        <w:pStyle w:val="50"/>
        <w:spacing w:before="0" w:after="0" w:line="240" w:lineRule="auto"/>
        <w:ind w:firstLine="480"/>
        <w:contextualSpacing/>
        <w:rPr>
          <w:rFonts w:hint="eastAsia" w:ascii="宋体" w:hAnsi="宋体"/>
        </w:rPr>
      </w:pPr>
      <w:r>
        <w:rPr>
          <w:rFonts w:hint="eastAsia" w:ascii="宋体" w:hAnsi="宋体"/>
        </w:rPr>
        <w:t>6. 主要经营负责人即实际控制人，是指通过投资关系、协议或者其他安排，能够实际支配公司行为的人。如投标人无主要经营负责人的，无需提供主要经营负责人的社保。</w:t>
      </w:r>
    </w:p>
    <w:p>
      <w:pPr>
        <w:pStyle w:val="50"/>
        <w:spacing w:before="0" w:after="0" w:line="240" w:lineRule="auto"/>
        <w:ind w:firstLine="480"/>
        <w:contextualSpacing/>
        <w:rPr>
          <w:rFonts w:hint="eastAsia" w:ascii="宋体" w:hAnsi="宋体"/>
        </w:rPr>
      </w:pPr>
      <w:r>
        <w:rPr>
          <w:rFonts w:hint="eastAsia" w:ascii="宋体" w:hAnsi="宋体"/>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pStyle w:val="12"/>
        <w:ind w:left="900" w:hanging="480"/>
        <w:rPr>
          <w:rFonts w:hint="eastAsia" w:ascii="宋体" w:hAnsi="宋体" w:eastAsia="宋体"/>
          <w:sz w:val="24"/>
          <w:szCs w:val="24"/>
        </w:rPr>
      </w:pPr>
    </w:p>
    <w:p>
      <w:pPr>
        <w:widowControl/>
        <w:jc w:val="left"/>
        <w:rPr>
          <w:rFonts w:hint="eastAsia" w:ascii="宋体" w:hAnsi="宋体"/>
          <w:b/>
          <w:bCs/>
          <w:sz w:val="24"/>
          <w:highlight w:val="yellow"/>
        </w:rPr>
      </w:pPr>
      <w:r>
        <w:rPr>
          <w:rFonts w:ascii="宋体" w:hAnsi="宋体"/>
          <w:b/>
          <w:bCs/>
          <w:sz w:val="24"/>
          <w:highlight w:val="yellow"/>
        </w:rPr>
        <w:t>如存在上述情形，供应商资格审查不通过，不得参与本次</w:t>
      </w:r>
      <w:r>
        <w:rPr>
          <w:rFonts w:hint="eastAsia" w:ascii="宋体" w:hAnsi="宋体"/>
          <w:b/>
          <w:bCs/>
          <w:sz w:val="24"/>
          <w:highlight w:val="yellow"/>
        </w:rPr>
        <w:t>项目</w:t>
      </w:r>
      <w:r>
        <w:rPr>
          <w:rFonts w:ascii="宋体" w:hAnsi="宋体"/>
          <w:b/>
          <w:bCs/>
          <w:sz w:val="24"/>
          <w:highlight w:val="yellow"/>
        </w:rPr>
        <w:t>采购活动。</w:t>
      </w:r>
    </w:p>
    <w:p>
      <w:pPr>
        <w:pStyle w:val="12"/>
        <w:ind w:left="900" w:hanging="480"/>
        <w:rPr>
          <w:rFonts w:hint="eastAsia" w:ascii="宋体" w:hAnsi="宋体" w:eastAsia="宋体"/>
          <w:sz w:val="24"/>
          <w:szCs w:val="24"/>
        </w:rPr>
      </w:pPr>
    </w:p>
    <w:p>
      <w:pPr>
        <w:pStyle w:val="12"/>
        <w:ind w:left="902" w:hanging="482"/>
        <w:rPr>
          <w:rFonts w:hint="eastAsia" w:ascii="宋体" w:hAnsi="宋体" w:eastAsia="宋体"/>
          <w:b/>
          <w:bCs/>
          <w:sz w:val="24"/>
          <w:szCs w:val="24"/>
        </w:rPr>
      </w:pPr>
      <w:r>
        <w:rPr>
          <w:rFonts w:hint="eastAsia" w:ascii="宋体" w:hAnsi="宋体" w:eastAsia="宋体"/>
          <w:b/>
          <w:bCs/>
          <w:sz w:val="24"/>
          <w:szCs w:val="24"/>
        </w:rPr>
        <w:t>社保缴纳情况证明材料：</w:t>
      </w:r>
    </w:p>
    <w:bookmarkEnd w:id="12"/>
    <w:p>
      <w:pPr>
        <w:pStyle w:val="13"/>
        <w:rPr>
          <w:sz w:val="24"/>
          <w:szCs w:val="24"/>
        </w:rPr>
      </w:pPr>
    </w:p>
    <w:p>
      <w:pPr>
        <w:pStyle w:val="13"/>
      </w:pPr>
    </w:p>
    <w:p>
      <w:pPr>
        <w:pStyle w:val="13"/>
      </w:pPr>
    </w:p>
    <w:p>
      <w:pPr>
        <w:pStyle w:val="13"/>
      </w:pPr>
    </w:p>
    <w:p>
      <w:pPr>
        <w:pStyle w:val="13"/>
      </w:pPr>
    </w:p>
    <w:p>
      <w:pPr>
        <w:pStyle w:val="13"/>
      </w:pPr>
      <w:r>
        <w:rPr>
          <w:rFonts w:hint="eastAsia"/>
        </w:rPr>
        <w:t xml:space="preserve">                                                                </w:t>
      </w:r>
      <w:r>
        <w:rPr>
          <w:rFonts w:hint="eastAsia" w:hAnsi="宋体"/>
          <w:b/>
          <w:bCs/>
        </w:rPr>
        <w:t>投标人单位名称（单位盖公章）：</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39"/>
        <w:numPr>
          <w:ilvl w:val="0"/>
          <w:numId w:val="3"/>
        </w:numPr>
        <w:spacing w:after="60"/>
        <w:ind w:firstLineChars="0"/>
        <w:contextualSpacing/>
        <w:jc w:val="center"/>
        <w:rPr>
          <w:rFonts w:hint="eastAsia" w:ascii="宋体" w:hAnsi="宋体" w:eastAsia="宋体"/>
          <w:szCs w:val="21"/>
        </w:rPr>
      </w:pPr>
      <w:bookmarkStart w:id="13" w:name="_Hlk224298471"/>
      <w:r>
        <w:rPr>
          <w:rFonts w:hint="eastAsia" w:ascii="宋体" w:hAnsi="宋体" w:eastAsia="宋体"/>
          <w:b/>
          <w:color w:val="000000"/>
          <w:sz w:val="28"/>
          <w:szCs w:val="28"/>
        </w:rPr>
        <w:t>投标供应商资格证明文件</w:t>
      </w:r>
    </w:p>
    <w:p>
      <w:pPr>
        <w:snapToGrid w:val="0"/>
        <w:ind w:firstLine="562" w:firstLineChars="200"/>
        <w:contextualSpacing/>
        <w:rPr>
          <w:rFonts w:cs="Arial"/>
          <w:b/>
          <w:color w:val="000000"/>
          <w:sz w:val="28"/>
          <w:szCs w:val="28"/>
        </w:rPr>
      </w:pPr>
    </w:p>
    <w:p>
      <w:pPr>
        <w:pStyle w:val="12"/>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营业证照(扫描件或复印件加盖公章)</w:t>
      </w:r>
    </w:p>
    <w:p>
      <w:pPr>
        <w:pStyle w:val="13"/>
      </w:pPr>
    </w:p>
    <w:p>
      <w:pPr>
        <w:pStyle w:val="12"/>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“投标人资格要求”要求的其他资质证明文件</w:t>
      </w:r>
    </w:p>
    <w:p>
      <w:pPr>
        <w:pStyle w:val="12"/>
        <w:ind w:left="900" w:hanging="480"/>
        <w:rPr>
          <w:rFonts w:hint="eastAsia" w:ascii="宋体" w:hAnsi="宋体" w:eastAsia="宋体"/>
          <w:sz w:val="24"/>
          <w:szCs w:val="24"/>
        </w:rPr>
      </w:pPr>
    </w:p>
    <w:p>
      <w:pPr>
        <w:pStyle w:val="12"/>
        <w:numPr>
          <w:ilvl w:val="3"/>
          <w:numId w:val="2"/>
        </w:numPr>
        <w:ind w:leftChars="0" w:firstLineChars="0"/>
        <w:rPr>
          <w:rFonts w:hint="eastAsia" w:ascii="宋体" w:hAnsi="宋体" w:eastAsia="宋体"/>
          <w:sz w:val="24"/>
          <w:szCs w:val="24"/>
        </w:rPr>
      </w:pPr>
      <w:r>
        <w:rPr>
          <w:rFonts w:hint="eastAsia" w:ascii="宋体" w:hAnsi="宋体" w:eastAsia="宋体"/>
          <w:sz w:val="24"/>
          <w:szCs w:val="24"/>
        </w:rPr>
        <w:t>其它招标文件要求的资格证明文件</w:t>
      </w: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60" w:line="360" w:lineRule="auto"/>
        <w:ind w:firstLine="281" w:firstLineChars="100"/>
        <w:jc w:val="center"/>
        <w:rPr>
          <w:rFonts w:cs="Arial"/>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12"/>
        <w:ind w:left="1060" w:hanging="640"/>
      </w:pPr>
    </w:p>
    <w:p>
      <w:pPr>
        <w:pStyle w:val="13"/>
      </w:pPr>
    </w:p>
    <w:p>
      <w:pPr>
        <w:pStyle w:val="13"/>
      </w:pPr>
      <w:r>
        <w:rPr>
          <w:rFonts w:hint="eastAsia"/>
        </w:rPr>
        <w:t xml:space="preserve">                                      </w:t>
      </w:r>
      <w:r>
        <w:t xml:space="preserve"> </w:t>
      </w:r>
      <w:bookmarkStart w:id="14" w:name="_Hlk224298529"/>
      <w:r>
        <w:rPr>
          <w:rFonts w:hint="eastAsia"/>
          <w:b/>
          <w:bCs/>
        </w:rPr>
        <w:t>投标人单位名称（单位盖公章）：</w:t>
      </w:r>
      <w:bookmarkEnd w:id="14"/>
    </w:p>
    <w:p>
      <w:pPr>
        <w:pStyle w:val="13"/>
      </w:pPr>
    </w:p>
    <w:p>
      <w:pPr>
        <w:pStyle w:val="13"/>
      </w:pPr>
    </w:p>
    <w:p>
      <w:pPr>
        <w:pStyle w:val="13"/>
      </w:pPr>
    </w:p>
    <w:p>
      <w:pPr>
        <w:pStyle w:val="13"/>
      </w:pPr>
    </w:p>
    <w:p>
      <w:pPr>
        <w:pStyle w:val="13"/>
      </w:pPr>
    </w:p>
    <w:bookmarkEnd w:id="13"/>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after="60"/>
        <w:ind w:firstLine="2811" w:firstLineChars="1000"/>
        <w:rPr>
          <w:rFonts w:cs="Arial"/>
          <w:b/>
          <w:sz w:val="28"/>
          <w:szCs w:val="28"/>
        </w:rPr>
      </w:pPr>
      <w:r>
        <w:rPr>
          <w:rFonts w:hint="eastAsia" w:cs="Arial"/>
          <w:b/>
          <w:sz w:val="28"/>
          <w:szCs w:val="28"/>
        </w:rPr>
        <w:t>十</w:t>
      </w:r>
      <w:r>
        <w:rPr>
          <w:rFonts w:hint="eastAsia" w:ascii="微软雅黑" w:hAnsi="微软雅黑" w:eastAsia="微软雅黑" w:cs="微软雅黑"/>
          <w:b/>
          <w:sz w:val="28"/>
          <w:szCs w:val="28"/>
        </w:rPr>
        <w:t>､</w:t>
      </w:r>
      <w:r>
        <w:rPr>
          <w:rFonts w:hint="eastAsia" w:cs="Arial"/>
          <w:b/>
          <w:sz w:val="28"/>
          <w:szCs w:val="28"/>
        </w:rPr>
        <w:t>采购违法行为风险知悉确认书</w:t>
      </w:r>
    </w:p>
    <w:p>
      <w:pPr>
        <w:contextualSpacing/>
        <w:rPr>
          <w:rFonts w:hint="eastAsia" w:ascii="宋体" w:hAnsi="宋体"/>
          <w:sz w:val="18"/>
          <w:szCs w:val="18"/>
        </w:rPr>
      </w:pPr>
      <w:r>
        <w:rPr>
          <w:rFonts w:hint="eastAsia" w:ascii="宋体" w:hAnsi="宋体"/>
          <w:sz w:val="18"/>
          <w:szCs w:val="18"/>
        </w:rPr>
        <w:t>致：</w:t>
      </w:r>
      <w:r>
        <w:rPr>
          <w:rFonts w:hint="eastAsia" w:ascii="宋体" w:hAnsi="宋体"/>
          <w:kern w:val="0"/>
          <w:sz w:val="18"/>
          <w:szCs w:val="18"/>
        </w:rPr>
        <w:t>深圳市宝安区人民医院:</w:t>
      </w:r>
    </w:p>
    <w:p>
      <w:pPr>
        <w:ind w:firstLine="360" w:firstLineChars="200"/>
        <w:contextualSpacing/>
        <w:rPr>
          <w:rFonts w:hint="eastAsia" w:ascii="宋体" w:hAnsi="宋体" w:cs="等线"/>
          <w:kern w:val="0"/>
          <w:sz w:val="18"/>
          <w:szCs w:val="18"/>
        </w:rPr>
      </w:pPr>
      <w:r>
        <w:rPr>
          <w:rFonts w:hint="eastAsia" w:ascii="宋体" w:hAnsi="宋体" w:cs="等线"/>
          <w:sz w:val="18"/>
          <w:szCs w:val="18"/>
        </w:rPr>
        <w:t>本公司在投标前已充分知悉以下情形为参与贵院院内公开采购活动时的重大风险事项，并承诺已对下述风险提示事项重点排查，做到严谨、诚信、依法依规参与采购活动。</w:t>
      </w:r>
    </w:p>
    <w:p>
      <w:pPr>
        <w:ind w:firstLine="361" w:firstLineChars="200"/>
        <w:contextualSpacing/>
        <w:rPr>
          <w:rFonts w:hint="eastAsia" w:ascii="宋体" w:hAnsi="宋体" w:cs="等线"/>
          <w:sz w:val="18"/>
          <w:szCs w:val="18"/>
        </w:rPr>
      </w:pPr>
      <w:r>
        <w:rPr>
          <w:rFonts w:hint="eastAsia" w:ascii="宋体" w:hAnsi="宋体" w:cs="等线"/>
          <w:b/>
          <w:bCs/>
          <w:sz w:val="18"/>
          <w:szCs w:val="18"/>
        </w:rPr>
        <w:t>一、本公司已充分知悉“隐瞒真实情况，提供虚假资料”的法定情形，相关情形包括但不限于</w:t>
      </w:r>
      <w:r>
        <w:rPr>
          <w:rFonts w:hint="eastAsia" w:ascii="宋体" w:hAnsi="宋体" w:cs="等线"/>
          <w:sz w:val="18"/>
          <w:szCs w:val="18"/>
        </w:rPr>
        <w:t>：</w:t>
      </w:r>
    </w:p>
    <w:p>
      <w:pPr>
        <w:ind w:firstLine="360" w:firstLineChars="200"/>
        <w:contextualSpacing/>
        <w:rPr>
          <w:rFonts w:hint="eastAsia" w:ascii="宋体" w:hAnsi="宋体" w:cs="等线"/>
          <w:sz w:val="18"/>
          <w:szCs w:val="18"/>
        </w:rPr>
      </w:pPr>
      <w:r>
        <w:rPr>
          <w:rFonts w:hint="eastAsia" w:ascii="宋体" w:hAnsi="宋体" w:cs="等线"/>
          <w:sz w:val="18"/>
          <w:szCs w:val="18"/>
        </w:rPr>
        <w:t>（一）通过转让或者租借等方式从其他单位获取资格或者资质证书投标的。</w:t>
      </w:r>
    </w:p>
    <w:p>
      <w:pPr>
        <w:ind w:firstLine="360" w:firstLineChars="200"/>
        <w:contextualSpacing/>
        <w:rPr>
          <w:rFonts w:hint="eastAsia" w:ascii="宋体" w:hAnsi="宋体" w:cs="等线"/>
          <w:sz w:val="18"/>
          <w:szCs w:val="18"/>
        </w:rPr>
      </w:pPr>
      <w:r>
        <w:rPr>
          <w:rFonts w:hint="eastAsia" w:ascii="宋体" w:hAnsi="宋体" w:cs="等线"/>
          <w:sz w:val="18"/>
          <w:szCs w:val="18"/>
        </w:rPr>
        <w:t>（二）由其他单位或者其他单位负责人在投标供应商编制的投标文件上加盖印章或者签字的。</w:t>
      </w:r>
    </w:p>
    <w:p>
      <w:pPr>
        <w:ind w:firstLine="360" w:firstLineChars="200"/>
        <w:contextualSpacing/>
        <w:rPr>
          <w:rFonts w:hint="eastAsia" w:ascii="宋体" w:hAnsi="宋体" w:cs="等线"/>
          <w:sz w:val="18"/>
          <w:szCs w:val="18"/>
        </w:rPr>
      </w:pPr>
      <w:r>
        <w:rPr>
          <w:rFonts w:hint="eastAsia" w:ascii="宋体" w:hAnsi="宋体" w:cs="等线"/>
          <w:sz w:val="18"/>
          <w:szCs w:val="18"/>
        </w:rPr>
        <w:t>（三）项目负责人或者主要技术人员不是本单位人员的。</w:t>
      </w:r>
    </w:p>
    <w:p>
      <w:pPr>
        <w:ind w:firstLine="360" w:firstLineChars="200"/>
        <w:contextualSpacing/>
        <w:rPr>
          <w:rFonts w:hint="eastAsia" w:ascii="宋体" w:hAnsi="宋体" w:cs="等线"/>
          <w:sz w:val="18"/>
          <w:szCs w:val="18"/>
        </w:rPr>
      </w:pPr>
      <w:r>
        <w:rPr>
          <w:rFonts w:hint="eastAsia" w:ascii="宋体" w:hAnsi="宋体" w:cs="等线"/>
          <w:sz w:val="18"/>
          <w:szCs w:val="18"/>
        </w:rPr>
        <w:t>（四）投标保证金不是从投标供应商基本账户转出的。</w:t>
      </w:r>
    </w:p>
    <w:p>
      <w:pPr>
        <w:ind w:firstLine="360" w:firstLineChars="200"/>
        <w:contextualSpacing/>
        <w:rPr>
          <w:rFonts w:hint="eastAsia" w:ascii="宋体" w:hAnsi="宋体" w:cs="等线"/>
          <w:sz w:val="18"/>
          <w:szCs w:val="18"/>
        </w:rPr>
      </w:pPr>
      <w:r>
        <w:rPr>
          <w:rFonts w:hint="eastAsia" w:ascii="宋体" w:hAnsi="宋体" w:cs="等线"/>
          <w:sz w:val="18"/>
          <w:szCs w:val="18"/>
        </w:rPr>
        <w:t>（五）其他隐瞒真实情况、提供虚假资料的行为。</w:t>
      </w:r>
    </w:p>
    <w:p>
      <w:pPr>
        <w:ind w:firstLine="361" w:firstLineChars="200"/>
        <w:contextualSpacing/>
        <w:rPr>
          <w:rFonts w:hint="eastAsia" w:ascii="宋体" w:hAnsi="宋体" w:cs="等线"/>
          <w:sz w:val="18"/>
          <w:szCs w:val="18"/>
        </w:rPr>
      </w:pPr>
      <w:r>
        <w:rPr>
          <w:rFonts w:hint="eastAsia" w:ascii="宋体" w:hAnsi="宋体" w:cs="等线"/>
          <w:b/>
          <w:bCs/>
          <w:sz w:val="18"/>
          <w:szCs w:val="18"/>
        </w:rPr>
        <w:t>二、本公司已充分知悉“与其他采购参加人串通投标”的法定情形，相关情形包括但不限于：</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（一）投标供应商之间相互约定给予未中标的供应商利益补偿。 </w:t>
      </w:r>
    </w:p>
    <w:p>
      <w:pPr>
        <w:ind w:firstLine="360" w:firstLineChars="200"/>
        <w:contextualSpacing/>
        <w:rPr>
          <w:rFonts w:hint="eastAsia" w:ascii="宋体" w:hAnsi="宋体" w:cs="等线"/>
          <w:sz w:val="18"/>
          <w:szCs w:val="18"/>
        </w:rPr>
      </w:pPr>
      <w:r>
        <w:rPr>
          <w:rFonts w:hint="eastAsia" w:ascii="宋体" w:hAnsi="宋体" w:cs="等线"/>
          <w:sz w:val="18"/>
          <w:szCs w:val="18"/>
        </w:rPr>
        <w:t>（二）不同投标供应商的法定代表人、主要经营负责人、项目投标授权代表人、项目负责人、主要技术人员为同一人、属同一单位或者在同一单位缴纳社会保险。</w:t>
      </w:r>
    </w:p>
    <w:p>
      <w:pPr>
        <w:ind w:firstLine="360" w:firstLineChars="200"/>
        <w:contextualSpacing/>
        <w:rPr>
          <w:rFonts w:hint="eastAsia" w:ascii="宋体" w:hAnsi="宋体" w:cs="等线"/>
          <w:sz w:val="18"/>
          <w:szCs w:val="18"/>
        </w:rPr>
      </w:pPr>
      <w:r>
        <w:rPr>
          <w:rFonts w:hint="eastAsia" w:ascii="宋体" w:hAnsi="宋体" w:cs="等线"/>
          <w:sz w:val="18"/>
          <w:szCs w:val="18"/>
        </w:rPr>
        <w:t>（三）不同投标供应商的投标文件由同一单位或者同一人编制，或者由同一人分阶段参与编制的。</w:t>
      </w:r>
    </w:p>
    <w:p>
      <w:pPr>
        <w:ind w:firstLine="360" w:firstLineChars="200"/>
        <w:contextualSpacing/>
        <w:rPr>
          <w:rFonts w:hint="eastAsia" w:ascii="宋体" w:hAnsi="宋体" w:cs="等线"/>
          <w:sz w:val="18"/>
          <w:szCs w:val="18"/>
        </w:rPr>
      </w:pPr>
      <w:r>
        <w:rPr>
          <w:rFonts w:hint="eastAsia" w:ascii="宋体" w:hAnsi="宋体" w:cs="等线"/>
          <w:sz w:val="18"/>
          <w:szCs w:val="18"/>
        </w:rPr>
        <w:t>（四）不同投标供应商的投标文件或部分投标文件相互混装。</w:t>
      </w:r>
    </w:p>
    <w:p>
      <w:pPr>
        <w:ind w:firstLine="360" w:firstLineChars="200"/>
        <w:contextualSpacing/>
        <w:rPr>
          <w:rFonts w:hint="eastAsia" w:ascii="宋体" w:hAnsi="宋体" w:cs="等线"/>
          <w:sz w:val="18"/>
          <w:szCs w:val="18"/>
        </w:rPr>
      </w:pPr>
      <w:r>
        <w:rPr>
          <w:rFonts w:hint="eastAsia" w:ascii="宋体" w:hAnsi="宋体" w:cs="等线"/>
          <w:sz w:val="18"/>
          <w:szCs w:val="18"/>
        </w:rPr>
        <w:t>（五）不同投标供应商的投标文件内容存在非正常一致。</w:t>
      </w:r>
    </w:p>
    <w:p>
      <w:pPr>
        <w:ind w:firstLine="360" w:firstLineChars="200"/>
        <w:contextualSpacing/>
        <w:rPr>
          <w:rFonts w:hint="eastAsia" w:ascii="宋体" w:hAnsi="宋体" w:cs="等线"/>
          <w:sz w:val="18"/>
          <w:szCs w:val="18"/>
        </w:rPr>
      </w:pPr>
      <w:r>
        <w:rPr>
          <w:rFonts w:hint="eastAsia" w:ascii="宋体" w:hAnsi="宋体" w:cs="等线"/>
          <w:sz w:val="18"/>
          <w:szCs w:val="18"/>
        </w:rPr>
        <w:t>（六）由同一单位工作人员为两家以上（含两家）供应商进行同一项投标活动的。</w:t>
      </w:r>
    </w:p>
    <w:p>
      <w:pPr>
        <w:ind w:firstLine="360" w:firstLineChars="200"/>
        <w:contextualSpacing/>
        <w:rPr>
          <w:rFonts w:hint="eastAsia" w:ascii="宋体" w:hAnsi="宋体" w:cs="等线"/>
          <w:sz w:val="18"/>
          <w:szCs w:val="18"/>
        </w:rPr>
      </w:pPr>
      <w:r>
        <w:rPr>
          <w:rFonts w:hint="eastAsia" w:ascii="宋体" w:hAnsi="宋体" w:cs="等线"/>
          <w:sz w:val="18"/>
          <w:szCs w:val="18"/>
        </w:rPr>
        <w:t>（七）不同投标人的投标报价呈规律性差异。</w:t>
      </w:r>
    </w:p>
    <w:p>
      <w:pPr>
        <w:ind w:firstLine="360" w:firstLineChars="200"/>
        <w:contextualSpacing/>
        <w:rPr>
          <w:rFonts w:hint="eastAsia" w:ascii="宋体" w:hAnsi="宋体" w:cs="等线"/>
          <w:sz w:val="18"/>
          <w:szCs w:val="18"/>
        </w:rPr>
      </w:pPr>
      <w:r>
        <w:rPr>
          <w:rFonts w:hint="eastAsia" w:ascii="宋体" w:hAnsi="宋体" w:cs="等线"/>
          <w:sz w:val="18"/>
          <w:szCs w:val="18"/>
        </w:rPr>
        <w:t>（八）不同投标人的投标保证金从同一单位或者个人的账户转出。</w:t>
      </w:r>
    </w:p>
    <w:p>
      <w:pPr>
        <w:ind w:firstLine="360" w:firstLineChars="200"/>
        <w:contextualSpacing/>
        <w:rPr>
          <w:rFonts w:hint="eastAsia" w:ascii="宋体" w:hAnsi="宋体" w:cs="等线"/>
          <w:sz w:val="18"/>
          <w:szCs w:val="18"/>
        </w:rPr>
      </w:pPr>
      <w:r>
        <w:rPr>
          <w:rFonts w:hint="eastAsia" w:ascii="宋体" w:hAnsi="宋体" w:cs="等线"/>
          <w:sz w:val="18"/>
          <w:szCs w:val="18"/>
        </w:rPr>
        <w:t>（九）主管部门依照法律、法规认定的其他情形。</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三、本公司已充分知悉下列情形所对应的法律风险，并在投标前已对相关风险事项进行排查。</w:t>
      </w:r>
    </w:p>
    <w:p>
      <w:pPr>
        <w:ind w:firstLine="360" w:firstLineChars="200"/>
        <w:contextualSpacing/>
        <w:rPr>
          <w:rFonts w:hint="eastAsia" w:ascii="宋体" w:hAnsi="宋体" w:cs="等线"/>
          <w:b/>
          <w:bCs/>
          <w:sz w:val="18"/>
          <w:szCs w:val="18"/>
        </w:rPr>
      </w:pPr>
      <w:r>
        <w:rPr>
          <w:rFonts w:hint="eastAsia" w:ascii="宋体" w:hAnsi="宋体" w:cs="等线"/>
          <w:sz w:val="18"/>
          <w:szCs w:val="18"/>
        </w:rPr>
        <w:t>（一）对于从其他主体获取的投标资料，供应商应审慎核查，确保投标资料的真实性。</w:t>
      </w:r>
      <w:r>
        <w:rPr>
          <w:rFonts w:hint="eastAsia" w:ascii="宋体" w:hAnsi="宋体" w:cs="等线"/>
          <w:b/>
          <w:bCs/>
          <w:sz w:val="18"/>
          <w:szCs w:val="18"/>
        </w:rPr>
        <w:t>如主管部门查实投标文件中存在虚假资料的，无论相关资料是否由第三方或本公司员工提供，均不影响主管部门对供应商存在“隐瞒真实情况，提供虚假资料”违法行为的认定。</w:t>
      </w:r>
    </w:p>
    <w:p>
      <w:pPr>
        <w:ind w:firstLine="360" w:firstLineChars="200"/>
        <w:contextualSpacing/>
        <w:rPr>
          <w:rFonts w:hint="eastAsia" w:ascii="宋体" w:hAnsi="宋体" w:cs="等线"/>
          <w:sz w:val="18"/>
          <w:szCs w:val="18"/>
        </w:rPr>
      </w:pPr>
      <w:r>
        <w:rPr>
          <w:rFonts w:hint="eastAsia" w:ascii="宋体" w:hAnsi="宋体" w:cs="等线"/>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 xml:space="preserve">（三）对于涉及安全生产、特种作业、抢险救灾、防疫等采购项目，供应商实施提供虚假资料、串通投标等违法行为的，主管部门将依法从严处理。 </w:t>
      </w:r>
    </w:p>
    <w:p>
      <w:pPr>
        <w:ind w:firstLine="360" w:firstLineChars="200"/>
        <w:contextualSpacing/>
        <w:rPr>
          <w:rFonts w:hint="eastAsia" w:ascii="宋体" w:hAnsi="宋体" w:cs="等线"/>
          <w:sz w:val="18"/>
          <w:szCs w:val="18"/>
        </w:rPr>
      </w:pPr>
      <w:r>
        <w:rPr>
          <w:rFonts w:hint="eastAsia" w:ascii="宋体" w:hAnsi="宋体" w:cs="等线"/>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360" w:firstLineChars="200"/>
        <w:contextualSpacing/>
        <w:rPr>
          <w:rFonts w:hint="eastAsia" w:ascii="宋体" w:hAnsi="宋体" w:cs="等线"/>
          <w:sz w:val="18"/>
          <w:szCs w:val="18"/>
        </w:rPr>
      </w:pPr>
      <w:r>
        <w:rPr>
          <w:rFonts w:hint="eastAsia" w:ascii="宋体" w:hAnsi="宋体" w:cs="等线"/>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pPr>
        <w:ind w:firstLine="361" w:firstLineChars="200"/>
        <w:contextualSpacing/>
        <w:rPr>
          <w:rFonts w:hint="eastAsia" w:ascii="宋体" w:hAnsi="宋体" w:cs="等线"/>
          <w:b/>
          <w:bCs/>
          <w:sz w:val="18"/>
          <w:szCs w:val="18"/>
        </w:rPr>
      </w:pPr>
      <w:r>
        <w:rPr>
          <w:rFonts w:hint="eastAsia" w:ascii="宋体" w:hAnsi="宋体" w:cs="等线"/>
          <w:b/>
          <w:bCs/>
          <w:sz w:val="18"/>
          <w:szCs w:val="18"/>
        </w:rPr>
        <w:t>四、本公司已充分知悉采购违法、违规行为的法律后果。</w:t>
      </w:r>
    </w:p>
    <w:p>
      <w:pPr>
        <w:ind w:firstLine="360" w:firstLineChars="200"/>
        <w:contextualSpacing/>
        <w:rPr>
          <w:rFonts w:hint="eastAsia" w:ascii="宋体" w:hAnsi="宋体" w:cs="等线"/>
          <w:b/>
          <w:bCs/>
          <w:sz w:val="18"/>
          <w:szCs w:val="18"/>
        </w:rPr>
      </w:pPr>
      <w:r>
        <w:rPr>
          <w:rFonts w:hint="eastAsia" w:ascii="宋体" w:hAnsi="宋体" w:cs="等线"/>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361" w:firstLineChars="200"/>
        <w:contextualSpacing/>
        <w:rPr>
          <w:rFonts w:hint="eastAsia" w:ascii="宋体" w:hAnsi="宋体" w:cs="等线"/>
          <w:b/>
          <w:bCs/>
          <w:sz w:val="18"/>
          <w:szCs w:val="18"/>
        </w:rPr>
      </w:pPr>
      <w:r>
        <w:rPr>
          <w:rFonts w:hint="eastAsia" w:ascii="宋体" w:hAnsi="宋体" w:cs="等线"/>
          <w:b/>
          <w:bCs/>
          <w:sz w:val="18"/>
          <w:szCs w:val="18"/>
          <w:highlight w:val="yellow"/>
        </w:rPr>
        <w:t>以下文字请投标供应商抄写并确认</w:t>
      </w:r>
      <w:r>
        <w:rPr>
          <w:rFonts w:hint="eastAsia" w:ascii="宋体" w:hAnsi="宋体" w:cs="等线"/>
          <w:b/>
          <w:bCs/>
          <w:sz w:val="18"/>
          <w:szCs w:val="18"/>
        </w:rPr>
        <w:t>：“本公司已仔细阅读《采购违法行为风险知悉确认书》，充分知悉违法行为的法律后果，并承诺将严谨、诚信、依法依规参与采购活动”。</w:t>
      </w:r>
    </w:p>
    <w:p>
      <w:pPr>
        <w:contextualSpacing/>
        <w:rPr>
          <w:rFonts w:hint="eastAsia" w:ascii="宋体" w:hAnsi="宋体" w:cs="等线"/>
          <w:sz w:val="18"/>
          <w:szCs w:val="18"/>
          <w:u w:val="single"/>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u w:val="single"/>
        </w:rPr>
        <w:t xml:space="preserve">                                                                                                                   </w:t>
      </w:r>
    </w:p>
    <w:p>
      <w:pPr>
        <w:contextualSpacing/>
        <w:rPr>
          <w:rFonts w:hint="eastAsia" w:ascii="宋体" w:hAnsi="宋体" w:cs="等线"/>
          <w:sz w:val="18"/>
          <w:szCs w:val="18"/>
        </w:rPr>
      </w:pPr>
      <w:r>
        <w:rPr>
          <w:rFonts w:hint="eastAsia" w:ascii="宋体" w:hAnsi="宋体" w:cs="等线"/>
          <w:sz w:val="18"/>
          <w:szCs w:val="18"/>
        </w:rPr>
        <w:t xml:space="preserve">                                                                               负责人/投标授权代表签名：</w:t>
      </w:r>
    </w:p>
    <w:p>
      <w:pPr>
        <w:ind w:firstLine="7560" w:firstLineChars="4200"/>
        <w:contextualSpacing/>
        <w:rPr>
          <w:rFonts w:hint="eastAsia" w:ascii="宋体" w:hAnsi="宋体" w:cs="等线"/>
          <w:sz w:val="18"/>
          <w:szCs w:val="18"/>
        </w:rPr>
      </w:pPr>
      <w:r>
        <w:rPr>
          <w:rFonts w:hint="eastAsia" w:ascii="宋体" w:hAnsi="宋体" w:cs="等线"/>
          <w:sz w:val="18"/>
          <w:szCs w:val="18"/>
        </w:rPr>
        <w:t>知悉人（公章）：</w:t>
      </w:r>
    </w:p>
    <w:p>
      <w:pPr>
        <w:contextualSpacing/>
        <w:rPr>
          <w:rFonts w:hint="eastAsia" w:ascii="宋体" w:hAnsi="宋体"/>
          <w:sz w:val="18"/>
          <w:szCs w:val="18"/>
        </w:rPr>
      </w:pPr>
      <w:r>
        <w:rPr>
          <w:rFonts w:hint="eastAsia" w:ascii="宋体" w:hAnsi="宋体" w:cs="等线"/>
          <w:sz w:val="18"/>
          <w:szCs w:val="18"/>
        </w:rPr>
        <w:t xml:space="preserve">                                                                                        日期：</w:t>
      </w:r>
    </w:p>
    <w:p>
      <w:pPr>
        <w:pStyle w:val="13"/>
        <w:ind w:firstLine="361"/>
        <w:contextualSpacing/>
        <w:rPr>
          <w:rFonts w:hint="eastAsia" w:hAnsi="宋体"/>
          <w:sz w:val="18"/>
          <w:szCs w:val="18"/>
        </w:rPr>
      </w:pPr>
      <w:r>
        <w:rPr>
          <w:rFonts w:hint="eastAsia" w:hAnsi="宋体" w:cs="等线"/>
          <w:b/>
          <w:bCs/>
          <w:sz w:val="18"/>
          <w:szCs w:val="18"/>
        </w:rPr>
        <w:t>注：该风险知悉确认书用于对供应商违法行为的特别警示提醒，不作为供应商资格性审查及符合性审查条件。</w:t>
      </w:r>
    </w:p>
    <w:p>
      <w:pPr>
        <w:snapToGrid w:val="0"/>
        <w:ind w:firstLine="843" w:firstLineChars="300"/>
        <w:contextualSpacing/>
        <w:jc w:val="center"/>
        <w:rPr>
          <w:rFonts w:hint="eastAsia" w:ascii="宋体" w:hAnsi="宋体"/>
          <w:b/>
          <w:color w:val="000000"/>
          <w:sz w:val="28"/>
          <w:szCs w:val="28"/>
        </w:rPr>
      </w:pPr>
      <w:bookmarkStart w:id="15" w:name="_Hlk224298574"/>
      <w:r>
        <w:rPr>
          <w:rFonts w:hint="eastAsia" w:ascii="宋体" w:hAnsi="宋体"/>
          <w:b/>
          <w:color w:val="000000"/>
          <w:sz w:val="28"/>
          <w:szCs w:val="28"/>
        </w:rPr>
        <w:t>十</w:t>
      </w:r>
      <w:r>
        <w:rPr>
          <w:rFonts w:hint="eastAsia" w:ascii="宋体" w:hAnsi="宋体"/>
          <w:b/>
          <w:color w:val="000000"/>
          <w:sz w:val="28"/>
          <w:szCs w:val="28"/>
          <w:lang w:val="en-US" w:eastAsia="zh-CN"/>
        </w:rPr>
        <w:t>一</w:t>
      </w:r>
      <w:r>
        <w:rPr>
          <w:rFonts w:hint="eastAsia" w:ascii="宋体" w:hAnsi="宋体"/>
          <w:b/>
          <w:color w:val="000000"/>
          <w:sz w:val="28"/>
          <w:szCs w:val="28"/>
        </w:rPr>
        <w:t>、技术部分评分项格式及佐证材料</w:t>
      </w:r>
    </w:p>
    <w:p>
      <w:pPr>
        <w:pStyle w:val="12"/>
        <w:ind w:left="1060" w:hanging="640"/>
      </w:pPr>
    </w:p>
    <w:p>
      <w:pPr>
        <w:pStyle w:val="13"/>
        <w:ind w:firstLine="241" w:firstLineChars="100"/>
        <w:rPr>
          <w:sz w:val="24"/>
          <w:szCs w:val="24"/>
        </w:rPr>
      </w:pPr>
      <w:r>
        <w:rPr>
          <w:rFonts w:hint="eastAsia"/>
          <w:b/>
          <w:bCs/>
          <w:sz w:val="24"/>
          <w:szCs w:val="24"/>
        </w:rPr>
        <w:t>评分因素</w:t>
      </w:r>
      <w:r>
        <w:rPr>
          <w:rFonts w:hint="eastAsia"/>
          <w:sz w:val="24"/>
          <w:szCs w:val="24"/>
        </w:rPr>
        <w:t>：1.</w:t>
      </w:r>
    </w:p>
    <w:p>
      <w:pPr>
        <w:pStyle w:val="13"/>
        <w:ind w:firstLine="240" w:firstLineChars="100"/>
        <w:rPr>
          <w:sz w:val="24"/>
          <w:szCs w:val="24"/>
        </w:rPr>
      </w:pPr>
      <w:r>
        <w:rPr>
          <w:rFonts w:hint="eastAsia"/>
          <w:sz w:val="24"/>
          <w:szCs w:val="24"/>
        </w:rPr>
        <w:t xml:space="preserve">           </w:t>
      </w:r>
    </w:p>
    <w:p>
      <w:pPr>
        <w:pStyle w:val="13"/>
        <w:ind w:firstLine="240" w:firstLineChars="100"/>
        <w:rPr>
          <w:sz w:val="24"/>
          <w:szCs w:val="24"/>
        </w:rPr>
      </w:pPr>
      <w:r>
        <w:rPr>
          <w:rFonts w:hint="eastAsia"/>
          <w:sz w:val="24"/>
          <w:szCs w:val="24"/>
        </w:rPr>
        <w:t xml:space="preserve">          2.</w:t>
      </w:r>
    </w:p>
    <w:p>
      <w:pPr>
        <w:pStyle w:val="13"/>
        <w:ind w:firstLine="240" w:firstLineChars="100"/>
        <w:rPr>
          <w:sz w:val="24"/>
          <w:szCs w:val="24"/>
        </w:rPr>
      </w:pPr>
    </w:p>
    <w:p>
      <w:pPr>
        <w:pStyle w:val="13"/>
        <w:ind w:firstLine="240" w:firstLineChars="100"/>
        <w:rPr>
          <w:sz w:val="24"/>
          <w:szCs w:val="24"/>
        </w:rPr>
      </w:pPr>
      <w:r>
        <w:rPr>
          <w:rFonts w:hint="eastAsia"/>
          <w:sz w:val="24"/>
          <w:szCs w:val="24"/>
        </w:rPr>
        <w:t xml:space="preserve">          3.</w:t>
      </w:r>
    </w:p>
    <w:p>
      <w:pPr>
        <w:pStyle w:val="13"/>
      </w:pPr>
    </w:p>
    <w:p>
      <w:pPr>
        <w:pStyle w:val="13"/>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3"/>
      </w:pPr>
    </w:p>
    <w:p>
      <w:pPr>
        <w:pStyle w:val="13"/>
        <w:rPr>
          <w:b/>
          <w:bCs/>
          <w:sz w:val="28"/>
          <w:szCs w:val="28"/>
        </w:rPr>
      </w:pPr>
      <w:r>
        <w:rPr>
          <w:rFonts w:hint="eastAsia"/>
          <w:b/>
          <w:bCs/>
          <w:sz w:val="28"/>
          <w:szCs w:val="28"/>
        </w:rPr>
        <w:t>（依据评分因素顺序提供佐证资料）</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r>
        <w:rPr>
          <w:rFonts w:hint="eastAsia"/>
        </w:rPr>
        <w:t xml:space="preserve">                                                              </w:t>
      </w:r>
      <w:r>
        <w:rPr>
          <w:rFonts w:hint="eastAsia" w:hAnsi="宋体"/>
          <w:b/>
          <w:bCs/>
        </w:rPr>
        <w:t>投标人单位名称（单位盖公章）：</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napToGrid w:val="0"/>
        <w:ind w:firstLine="843" w:firstLineChars="300"/>
        <w:contextualSpacing/>
        <w:jc w:val="center"/>
        <w:rPr>
          <w:rFonts w:hint="eastAsia" w:ascii="宋体" w:hAnsi="宋体"/>
          <w:b/>
          <w:color w:val="000000"/>
          <w:sz w:val="28"/>
          <w:szCs w:val="28"/>
        </w:rPr>
      </w:pPr>
      <w:r>
        <w:rPr>
          <w:rFonts w:hint="eastAsia" w:ascii="宋体" w:hAnsi="宋体"/>
          <w:b/>
          <w:color w:val="000000"/>
          <w:sz w:val="28"/>
          <w:szCs w:val="28"/>
        </w:rPr>
        <w:t>十</w:t>
      </w:r>
      <w:r>
        <w:rPr>
          <w:rFonts w:hint="eastAsia" w:ascii="宋体" w:hAnsi="宋体"/>
          <w:b/>
          <w:color w:val="000000"/>
          <w:sz w:val="28"/>
          <w:szCs w:val="28"/>
          <w:lang w:val="en-US" w:eastAsia="zh-CN"/>
        </w:rPr>
        <w:t>二</w:t>
      </w:r>
      <w:r>
        <w:rPr>
          <w:rFonts w:hint="eastAsia" w:ascii="宋体" w:hAnsi="宋体"/>
          <w:b/>
          <w:color w:val="000000"/>
          <w:sz w:val="28"/>
          <w:szCs w:val="28"/>
        </w:rPr>
        <w:t>、商务部分评分项格式及佐证材料</w:t>
      </w:r>
    </w:p>
    <w:p>
      <w:pPr>
        <w:snapToGrid w:val="0"/>
        <w:ind w:firstLine="843" w:firstLineChars="300"/>
        <w:contextualSpacing/>
        <w:jc w:val="center"/>
        <w:rPr>
          <w:rFonts w:hint="eastAsia" w:ascii="宋体" w:hAnsi="宋体"/>
          <w:b/>
          <w:color w:val="000000"/>
          <w:sz w:val="28"/>
          <w:szCs w:val="28"/>
        </w:rPr>
      </w:pPr>
    </w:p>
    <w:p>
      <w:pPr>
        <w:pStyle w:val="12"/>
        <w:ind w:left="1060" w:hanging="640"/>
      </w:pPr>
    </w:p>
    <w:p>
      <w:pPr>
        <w:pStyle w:val="13"/>
        <w:ind w:firstLine="241" w:firstLineChars="100"/>
        <w:rPr>
          <w:sz w:val="24"/>
          <w:szCs w:val="24"/>
        </w:rPr>
      </w:pPr>
      <w:r>
        <w:rPr>
          <w:rFonts w:hint="eastAsia"/>
          <w:b/>
          <w:bCs/>
          <w:sz w:val="24"/>
          <w:szCs w:val="24"/>
        </w:rPr>
        <w:t>评分因素</w:t>
      </w:r>
      <w:r>
        <w:rPr>
          <w:rFonts w:hint="eastAsia"/>
          <w:sz w:val="24"/>
          <w:szCs w:val="24"/>
        </w:rPr>
        <w:t>：1.</w:t>
      </w:r>
    </w:p>
    <w:p>
      <w:pPr>
        <w:pStyle w:val="13"/>
        <w:ind w:firstLine="240" w:firstLineChars="100"/>
        <w:rPr>
          <w:sz w:val="24"/>
          <w:szCs w:val="24"/>
        </w:rPr>
      </w:pPr>
      <w:r>
        <w:rPr>
          <w:rFonts w:hint="eastAsia"/>
          <w:sz w:val="24"/>
          <w:szCs w:val="24"/>
        </w:rPr>
        <w:t xml:space="preserve">           </w:t>
      </w:r>
    </w:p>
    <w:p>
      <w:pPr>
        <w:pStyle w:val="13"/>
        <w:ind w:firstLine="240" w:firstLineChars="100"/>
        <w:rPr>
          <w:sz w:val="24"/>
          <w:szCs w:val="24"/>
        </w:rPr>
      </w:pPr>
      <w:r>
        <w:rPr>
          <w:rFonts w:hint="eastAsia"/>
          <w:sz w:val="24"/>
          <w:szCs w:val="24"/>
        </w:rPr>
        <w:t xml:space="preserve">          2.</w:t>
      </w:r>
    </w:p>
    <w:p>
      <w:pPr>
        <w:pStyle w:val="13"/>
        <w:ind w:firstLine="240" w:firstLineChars="100"/>
        <w:rPr>
          <w:sz w:val="24"/>
          <w:szCs w:val="24"/>
        </w:rPr>
      </w:pPr>
    </w:p>
    <w:p>
      <w:pPr>
        <w:pStyle w:val="13"/>
        <w:ind w:firstLine="240" w:firstLineChars="100"/>
        <w:rPr>
          <w:sz w:val="24"/>
          <w:szCs w:val="24"/>
        </w:rPr>
      </w:pPr>
      <w:r>
        <w:rPr>
          <w:rFonts w:hint="eastAsia"/>
          <w:sz w:val="24"/>
          <w:szCs w:val="24"/>
        </w:rPr>
        <w:t xml:space="preserve">          3.</w:t>
      </w:r>
    </w:p>
    <w:p>
      <w:pPr>
        <w:pStyle w:val="13"/>
      </w:pPr>
    </w:p>
    <w:p>
      <w:pPr>
        <w:pStyle w:val="13"/>
        <w:rPr>
          <w:rFonts w:hint="eastAsia" w:hAnsi="宋体"/>
          <w:sz w:val="28"/>
          <w:szCs w:val="28"/>
        </w:rPr>
      </w:pPr>
      <w:r>
        <w:rPr>
          <w:rFonts w:hint="eastAsia"/>
        </w:rPr>
        <w:t xml:space="preserve">             </w:t>
      </w:r>
      <w:r>
        <w:rPr>
          <w:rFonts w:hint="eastAsia" w:hAnsi="宋体"/>
          <w:sz w:val="28"/>
          <w:szCs w:val="28"/>
        </w:rPr>
        <w:t xml:space="preserve"> </w:t>
      </w:r>
      <w:r>
        <w:rPr>
          <w:rFonts w:hAnsi="宋体"/>
          <w:sz w:val="28"/>
          <w:szCs w:val="28"/>
        </w:rPr>
        <w:t>……………</w:t>
      </w:r>
    </w:p>
    <w:p>
      <w:pPr>
        <w:pStyle w:val="13"/>
      </w:pPr>
    </w:p>
    <w:p>
      <w:pPr>
        <w:pStyle w:val="13"/>
        <w:rPr>
          <w:b/>
          <w:bCs/>
          <w:sz w:val="28"/>
          <w:szCs w:val="28"/>
        </w:rPr>
      </w:pPr>
      <w:r>
        <w:rPr>
          <w:rFonts w:hint="eastAsia"/>
          <w:b/>
          <w:bCs/>
          <w:sz w:val="28"/>
          <w:szCs w:val="28"/>
        </w:rPr>
        <w:t>（依据评分因素顺序提供佐证资料）</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r>
        <w:rPr>
          <w:rFonts w:hint="eastAsia"/>
        </w:rPr>
        <w:t xml:space="preserve">                                                   </w:t>
      </w:r>
      <w:r>
        <w:rPr>
          <w:rFonts w:hint="eastAsia" w:hAnsi="宋体"/>
          <w:b/>
          <w:bCs/>
        </w:rPr>
        <w:t>投标人单位名称（单位盖公章）：</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bookmarkEnd w:id="15"/>
    <w:p>
      <w:pPr>
        <w:snapToGrid w:val="0"/>
        <w:ind w:firstLine="843" w:firstLineChars="300"/>
        <w:contextualSpacing/>
        <w:jc w:val="center"/>
        <w:rPr>
          <w:rFonts w:hint="eastAsia" w:ascii="宋体" w:hAnsi="宋体"/>
          <w:b/>
          <w:bCs/>
          <w:color w:val="000000"/>
          <w:sz w:val="28"/>
          <w:szCs w:val="28"/>
        </w:rPr>
      </w:pPr>
      <w:r>
        <w:rPr>
          <w:rFonts w:hint="eastAsia" w:ascii="宋体" w:hAnsi="宋体"/>
          <w:b/>
          <w:color w:val="000000"/>
          <w:sz w:val="28"/>
          <w:szCs w:val="28"/>
        </w:rPr>
        <w:t>十</w:t>
      </w:r>
      <w:r>
        <w:rPr>
          <w:rFonts w:hint="eastAsia"/>
          <w:b/>
          <w:bCs/>
          <w:sz w:val="28"/>
          <w:szCs w:val="28"/>
          <w:lang w:val="en-US" w:eastAsia="zh-CN"/>
        </w:rPr>
        <w:t>三</w:t>
      </w:r>
      <w:r>
        <w:rPr>
          <w:rFonts w:hint="eastAsia"/>
          <w:b/>
          <w:bCs/>
          <w:sz w:val="28"/>
          <w:szCs w:val="28"/>
        </w:rPr>
        <w:t>、</w:t>
      </w:r>
      <w:bookmarkStart w:id="16" w:name="_Hlk224298639"/>
      <w:r>
        <w:rPr>
          <w:rFonts w:hint="eastAsia" w:ascii="宋体" w:hAnsi="宋体"/>
          <w:b/>
          <w:bCs/>
          <w:sz w:val="28"/>
          <w:szCs w:val="28"/>
        </w:rPr>
        <w:t>其他:投标供应商认为必要提供的其他内容</w:t>
      </w:r>
      <w:r>
        <w:rPr>
          <w:rFonts w:ascii="宋体" w:hAnsi="宋体"/>
          <w:b/>
          <w:bCs/>
          <w:color w:val="000000"/>
          <w:sz w:val="28"/>
          <w:szCs w:val="28"/>
        </w:rPr>
        <w:t xml:space="preserve">  </w:t>
      </w:r>
    </w:p>
    <w:p>
      <w:pPr>
        <w:widowControl/>
        <w:snapToGrid w:val="0"/>
        <w:spacing w:line="360" w:lineRule="auto"/>
        <w:ind w:firstLine="1894" w:firstLineChars="902"/>
        <w:jc w:val="left"/>
        <w:rPr>
          <w:rFonts w:hint="eastAsia" w:ascii="宋体" w:hAnsi="宋体"/>
          <w:kern w:val="0"/>
          <w:szCs w:val="21"/>
        </w:rPr>
      </w:pPr>
      <w:r>
        <w:rPr>
          <w:rFonts w:hint="eastAsia" w:ascii="宋体" w:hAnsi="宋体"/>
          <w:kern w:val="0"/>
          <w:szCs w:val="21"/>
        </w:rPr>
        <w:t>（其他招标文件要求提供的资料或投标供应商认为需要补充的资料）</w:t>
      </w: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Cs w:val="21"/>
        </w:rPr>
      </w:pPr>
      <w:r>
        <w:rPr>
          <w:rFonts w:hint="eastAsia" w:ascii="宋体" w:hAnsi="宋体"/>
          <w:bCs/>
          <w:color w:val="000000"/>
          <w:szCs w:val="21"/>
        </w:rPr>
        <w:t xml:space="preserve">                                                         </w:t>
      </w:r>
      <w:r>
        <w:rPr>
          <w:rFonts w:hint="eastAsia" w:ascii="宋体" w:hAnsi="宋体" w:cs="宋体"/>
          <w:b/>
          <w:bCs/>
          <w:szCs w:val="21"/>
        </w:rPr>
        <w:t>投标人单位名称（单位盖公章）：</w:t>
      </w:r>
    </w:p>
    <w:bookmarkEnd w:id="16"/>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rFonts w:hint="eastAsia" w:ascii="宋体" w:hAnsi="宋体"/>
          <w:bCs/>
          <w:color w:val="000000"/>
          <w:sz w:val="24"/>
        </w:rPr>
      </w:pPr>
    </w:p>
    <w:p>
      <w:pPr>
        <w:spacing w:after="78" w:afterLines="25" w:line="300" w:lineRule="auto"/>
        <w:ind w:left="420"/>
        <w:rPr>
          <w:b/>
          <w:color w:val="000000"/>
          <w:sz w:val="28"/>
          <w:szCs w:val="28"/>
        </w:rPr>
      </w:pPr>
      <w:r>
        <w:rPr>
          <w:b/>
          <w:color w:val="000000"/>
          <w:sz w:val="28"/>
          <w:szCs w:val="28"/>
        </w:rPr>
        <w:t xml:space="preserve">              </w:t>
      </w: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13"/>
      </w:pPr>
    </w:p>
    <w:p>
      <w:pPr>
        <w:spacing w:after="78" w:afterLines="25" w:line="300" w:lineRule="auto"/>
        <w:ind w:left="420"/>
        <w:jc w:val="center"/>
        <w:rPr>
          <w:b/>
          <w:color w:val="000000"/>
          <w:sz w:val="28"/>
          <w:szCs w:val="28"/>
        </w:rPr>
      </w:pPr>
    </w:p>
    <w:p>
      <w:pPr>
        <w:spacing w:after="78" w:afterLines="25" w:line="300" w:lineRule="auto"/>
        <w:ind w:left="420"/>
        <w:jc w:val="center"/>
        <w:rPr>
          <w:b/>
          <w:color w:val="000000"/>
          <w:sz w:val="28"/>
          <w:szCs w:val="28"/>
        </w:rPr>
      </w:pPr>
    </w:p>
    <w:p>
      <w:pPr>
        <w:pStyle w:val="12"/>
        <w:ind w:left="1060" w:hanging="640"/>
      </w:pPr>
    </w:p>
    <w:p>
      <w:pPr>
        <w:spacing w:after="60" w:line="360" w:lineRule="exact"/>
        <w:ind w:left="1521" w:hanging="1521" w:hangingChars="541"/>
        <w:jc w:val="center"/>
        <w:rPr>
          <w:rFonts w:hint="eastAsia" w:ascii="宋体" w:hAnsi="宋体"/>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val="en-US" w:eastAsia="zh-CN"/>
        </w:rPr>
        <w:t>四</w:t>
      </w:r>
      <w:bookmarkStart w:id="19" w:name="_GoBack"/>
      <w:bookmarkEnd w:id="19"/>
      <w:r>
        <w:rPr>
          <w:rFonts w:ascii="MS Mincho" w:hAnsi="MS Mincho" w:eastAsia="MS Mincho" w:cs="MS Mincho"/>
          <w:b/>
          <w:color w:val="000000"/>
          <w:sz w:val="28"/>
          <w:szCs w:val="28"/>
        </w:rPr>
        <w:t>､</w:t>
      </w:r>
      <w:r>
        <w:rPr>
          <w:rFonts w:ascii="宋体" w:hAnsi="宋体" w:cs="宋体"/>
          <w:b/>
          <w:color w:val="000000"/>
          <w:sz w:val="28"/>
          <w:szCs w:val="28"/>
        </w:rPr>
        <w:t>报价单</w:t>
      </w:r>
    </w:p>
    <w:p>
      <w:pPr>
        <w:widowControl/>
        <w:spacing w:line="360" w:lineRule="exact"/>
        <w:ind w:firstLine="3654" w:firstLineChars="1300"/>
        <w:rPr>
          <w:rFonts w:hint="default" w:ascii="宋体" w:hAnsi="宋体" w:eastAsia="宋体" w:cs="Arial"/>
          <w:b/>
          <w:color w:val="000000"/>
          <w:sz w:val="28"/>
          <w:szCs w:val="28"/>
          <w:lang w:val="en-US" w:eastAsia="zh-CN"/>
        </w:rPr>
      </w:pPr>
      <w:r>
        <w:rPr>
          <w:rFonts w:ascii="宋体" w:hAnsi="宋体" w:cs="Arial"/>
          <w:b/>
          <w:color w:val="000000"/>
          <w:sz w:val="28"/>
          <w:szCs w:val="28"/>
        </w:rPr>
        <w:t>采购编号:BYZBCG202</w:t>
      </w:r>
      <w:r>
        <w:rPr>
          <w:rFonts w:hint="eastAsia" w:ascii="宋体" w:hAnsi="宋体" w:cs="Arial"/>
          <w:b/>
          <w:color w:val="000000"/>
          <w:sz w:val="28"/>
          <w:szCs w:val="28"/>
        </w:rPr>
        <w:t>6</w:t>
      </w:r>
      <w:r>
        <w:rPr>
          <w:rFonts w:ascii="宋体" w:hAnsi="宋体" w:cs="Arial"/>
          <w:b/>
          <w:color w:val="000000"/>
          <w:sz w:val="28"/>
          <w:szCs w:val="28"/>
        </w:rPr>
        <w:t>-</w:t>
      </w:r>
      <w:r>
        <w:rPr>
          <w:rFonts w:hint="eastAsia" w:ascii="宋体" w:hAnsi="宋体" w:cs="Arial"/>
          <w:b/>
          <w:color w:val="000000"/>
          <w:sz w:val="28"/>
          <w:szCs w:val="28"/>
          <w:lang w:val="en-US" w:eastAsia="zh-CN"/>
        </w:rPr>
        <w:t>24</w:t>
      </w:r>
    </w:p>
    <w:p>
      <w:pPr>
        <w:widowControl/>
        <w:spacing w:line="360" w:lineRule="exact"/>
        <w:ind w:left="1" w:hanging="1"/>
        <w:rPr>
          <w:rFonts w:hint="eastAsia" w:ascii="宋体" w:hAnsi="宋体"/>
          <w:sz w:val="30"/>
          <w:szCs w:val="30"/>
          <w:u w:val="single"/>
        </w:rPr>
      </w:pPr>
      <w:r>
        <w:rPr>
          <w:rFonts w:ascii="宋体" w:hAnsi="宋体"/>
          <w:sz w:val="30"/>
          <w:szCs w:val="30"/>
        </w:rPr>
        <w:t>投标单位</w:t>
      </w:r>
      <w:r>
        <w:rPr>
          <w:rFonts w:hint="eastAsia" w:ascii="宋体" w:hAnsi="宋体" w:cs="宋体"/>
          <w:sz w:val="30"/>
          <w:szCs w:val="30"/>
        </w:rPr>
        <w:t>（单位盖公章）</w:t>
      </w:r>
      <w:r>
        <w:rPr>
          <w:rFonts w:ascii="宋体" w:hAnsi="宋体"/>
          <w:sz w:val="30"/>
          <w:szCs w:val="30"/>
        </w:rPr>
        <w:t>:</w:t>
      </w:r>
      <w:r>
        <w:rPr>
          <w:rFonts w:ascii="宋体" w:hAnsi="宋体"/>
          <w:sz w:val="30"/>
          <w:szCs w:val="30"/>
          <w:u w:val="single"/>
        </w:rPr>
        <w:t xml:space="preserve">                                  </w:t>
      </w:r>
    </w:p>
    <w:p>
      <w:pPr>
        <w:pStyle w:val="12"/>
        <w:snapToGrid w:val="0"/>
        <w:spacing w:line="240" w:lineRule="auto"/>
        <w:ind w:left="73" w:leftChars="4" w:hanging="65" w:hangingChars="31"/>
        <w:contextualSpacing/>
        <w:rPr>
          <w:rFonts w:hint="eastAsia" w:ascii="宋体" w:hAnsi="宋体" w:eastAsia="宋体"/>
          <w:sz w:val="21"/>
          <w:szCs w:val="21"/>
        </w:rPr>
      </w:pPr>
    </w:p>
    <w:tbl>
      <w:tblPr>
        <w:tblStyle w:val="21"/>
        <w:tblpPr w:leftFromText="180" w:rightFromText="180" w:vertAnchor="text" w:horzAnchor="margin" w:tblpX="75" w:tblpY="110"/>
        <w:tblW w:w="10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4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237" w:type="dxa"/>
            <w:tcBorders>
              <w:bottom w:val="single" w:color="auto" w:sz="4" w:space="0"/>
            </w:tcBorders>
            <w:vAlign w:val="center"/>
          </w:tcPr>
          <w:p>
            <w:pPr>
              <w:spacing w:line="360" w:lineRule="exact"/>
              <w:jc w:val="center"/>
              <w:rPr>
                <w:rFonts w:hint="eastAsia" w:ascii="宋体" w:hAnsi="宋体"/>
                <w:sz w:val="24"/>
              </w:rPr>
            </w:pPr>
            <w:r>
              <w:rPr>
                <w:rFonts w:ascii="宋体" w:hAnsi="宋体" w:cs="Arial"/>
                <w:color w:val="000000"/>
                <w:kern w:val="0"/>
                <w:sz w:val="24"/>
              </w:rPr>
              <w:t>项目名称</w:t>
            </w:r>
          </w:p>
        </w:tc>
        <w:tc>
          <w:tcPr>
            <w:tcW w:w="4002" w:type="dxa"/>
            <w:tcBorders>
              <w:bottom w:val="single" w:color="auto" w:sz="4" w:space="0"/>
            </w:tcBorders>
            <w:vAlign w:val="center"/>
          </w:tcPr>
          <w:p>
            <w:pPr>
              <w:spacing w:line="360" w:lineRule="exact"/>
              <w:jc w:val="center"/>
              <w:rPr>
                <w:rFonts w:hint="eastAsia" w:ascii="宋体" w:hAnsi="宋体"/>
                <w:sz w:val="24"/>
              </w:rPr>
            </w:pPr>
            <w:r>
              <w:rPr>
                <w:rFonts w:ascii="宋体" w:hAnsi="宋体" w:cs="Arial"/>
                <w:color w:val="000000"/>
                <w:kern w:val="0"/>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237"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sz w:val="24"/>
              </w:rPr>
            </w:pPr>
            <w:bookmarkStart w:id="17" w:name="_Hlk191631329"/>
          </w:p>
        </w:tc>
        <w:tc>
          <w:tcPr>
            <w:tcW w:w="400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sz w:val="24"/>
              </w:rPr>
            </w:pPr>
          </w:p>
        </w:tc>
      </w:tr>
      <w:bookmarkEnd w:id="17"/>
    </w:tbl>
    <w:p>
      <w:pPr>
        <w:pStyle w:val="13"/>
      </w:pPr>
    </w:p>
    <w:p>
      <w:pPr>
        <w:widowControl/>
        <w:jc w:val="left"/>
        <w:rPr>
          <w:rFonts w:hint="eastAsia" w:ascii="宋体" w:hAnsi="宋体" w:cs="Arial"/>
          <w:color w:val="000000"/>
          <w:kern w:val="0"/>
          <w:sz w:val="30"/>
          <w:szCs w:val="30"/>
        </w:rPr>
      </w:pPr>
      <w:bookmarkStart w:id="18" w:name="OLE_LINK2"/>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pPr>
        <w:widowControl/>
        <w:jc w:val="left"/>
        <w:rPr>
          <w:rFonts w:hint="eastAsia" w:ascii="宋体" w:hAnsi="宋体"/>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pPr>
        <w:widowControl/>
        <w:spacing w:line="360" w:lineRule="exact"/>
        <w:ind w:left="344" w:leftChars="68" w:hanging="201" w:hangingChars="67"/>
        <w:jc w:val="left"/>
        <w:rPr>
          <w:rFonts w:hint="eastAsia" w:ascii="宋体" w:hAnsi="宋体" w:cs="宋体"/>
          <w:sz w:val="30"/>
          <w:szCs w:val="30"/>
        </w:rPr>
      </w:pPr>
    </w:p>
    <w:bookmarkEnd w:id="18"/>
    <w:p>
      <w:pPr>
        <w:widowControl/>
        <w:spacing w:line="360" w:lineRule="exact"/>
        <w:ind w:left="283" w:leftChars="68" w:hanging="140" w:hangingChars="67"/>
        <w:jc w:val="left"/>
        <w:rPr>
          <w:rFonts w:hint="eastAsia" w:ascii="宋体" w:hAnsi="宋体" w:cs="Arial"/>
          <w:color w:val="000000"/>
          <w:kern w:val="0"/>
          <w:szCs w:val="21"/>
        </w:rPr>
      </w:pPr>
    </w:p>
    <w:p>
      <w:pPr>
        <w:widowControl/>
        <w:spacing w:line="360" w:lineRule="exact"/>
        <w:ind w:left="283" w:leftChars="68" w:hanging="140" w:hangingChars="67"/>
        <w:jc w:val="left"/>
        <w:rPr>
          <w:rFonts w:hint="eastAsia" w:ascii="宋体" w:hAnsi="宋体" w:cs="Arial"/>
          <w:color w:val="000000"/>
          <w:kern w:val="0"/>
          <w:szCs w:val="21"/>
        </w:rPr>
      </w:pPr>
      <w:r>
        <w:rPr>
          <w:rFonts w:ascii="宋体" w:hAnsi="宋体" w:cs="Arial"/>
          <w:color w:val="000000"/>
          <w:kern w:val="0"/>
          <w:szCs w:val="21"/>
        </w:rPr>
        <w:t>备注:</w:t>
      </w:r>
    </w:p>
    <w:p>
      <w:pPr>
        <w:widowControl/>
        <w:spacing w:line="360" w:lineRule="exact"/>
        <w:ind w:left="143" w:leftChars="68" w:firstLine="422" w:firstLineChars="201"/>
        <w:jc w:val="left"/>
        <w:rPr>
          <w:rFonts w:hint="eastAsia" w:ascii="宋体" w:hAnsi="宋体" w:cs="Arial"/>
          <w:color w:val="000000"/>
          <w:kern w:val="0"/>
          <w:szCs w:val="21"/>
        </w:rPr>
      </w:pPr>
      <w:r>
        <w:rPr>
          <w:rFonts w:ascii="宋体" w:hAnsi="宋体" w:cs="Arial"/>
          <w:color w:val="000000"/>
          <w:kern w:val="0"/>
          <w:szCs w:val="21"/>
        </w:rPr>
        <w:t>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hint="eastAsia" w:ascii="宋体" w:hAnsi="宋体" w:cs="微软雅黑"/>
          <w:color w:val="000000"/>
          <w:kern w:val="0"/>
          <w:szCs w:val="21"/>
        </w:rPr>
        <w:t>｡</w:t>
      </w:r>
    </w:p>
    <w:p>
      <w:pPr>
        <w:widowControl/>
        <w:spacing w:line="360" w:lineRule="exact"/>
        <w:ind w:leftChars="-202" w:hanging="424" w:hangingChars="202"/>
        <w:jc w:val="left"/>
        <w:rPr>
          <w:rFonts w:hint="eastAsia" w:ascii="宋体" w:hAnsi="宋体" w:cs="Arial"/>
          <w:color w:val="000000"/>
          <w:kern w:val="0"/>
          <w:szCs w:val="21"/>
        </w:rPr>
      </w:pPr>
      <w:r>
        <w:rPr>
          <w:rFonts w:ascii="宋体" w:hAnsi="宋体" w:cs="Arial"/>
          <w:color w:val="000000"/>
          <w:kern w:val="0"/>
          <w:szCs w:val="21"/>
        </w:rPr>
        <w:t>   </w:t>
      </w:r>
      <w:r>
        <w:rPr>
          <w:rFonts w:hint="eastAsia" w:ascii="宋体" w:hAnsi="宋体" w:cs="Arial"/>
          <w:color w:val="000000"/>
          <w:kern w:val="0"/>
          <w:szCs w:val="21"/>
        </w:rPr>
        <w:t xml:space="preserve">    </w:t>
      </w:r>
      <w:r>
        <w:rPr>
          <w:rFonts w:ascii="宋体" w:hAnsi="宋体" w:cs="Arial"/>
          <w:color w:val="000000"/>
          <w:kern w:val="0"/>
          <w:szCs w:val="21"/>
        </w:rPr>
        <w:t>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napToGrid w:val="0"/>
        <w:ind w:left="141" w:leftChars="67" w:right="258" w:rightChars="123" w:firstLine="424" w:firstLineChars="202"/>
        <w:contextualSpacing/>
        <w:rPr>
          <w:rFonts w:hint="eastAsia" w:ascii="宋体" w:hAnsi="宋体"/>
          <w:bCs/>
          <w:szCs w:val="21"/>
        </w:rPr>
      </w:pPr>
      <w:r>
        <w:rPr>
          <w:rFonts w:ascii="宋体" w:hAnsi="宋体" w:cs="Arial"/>
          <w:color w:val="000000"/>
          <w:kern w:val="0"/>
          <w:szCs w:val="21"/>
        </w:rPr>
        <w:t>3</w:t>
      </w:r>
      <w:r>
        <w:rPr>
          <w:rFonts w:hint="eastAsia" w:ascii="微软雅黑" w:hAnsi="微软雅黑" w:eastAsia="微软雅黑" w:cs="微软雅黑"/>
          <w:color w:val="000000"/>
          <w:kern w:val="0"/>
          <w:szCs w:val="21"/>
        </w:rPr>
        <w:t>､</w:t>
      </w:r>
      <w:r>
        <w:rPr>
          <w:rFonts w:ascii="宋体" w:hAnsi="宋体" w:cs="宋体"/>
          <w:color w:val="000000"/>
          <w:kern w:val="0"/>
          <w:szCs w:val="21"/>
          <w:highlight w:val="yellow"/>
        </w:rPr>
        <w:t>谈判现场</w:t>
      </w:r>
      <w:r>
        <w:rPr>
          <w:rFonts w:hint="eastAsia" w:ascii="宋体" w:hAnsi="宋体" w:cs="宋体"/>
          <w:color w:val="000000"/>
          <w:kern w:val="0"/>
          <w:szCs w:val="21"/>
          <w:highlight w:val="yellow"/>
        </w:rPr>
        <w:t>需提供以下资料</w:t>
      </w:r>
      <w:r>
        <w:rPr>
          <w:rFonts w:ascii="宋体" w:hAnsi="宋体" w:cs="Arial"/>
          <w:color w:val="000000"/>
          <w:kern w:val="0"/>
          <w:szCs w:val="21"/>
        </w:rPr>
        <w:t>:</w:t>
      </w:r>
      <w:r>
        <w:rPr>
          <w:rFonts w:hint="eastAsia" w:ascii="宋体" w:hAnsi="宋体"/>
          <w:bCs/>
          <w:szCs w:val="21"/>
        </w:rPr>
        <w:t xml:space="preserve"> </w:t>
      </w:r>
      <w:r>
        <w:rPr>
          <w:rFonts w:hint="eastAsia" w:ascii="宋体" w:hAnsi="宋体"/>
          <w:bCs/>
          <w:color w:val="FF0000"/>
          <w:szCs w:val="21"/>
        </w:rPr>
        <w:t>（1）密封的投标文件6本（2正4副）；（2）1份密封的报价单；（3）待招标办工作人员收取投标商报价单后，参与本项目的投标商请立即发送投标文件电子版（PDF）至招标办邮箱。</w:t>
      </w:r>
    </w:p>
    <w:p>
      <w:pPr>
        <w:spacing w:line="360" w:lineRule="exact"/>
        <w:ind w:left="141" w:leftChars="67" w:right="258" w:rightChars="123" w:firstLine="489" w:firstLineChars="233"/>
        <w:rPr>
          <w:rFonts w:hint="eastAsia" w:ascii="宋体" w:hAnsi="宋体"/>
        </w:rPr>
      </w:pPr>
      <w:r>
        <w:rPr>
          <w:rFonts w:hint="eastAsia" w:ascii="宋体" w:hAnsi="宋体"/>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spacing w:line="360" w:lineRule="exact"/>
        <w:ind w:left="141" w:leftChars="67" w:right="258" w:rightChars="123" w:firstLine="489" w:firstLineChars="233"/>
        <w:rPr>
          <w:rFonts w:hint="eastAsia" w:ascii="宋体" w:hAnsi="宋体"/>
        </w:rPr>
      </w:pPr>
    </w:p>
    <w:p>
      <w:pPr>
        <w:spacing w:line="360" w:lineRule="exact"/>
        <w:ind w:left="141" w:leftChars="67" w:right="258" w:rightChars="123" w:firstLine="489" w:firstLineChars="233"/>
        <w:rPr>
          <w:rFonts w:hint="eastAsia" w:ascii="宋体" w:hAnsi="宋体"/>
        </w:rPr>
      </w:pPr>
    </w:p>
    <w:p>
      <w:pPr>
        <w:spacing w:after="60" w:line="320" w:lineRule="exact"/>
        <w:ind w:left="1521" w:hanging="1521" w:hangingChars="541"/>
        <w:rPr>
          <w:rFonts w:hint="eastAsia" w:ascii="宋体" w:hAnsi="宋体"/>
          <w:b/>
          <w:color w:val="000000"/>
          <w:sz w:val="28"/>
          <w:szCs w:val="28"/>
        </w:rPr>
      </w:pPr>
    </w:p>
    <w:p>
      <w:pPr>
        <w:spacing w:after="60" w:line="320" w:lineRule="exact"/>
        <w:ind w:left="1521" w:hanging="1521" w:hangingChars="541"/>
        <w:rPr>
          <w:rFonts w:hint="eastAsia" w:ascii="宋体" w:hAnsi="宋体"/>
          <w:b/>
          <w:color w:val="000000"/>
          <w:sz w:val="28"/>
          <w:szCs w:val="28"/>
        </w:rPr>
      </w:pPr>
    </w:p>
    <w:p>
      <w:pPr>
        <w:widowControl/>
        <w:spacing w:line="320" w:lineRule="exact"/>
        <w:ind w:firstLine="2310" w:firstLineChars="1100"/>
        <w:rPr>
          <w:rFonts w:hint="eastAsia" w:ascii="宋体" w:hAnsi="宋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23586"/>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hint="eastAsia" w:ascii="宋体" w:hAnsi="宋体" w:cs="宋体"/>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CF92"/>
    <w:multiLevelType w:val="singleLevel"/>
    <w:tmpl w:val="ABBACF92"/>
    <w:lvl w:ilvl="0" w:tentative="0">
      <w:start w:val="1"/>
      <w:numFmt w:val="decimal"/>
      <w:suff w:val="space"/>
      <w:lvlText w:val="%1."/>
      <w:lvlJc w:val="left"/>
    </w:lvl>
  </w:abstractNum>
  <w:abstractNum w:abstractNumId="1">
    <w:nsid w:val="0C984462"/>
    <w:multiLevelType w:val="multilevel"/>
    <w:tmpl w:val="0C98446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24772F9"/>
    <w:multiLevelType w:val="multilevel"/>
    <w:tmpl w:val="124772F9"/>
    <w:lvl w:ilvl="0" w:tentative="0">
      <w:start w:val="9"/>
      <w:numFmt w:val="japaneseCounting"/>
      <w:lvlText w:val="%1、"/>
      <w:lvlJc w:val="left"/>
      <w:pPr>
        <w:ind w:left="1040" w:hanging="600"/>
      </w:pPr>
      <w:rPr>
        <w:rFonts w:hint="default" w:ascii="Times New Roman" w:hAnsi="Times New Roman"/>
        <w:b/>
        <w:color w:val="000000"/>
        <w:sz w:val="28"/>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39c93f82-909f-4a0a-b621-2f41db74553b"/>
  </w:docVars>
  <w:rsids>
    <w:rsidRoot w:val="00EE2525"/>
    <w:rsid w:val="00000D17"/>
    <w:rsid w:val="00000DCB"/>
    <w:rsid w:val="00000F5E"/>
    <w:rsid w:val="00001D49"/>
    <w:rsid w:val="00001F24"/>
    <w:rsid w:val="000022EA"/>
    <w:rsid w:val="00003873"/>
    <w:rsid w:val="00004D6D"/>
    <w:rsid w:val="00006320"/>
    <w:rsid w:val="0000793C"/>
    <w:rsid w:val="00007B0B"/>
    <w:rsid w:val="000102F1"/>
    <w:rsid w:val="00011789"/>
    <w:rsid w:val="000122E6"/>
    <w:rsid w:val="000127D5"/>
    <w:rsid w:val="00012865"/>
    <w:rsid w:val="000137D3"/>
    <w:rsid w:val="00015980"/>
    <w:rsid w:val="00015B32"/>
    <w:rsid w:val="00023DA1"/>
    <w:rsid w:val="000259BC"/>
    <w:rsid w:val="00025AD6"/>
    <w:rsid w:val="00027997"/>
    <w:rsid w:val="0003161B"/>
    <w:rsid w:val="00031838"/>
    <w:rsid w:val="000327EA"/>
    <w:rsid w:val="00036505"/>
    <w:rsid w:val="00036947"/>
    <w:rsid w:val="00036E2A"/>
    <w:rsid w:val="00042BB7"/>
    <w:rsid w:val="000430B0"/>
    <w:rsid w:val="00044D74"/>
    <w:rsid w:val="000456DE"/>
    <w:rsid w:val="00051F82"/>
    <w:rsid w:val="000534DA"/>
    <w:rsid w:val="00053536"/>
    <w:rsid w:val="000546AA"/>
    <w:rsid w:val="00054DF9"/>
    <w:rsid w:val="000576F1"/>
    <w:rsid w:val="00057DD7"/>
    <w:rsid w:val="0006304C"/>
    <w:rsid w:val="0006542A"/>
    <w:rsid w:val="000679BE"/>
    <w:rsid w:val="00067F88"/>
    <w:rsid w:val="000714C3"/>
    <w:rsid w:val="00072D1C"/>
    <w:rsid w:val="0007547E"/>
    <w:rsid w:val="00075763"/>
    <w:rsid w:val="00076A6E"/>
    <w:rsid w:val="00076F7A"/>
    <w:rsid w:val="00077845"/>
    <w:rsid w:val="00081D2E"/>
    <w:rsid w:val="00085776"/>
    <w:rsid w:val="000863B9"/>
    <w:rsid w:val="00087452"/>
    <w:rsid w:val="00090C0A"/>
    <w:rsid w:val="00090C4B"/>
    <w:rsid w:val="00091616"/>
    <w:rsid w:val="000958B9"/>
    <w:rsid w:val="00095955"/>
    <w:rsid w:val="0009739B"/>
    <w:rsid w:val="000A0779"/>
    <w:rsid w:val="000A18FA"/>
    <w:rsid w:val="000A1EF2"/>
    <w:rsid w:val="000A2BA8"/>
    <w:rsid w:val="000A2F79"/>
    <w:rsid w:val="000A58A6"/>
    <w:rsid w:val="000A62EA"/>
    <w:rsid w:val="000A6FB9"/>
    <w:rsid w:val="000B12D9"/>
    <w:rsid w:val="000B1DA4"/>
    <w:rsid w:val="000B1E21"/>
    <w:rsid w:val="000B6416"/>
    <w:rsid w:val="000B7711"/>
    <w:rsid w:val="000B79BE"/>
    <w:rsid w:val="000C04E0"/>
    <w:rsid w:val="000C0B4C"/>
    <w:rsid w:val="000C2253"/>
    <w:rsid w:val="000C2C1A"/>
    <w:rsid w:val="000C42B7"/>
    <w:rsid w:val="000C5059"/>
    <w:rsid w:val="000D08A8"/>
    <w:rsid w:val="000D0CB7"/>
    <w:rsid w:val="000D1404"/>
    <w:rsid w:val="000D29AA"/>
    <w:rsid w:val="000D3E7C"/>
    <w:rsid w:val="000D78CD"/>
    <w:rsid w:val="000E4B4B"/>
    <w:rsid w:val="000E5726"/>
    <w:rsid w:val="000E5BED"/>
    <w:rsid w:val="000E6061"/>
    <w:rsid w:val="000E6836"/>
    <w:rsid w:val="000E6D80"/>
    <w:rsid w:val="000E75CA"/>
    <w:rsid w:val="000F230C"/>
    <w:rsid w:val="000F240F"/>
    <w:rsid w:val="000F38DF"/>
    <w:rsid w:val="000F5D0F"/>
    <w:rsid w:val="00100D65"/>
    <w:rsid w:val="00100EED"/>
    <w:rsid w:val="00100F62"/>
    <w:rsid w:val="00101B90"/>
    <w:rsid w:val="00104905"/>
    <w:rsid w:val="00106609"/>
    <w:rsid w:val="0010660A"/>
    <w:rsid w:val="0010762D"/>
    <w:rsid w:val="00110D6E"/>
    <w:rsid w:val="001119C4"/>
    <w:rsid w:val="0011301E"/>
    <w:rsid w:val="00123BA6"/>
    <w:rsid w:val="00123F24"/>
    <w:rsid w:val="001327E4"/>
    <w:rsid w:val="00132A81"/>
    <w:rsid w:val="001345AB"/>
    <w:rsid w:val="00134BA3"/>
    <w:rsid w:val="00136177"/>
    <w:rsid w:val="001412BC"/>
    <w:rsid w:val="00143BB1"/>
    <w:rsid w:val="001445B8"/>
    <w:rsid w:val="00146473"/>
    <w:rsid w:val="00147465"/>
    <w:rsid w:val="00147BEE"/>
    <w:rsid w:val="001502BE"/>
    <w:rsid w:val="00151A2E"/>
    <w:rsid w:val="00151EE0"/>
    <w:rsid w:val="0015246E"/>
    <w:rsid w:val="00152C32"/>
    <w:rsid w:val="0015597D"/>
    <w:rsid w:val="001563CA"/>
    <w:rsid w:val="00156F90"/>
    <w:rsid w:val="00157BEC"/>
    <w:rsid w:val="001607AF"/>
    <w:rsid w:val="001618BE"/>
    <w:rsid w:val="001626AA"/>
    <w:rsid w:val="00165544"/>
    <w:rsid w:val="001658AA"/>
    <w:rsid w:val="001710BF"/>
    <w:rsid w:val="00177F0B"/>
    <w:rsid w:val="001803FD"/>
    <w:rsid w:val="00183565"/>
    <w:rsid w:val="00183EC1"/>
    <w:rsid w:val="00184C93"/>
    <w:rsid w:val="001919AD"/>
    <w:rsid w:val="00193C6D"/>
    <w:rsid w:val="00193EDA"/>
    <w:rsid w:val="00194DAF"/>
    <w:rsid w:val="00194FA2"/>
    <w:rsid w:val="00195757"/>
    <w:rsid w:val="001965BB"/>
    <w:rsid w:val="00196778"/>
    <w:rsid w:val="00196EAD"/>
    <w:rsid w:val="00197B5D"/>
    <w:rsid w:val="001A02C2"/>
    <w:rsid w:val="001A0875"/>
    <w:rsid w:val="001A17DD"/>
    <w:rsid w:val="001A2C67"/>
    <w:rsid w:val="001A4FBB"/>
    <w:rsid w:val="001A5677"/>
    <w:rsid w:val="001A57E2"/>
    <w:rsid w:val="001A5834"/>
    <w:rsid w:val="001B10AC"/>
    <w:rsid w:val="001B2503"/>
    <w:rsid w:val="001B3DBB"/>
    <w:rsid w:val="001B57D2"/>
    <w:rsid w:val="001C046A"/>
    <w:rsid w:val="001C0CD0"/>
    <w:rsid w:val="001C323B"/>
    <w:rsid w:val="001C4813"/>
    <w:rsid w:val="001C61C1"/>
    <w:rsid w:val="001C6C0F"/>
    <w:rsid w:val="001C752A"/>
    <w:rsid w:val="001C791D"/>
    <w:rsid w:val="001D10CB"/>
    <w:rsid w:val="001D130F"/>
    <w:rsid w:val="001D15BE"/>
    <w:rsid w:val="001E1487"/>
    <w:rsid w:val="001E7279"/>
    <w:rsid w:val="001F0721"/>
    <w:rsid w:val="001F0F69"/>
    <w:rsid w:val="001F2AD4"/>
    <w:rsid w:val="001F34B6"/>
    <w:rsid w:val="00203B43"/>
    <w:rsid w:val="00203D3C"/>
    <w:rsid w:val="002042DC"/>
    <w:rsid w:val="00204BAA"/>
    <w:rsid w:val="00205257"/>
    <w:rsid w:val="00205A75"/>
    <w:rsid w:val="00206236"/>
    <w:rsid w:val="00206AA0"/>
    <w:rsid w:val="002152B7"/>
    <w:rsid w:val="00217374"/>
    <w:rsid w:val="002206AF"/>
    <w:rsid w:val="00221270"/>
    <w:rsid w:val="002212E5"/>
    <w:rsid w:val="002228AA"/>
    <w:rsid w:val="00222CF7"/>
    <w:rsid w:val="0022489C"/>
    <w:rsid w:val="00226DE9"/>
    <w:rsid w:val="00227565"/>
    <w:rsid w:val="00227E22"/>
    <w:rsid w:val="00227E44"/>
    <w:rsid w:val="00230894"/>
    <w:rsid w:val="0023436B"/>
    <w:rsid w:val="00235561"/>
    <w:rsid w:val="00236614"/>
    <w:rsid w:val="00237150"/>
    <w:rsid w:val="00237D2B"/>
    <w:rsid w:val="002426EF"/>
    <w:rsid w:val="002430E0"/>
    <w:rsid w:val="00243CF0"/>
    <w:rsid w:val="00247B32"/>
    <w:rsid w:val="00247C7B"/>
    <w:rsid w:val="00251432"/>
    <w:rsid w:val="00251F4F"/>
    <w:rsid w:val="00252051"/>
    <w:rsid w:val="00253E48"/>
    <w:rsid w:val="00254127"/>
    <w:rsid w:val="00254304"/>
    <w:rsid w:val="00254949"/>
    <w:rsid w:val="00255EFC"/>
    <w:rsid w:val="002612ED"/>
    <w:rsid w:val="002627A3"/>
    <w:rsid w:val="00263CB1"/>
    <w:rsid w:val="00264C15"/>
    <w:rsid w:val="00266AA2"/>
    <w:rsid w:val="0026737D"/>
    <w:rsid w:val="00267C39"/>
    <w:rsid w:val="00272284"/>
    <w:rsid w:val="00272928"/>
    <w:rsid w:val="00272952"/>
    <w:rsid w:val="002828EA"/>
    <w:rsid w:val="0028321D"/>
    <w:rsid w:val="002906B4"/>
    <w:rsid w:val="00290B56"/>
    <w:rsid w:val="00293481"/>
    <w:rsid w:val="00295F48"/>
    <w:rsid w:val="00297265"/>
    <w:rsid w:val="002A14AC"/>
    <w:rsid w:val="002A30CA"/>
    <w:rsid w:val="002A456D"/>
    <w:rsid w:val="002A576F"/>
    <w:rsid w:val="002A63C3"/>
    <w:rsid w:val="002A64C7"/>
    <w:rsid w:val="002A7FFB"/>
    <w:rsid w:val="002B1321"/>
    <w:rsid w:val="002B338D"/>
    <w:rsid w:val="002B6B37"/>
    <w:rsid w:val="002B75A3"/>
    <w:rsid w:val="002B7BAC"/>
    <w:rsid w:val="002C04D0"/>
    <w:rsid w:val="002C3FA1"/>
    <w:rsid w:val="002C4512"/>
    <w:rsid w:val="002C6AE9"/>
    <w:rsid w:val="002C7226"/>
    <w:rsid w:val="002D1C94"/>
    <w:rsid w:val="002D2C64"/>
    <w:rsid w:val="002D447A"/>
    <w:rsid w:val="002D4B74"/>
    <w:rsid w:val="002D732F"/>
    <w:rsid w:val="002D734B"/>
    <w:rsid w:val="002E0453"/>
    <w:rsid w:val="002E1066"/>
    <w:rsid w:val="002E1403"/>
    <w:rsid w:val="002E2F4D"/>
    <w:rsid w:val="002E4AD1"/>
    <w:rsid w:val="002E6FAC"/>
    <w:rsid w:val="002E770A"/>
    <w:rsid w:val="002F131C"/>
    <w:rsid w:val="002F3F1B"/>
    <w:rsid w:val="002F4257"/>
    <w:rsid w:val="002F4CAE"/>
    <w:rsid w:val="002F71F0"/>
    <w:rsid w:val="00301201"/>
    <w:rsid w:val="00301716"/>
    <w:rsid w:val="00303567"/>
    <w:rsid w:val="003042CF"/>
    <w:rsid w:val="00304455"/>
    <w:rsid w:val="00304F08"/>
    <w:rsid w:val="0030760C"/>
    <w:rsid w:val="00307BF3"/>
    <w:rsid w:val="00311680"/>
    <w:rsid w:val="0031350F"/>
    <w:rsid w:val="003135D8"/>
    <w:rsid w:val="00316F98"/>
    <w:rsid w:val="00320FBE"/>
    <w:rsid w:val="00321B70"/>
    <w:rsid w:val="00322ACC"/>
    <w:rsid w:val="00324E04"/>
    <w:rsid w:val="00325986"/>
    <w:rsid w:val="00333F7F"/>
    <w:rsid w:val="00334D65"/>
    <w:rsid w:val="00334D83"/>
    <w:rsid w:val="00334FEC"/>
    <w:rsid w:val="0033624A"/>
    <w:rsid w:val="00336698"/>
    <w:rsid w:val="00337146"/>
    <w:rsid w:val="00337564"/>
    <w:rsid w:val="0033788C"/>
    <w:rsid w:val="0034224A"/>
    <w:rsid w:val="00342409"/>
    <w:rsid w:val="00350927"/>
    <w:rsid w:val="00353EBE"/>
    <w:rsid w:val="0035421C"/>
    <w:rsid w:val="00354D5F"/>
    <w:rsid w:val="00356198"/>
    <w:rsid w:val="00356876"/>
    <w:rsid w:val="00360C4F"/>
    <w:rsid w:val="00363A6F"/>
    <w:rsid w:val="00363B9A"/>
    <w:rsid w:val="00363D20"/>
    <w:rsid w:val="00364EC7"/>
    <w:rsid w:val="003653B6"/>
    <w:rsid w:val="00367343"/>
    <w:rsid w:val="00370B82"/>
    <w:rsid w:val="00371B45"/>
    <w:rsid w:val="00372A31"/>
    <w:rsid w:val="0037316D"/>
    <w:rsid w:val="00373E32"/>
    <w:rsid w:val="00373EB7"/>
    <w:rsid w:val="00374659"/>
    <w:rsid w:val="003821D5"/>
    <w:rsid w:val="003847C7"/>
    <w:rsid w:val="003861BC"/>
    <w:rsid w:val="0038782E"/>
    <w:rsid w:val="00391D8A"/>
    <w:rsid w:val="003967D0"/>
    <w:rsid w:val="00397601"/>
    <w:rsid w:val="0039771C"/>
    <w:rsid w:val="003977AF"/>
    <w:rsid w:val="003978D1"/>
    <w:rsid w:val="00397E8F"/>
    <w:rsid w:val="003A04F7"/>
    <w:rsid w:val="003A0840"/>
    <w:rsid w:val="003A1A71"/>
    <w:rsid w:val="003A3084"/>
    <w:rsid w:val="003A4B11"/>
    <w:rsid w:val="003A6CAB"/>
    <w:rsid w:val="003A7359"/>
    <w:rsid w:val="003B09B4"/>
    <w:rsid w:val="003B0C63"/>
    <w:rsid w:val="003B1F6C"/>
    <w:rsid w:val="003B2CFD"/>
    <w:rsid w:val="003B5B68"/>
    <w:rsid w:val="003B7150"/>
    <w:rsid w:val="003C178B"/>
    <w:rsid w:val="003C266E"/>
    <w:rsid w:val="003C30F3"/>
    <w:rsid w:val="003C3F8D"/>
    <w:rsid w:val="003C4144"/>
    <w:rsid w:val="003C64FD"/>
    <w:rsid w:val="003C6B27"/>
    <w:rsid w:val="003C7B70"/>
    <w:rsid w:val="003C7C7D"/>
    <w:rsid w:val="003D13AA"/>
    <w:rsid w:val="003D1608"/>
    <w:rsid w:val="003D3B87"/>
    <w:rsid w:val="003D5ECD"/>
    <w:rsid w:val="003D668F"/>
    <w:rsid w:val="003E140F"/>
    <w:rsid w:val="003E1708"/>
    <w:rsid w:val="003E7640"/>
    <w:rsid w:val="003F062A"/>
    <w:rsid w:val="003F0B8E"/>
    <w:rsid w:val="003F3515"/>
    <w:rsid w:val="003F693C"/>
    <w:rsid w:val="003F6AF5"/>
    <w:rsid w:val="004000DB"/>
    <w:rsid w:val="00402809"/>
    <w:rsid w:val="00402C9A"/>
    <w:rsid w:val="00403E44"/>
    <w:rsid w:val="00404469"/>
    <w:rsid w:val="004053D1"/>
    <w:rsid w:val="00407D6D"/>
    <w:rsid w:val="0041217F"/>
    <w:rsid w:val="00413C67"/>
    <w:rsid w:val="00413CB5"/>
    <w:rsid w:val="00415B7D"/>
    <w:rsid w:val="00416F8E"/>
    <w:rsid w:val="00420BE2"/>
    <w:rsid w:val="0042275B"/>
    <w:rsid w:val="004227AA"/>
    <w:rsid w:val="00424CB0"/>
    <w:rsid w:val="00427DD3"/>
    <w:rsid w:val="00431026"/>
    <w:rsid w:val="004320B7"/>
    <w:rsid w:val="004332F9"/>
    <w:rsid w:val="0043771B"/>
    <w:rsid w:val="00441347"/>
    <w:rsid w:val="00442267"/>
    <w:rsid w:val="004437F5"/>
    <w:rsid w:val="00443B79"/>
    <w:rsid w:val="00444129"/>
    <w:rsid w:val="004447B1"/>
    <w:rsid w:val="00444FC1"/>
    <w:rsid w:val="0044531A"/>
    <w:rsid w:val="00450E58"/>
    <w:rsid w:val="00452617"/>
    <w:rsid w:val="004541B7"/>
    <w:rsid w:val="00454400"/>
    <w:rsid w:val="00454A79"/>
    <w:rsid w:val="00456045"/>
    <w:rsid w:val="00457A11"/>
    <w:rsid w:val="00464885"/>
    <w:rsid w:val="004651C3"/>
    <w:rsid w:val="00465481"/>
    <w:rsid w:val="004665AE"/>
    <w:rsid w:val="00466F81"/>
    <w:rsid w:val="00470A1A"/>
    <w:rsid w:val="0047228C"/>
    <w:rsid w:val="0047305B"/>
    <w:rsid w:val="00474ACB"/>
    <w:rsid w:val="00475924"/>
    <w:rsid w:val="00475E52"/>
    <w:rsid w:val="00476E99"/>
    <w:rsid w:val="00481693"/>
    <w:rsid w:val="00481D43"/>
    <w:rsid w:val="004844E5"/>
    <w:rsid w:val="00484513"/>
    <w:rsid w:val="004928A2"/>
    <w:rsid w:val="00492BC7"/>
    <w:rsid w:val="00493413"/>
    <w:rsid w:val="004957A5"/>
    <w:rsid w:val="004958B6"/>
    <w:rsid w:val="0049747C"/>
    <w:rsid w:val="004A5756"/>
    <w:rsid w:val="004A602C"/>
    <w:rsid w:val="004A695F"/>
    <w:rsid w:val="004B2BB0"/>
    <w:rsid w:val="004B4F0B"/>
    <w:rsid w:val="004B50AF"/>
    <w:rsid w:val="004B6577"/>
    <w:rsid w:val="004C0337"/>
    <w:rsid w:val="004C38C1"/>
    <w:rsid w:val="004C4C6C"/>
    <w:rsid w:val="004C5954"/>
    <w:rsid w:val="004C781A"/>
    <w:rsid w:val="004C7BE8"/>
    <w:rsid w:val="004D1FA5"/>
    <w:rsid w:val="004D209C"/>
    <w:rsid w:val="004D211C"/>
    <w:rsid w:val="004D7B85"/>
    <w:rsid w:val="004E5F64"/>
    <w:rsid w:val="004F24E8"/>
    <w:rsid w:val="004F36D8"/>
    <w:rsid w:val="004F4A18"/>
    <w:rsid w:val="0050025A"/>
    <w:rsid w:val="00501EAC"/>
    <w:rsid w:val="00511DBC"/>
    <w:rsid w:val="005122A4"/>
    <w:rsid w:val="00515886"/>
    <w:rsid w:val="00516075"/>
    <w:rsid w:val="0052246C"/>
    <w:rsid w:val="005230E2"/>
    <w:rsid w:val="0052450E"/>
    <w:rsid w:val="00524B70"/>
    <w:rsid w:val="00525134"/>
    <w:rsid w:val="005254CE"/>
    <w:rsid w:val="00526757"/>
    <w:rsid w:val="00530610"/>
    <w:rsid w:val="00530F85"/>
    <w:rsid w:val="0053209C"/>
    <w:rsid w:val="005331A1"/>
    <w:rsid w:val="00533F97"/>
    <w:rsid w:val="005359CC"/>
    <w:rsid w:val="005366D0"/>
    <w:rsid w:val="00537B70"/>
    <w:rsid w:val="00540BFA"/>
    <w:rsid w:val="00541582"/>
    <w:rsid w:val="00545EE8"/>
    <w:rsid w:val="00547E5A"/>
    <w:rsid w:val="00550142"/>
    <w:rsid w:val="005509AC"/>
    <w:rsid w:val="005530BE"/>
    <w:rsid w:val="005546F6"/>
    <w:rsid w:val="00560340"/>
    <w:rsid w:val="00560677"/>
    <w:rsid w:val="0056246C"/>
    <w:rsid w:val="005627A8"/>
    <w:rsid w:val="00565BE4"/>
    <w:rsid w:val="005709B2"/>
    <w:rsid w:val="005750E5"/>
    <w:rsid w:val="005753A2"/>
    <w:rsid w:val="005773C0"/>
    <w:rsid w:val="00580AEF"/>
    <w:rsid w:val="00581309"/>
    <w:rsid w:val="00581FA2"/>
    <w:rsid w:val="00582EE3"/>
    <w:rsid w:val="0058309A"/>
    <w:rsid w:val="005837F2"/>
    <w:rsid w:val="00584EFC"/>
    <w:rsid w:val="00590829"/>
    <w:rsid w:val="00592EB6"/>
    <w:rsid w:val="00593241"/>
    <w:rsid w:val="00593374"/>
    <w:rsid w:val="00593596"/>
    <w:rsid w:val="0059585D"/>
    <w:rsid w:val="00597D3D"/>
    <w:rsid w:val="005A0851"/>
    <w:rsid w:val="005A1878"/>
    <w:rsid w:val="005A2256"/>
    <w:rsid w:val="005A3FE2"/>
    <w:rsid w:val="005A60E5"/>
    <w:rsid w:val="005B0FF4"/>
    <w:rsid w:val="005B6758"/>
    <w:rsid w:val="005B7678"/>
    <w:rsid w:val="005C225D"/>
    <w:rsid w:val="005C2F5D"/>
    <w:rsid w:val="005C4996"/>
    <w:rsid w:val="005C50A6"/>
    <w:rsid w:val="005C5847"/>
    <w:rsid w:val="005C655D"/>
    <w:rsid w:val="005D187D"/>
    <w:rsid w:val="005D2300"/>
    <w:rsid w:val="005D40C1"/>
    <w:rsid w:val="005D4E08"/>
    <w:rsid w:val="005D73CD"/>
    <w:rsid w:val="005E0315"/>
    <w:rsid w:val="005E0A36"/>
    <w:rsid w:val="005E156C"/>
    <w:rsid w:val="005E1E6D"/>
    <w:rsid w:val="005E4EFF"/>
    <w:rsid w:val="005E563A"/>
    <w:rsid w:val="005F14CD"/>
    <w:rsid w:val="005F2887"/>
    <w:rsid w:val="005F3FD9"/>
    <w:rsid w:val="005F5DC9"/>
    <w:rsid w:val="00600738"/>
    <w:rsid w:val="00601D81"/>
    <w:rsid w:val="0060406A"/>
    <w:rsid w:val="006044C0"/>
    <w:rsid w:val="00604D43"/>
    <w:rsid w:val="006056B2"/>
    <w:rsid w:val="00605CA2"/>
    <w:rsid w:val="0060710B"/>
    <w:rsid w:val="00607D3D"/>
    <w:rsid w:val="006110D9"/>
    <w:rsid w:val="00614931"/>
    <w:rsid w:val="0061687E"/>
    <w:rsid w:val="00617888"/>
    <w:rsid w:val="00621F86"/>
    <w:rsid w:val="00625221"/>
    <w:rsid w:val="006252E6"/>
    <w:rsid w:val="0062768C"/>
    <w:rsid w:val="00627B05"/>
    <w:rsid w:val="00632F2E"/>
    <w:rsid w:val="0063330B"/>
    <w:rsid w:val="00633B27"/>
    <w:rsid w:val="00634969"/>
    <w:rsid w:val="00635419"/>
    <w:rsid w:val="00635705"/>
    <w:rsid w:val="006358AC"/>
    <w:rsid w:val="006358B4"/>
    <w:rsid w:val="00636D05"/>
    <w:rsid w:val="006429CE"/>
    <w:rsid w:val="0064492D"/>
    <w:rsid w:val="00647056"/>
    <w:rsid w:val="00647E4E"/>
    <w:rsid w:val="0065624A"/>
    <w:rsid w:val="006563ED"/>
    <w:rsid w:val="006564F0"/>
    <w:rsid w:val="006573AC"/>
    <w:rsid w:val="0066039D"/>
    <w:rsid w:val="006646EE"/>
    <w:rsid w:val="00665250"/>
    <w:rsid w:val="00665F81"/>
    <w:rsid w:val="006728C6"/>
    <w:rsid w:val="00672B94"/>
    <w:rsid w:val="00675831"/>
    <w:rsid w:val="00677636"/>
    <w:rsid w:val="00680A6B"/>
    <w:rsid w:val="00681E21"/>
    <w:rsid w:val="006829DD"/>
    <w:rsid w:val="006843DF"/>
    <w:rsid w:val="00684CCF"/>
    <w:rsid w:val="006876A8"/>
    <w:rsid w:val="00690CD9"/>
    <w:rsid w:val="00690F5A"/>
    <w:rsid w:val="00691FA4"/>
    <w:rsid w:val="00695161"/>
    <w:rsid w:val="006A0EDC"/>
    <w:rsid w:val="006A3834"/>
    <w:rsid w:val="006A3C40"/>
    <w:rsid w:val="006A4A66"/>
    <w:rsid w:val="006A6BE9"/>
    <w:rsid w:val="006A70D2"/>
    <w:rsid w:val="006B1AC8"/>
    <w:rsid w:val="006B25F9"/>
    <w:rsid w:val="006B356C"/>
    <w:rsid w:val="006B7023"/>
    <w:rsid w:val="006C15F4"/>
    <w:rsid w:val="006C199A"/>
    <w:rsid w:val="006C20DE"/>
    <w:rsid w:val="006C25D1"/>
    <w:rsid w:val="006C2E62"/>
    <w:rsid w:val="006C481A"/>
    <w:rsid w:val="006C54BA"/>
    <w:rsid w:val="006C5728"/>
    <w:rsid w:val="006C727C"/>
    <w:rsid w:val="006D105D"/>
    <w:rsid w:val="006D165D"/>
    <w:rsid w:val="006D31AD"/>
    <w:rsid w:val="006D4355"/>
    <w:rsid w:val="006D677C"/>
    <w:rsid w:val="006E2A32"/>
    <w:rsid w:val="006E346A"/>
    <w:rsid w:val="006E57A2"/>
    <w:rsid w:val="006E6902"/>
    <w:rsid w:val="006F0962"/>
    <w:rsid w:val="006F0A02"/>
    <w:rsid w:val="006F2D55"/>
    <w:rsid w:val="006F4E32"/>
    <w:rsid w:val="006F7A9B"/>
    <w:rsid w:val="00700642"/>
    <w:rsid w:val="00703F15"/>
    <w:rsid w:val="0070452E"/>
    <w:rsid w:val="00704F00"/>
    <w:rsid w:val="0070554E"/>
    <w:rsid w:val="007061F5"/>
    <w:rsid w:val="00706DEF"/>
    <w:rsid w:val="0071468A"/>
    <w:rsid w:val="00717ACD"/>
    <w:rsid w:val="00720721"/>
    <w:rsid w:val="00721A80"/>
    <w:rsid w:val="00723838"/>
    <w:rsid w:val="0072640C"/>
    <w:rsid w:val="00727A6D"/>
    <w:rsid w:val="00730D05"/>
    <w:rsid w:val="00731346"/>
    <w:rsid w:val="007316C8"/>
    <w:rsid w:val="00731E4F"/>
    <w:rsid w:val="007329FB"/>
    <w:rsid w:val="0073320B"/>
    <w:rsid w:val="007336E0"/>
    <w:rsid w:val="00736606"/>
    <w:rsid w:val="00736CBC"/>
    <w:rsid w:val="007376FD"/>
    <w:rsid w:val="0074275C"/>
    <w:rsid w:val="00742F7B"/>
    <w:rsid w:val="007460B8"/>
    <w:rsid w:val="00747B37"/>
    <w:rsid w:val="0075120A"/>
    <w:rsid w:val="00751B01"/>
    <w:rsid w:val="00752443"/>
    <w:rsid w:val="0075319F"/>
    <w:rsid w:val="00754053"/>
    <w:rsid w:val="00757378"/>
    <w:rsid w:val="00762AA3"/>
    <w:rsid w:val="00763BD2"/>
    <w:rsid w:val="00763EA4"/>
    <w:rsid w:val="00764F53"/>
    <w:rsid w:val="00766945"/>
    <w:rsid w:val="00771A63"/>
    <w:rsid w:val="00772B18"/>
    <w:rsid w:val="00772B6C"/>
    <w:rsid w:val="0077302D"/>
    <w:rsid w:val="00774762"/>
    <w:rsid w:val="00775EC8"/>
    <w:rsid w:val="00780FB3"/>
    <w:rsid w:val="007812FC"/>
    <w:rsid w:val="00785CB5"/>
    <w:rsid w:val="007939AF"/>
    <w:rsid w:val="00795C74"/>
    <w:rsid w:val="007965D6"/>
    <w:rsid w:val="007970F0"/>
    <w:rsid w:val="00797412"/>
    <w:rsid w:val="00797594"/>
    <w:rsid w:val="007A2EA7"/>
    <w:rsid w:val="007A3279"/>
    <w:rsid w:val="007A37DD"/>
    <w:rsid w:val="007B4AED"/>
    <w:rsid w:val="007B4DD4"/>
    <w:rsid w:val="007B52A8"/>
    <w:rsid w:val="007B53A2"/>
    <w:rsid w:val="007B7BB2"/>
    <w:rsid w:val="007B7C4D"/>
    <w:rsid w:val="007B7F70"/>
    <w:rsid w:val="007C1226"/>
    <w:rsid w:val="007C1D3B"/>
    <w:rsid w:val="007C4E98"/>
    <w:rsid w:val="007C6255"/>
    <w:rsid w:val="007C6CC9"/>
    <w:rsid w:val="007D16E4"/>
    <w:rsid w:val="007D38A8"/>
    <w:rsid w:val="007D55D1"/>
    <w:rsid w:val="007D6FA6"/>
    <w:rsid w:val="007E002C"/>
    <w:rsid w:val="007E1B58"/>
    <w:rsid w:val="007E38A3"/>
    <w:rsid w:val="007E3BC2"/>
    <w:rsid w:val="007E6CDC"/>
    <w:rsid w:val="007F041D"/>
    <w:rsid w:val="007F05EB"/>
    <w:rsid w:val="007F0BF9"/>
    <w:rsid w:val="007F170F"/>
    <w:rsid w:val="007F1828"/>
    <w:rsid w:val="007F35FE"/>
    <w:rsid w:val="007F3E26"/>
    <w:rsid w:val="007F4E9A"/>
    <w:rsid w:val="007F6A7F"/>
    <w:rsid w:val="008046DC"/>
    <w:rsid w:val="00810FE0"/>
    <w:rsid w:val="00811F91"/>
    <w:rsid w:val="00812196"/>
    <w:rsid w:val="00820145"/>
    <w:rsid w:val="00821792"/>
    <w:rsid w:val="0082199A"/>
    <w:rsid w:val="00821A49"/>
    <w:rsid w:val="00822142"/>
    <w:rsid w:val="0082404D"/>
    <w:rsid w:val="0082496A"/>
    <w:rsid w:val="00824AF4"/>
    <w:rsid w:val="00825161"/>
    <w:rsid w:val="00825E48"/>
    <w:rsid w:val="00825E5A"/>
    <w:rsid w:val="00825EFA"/>
    <w:rsid w:val="008316A4"/>
    <w:rsid w:val="00832D0C"/>
    <w:rsid w:val="00834BDF"/>
    <w:rsid w:val="00835A69"/>
    <w:rsid w:val="00835FCA"/>
    <w:rsid w:val="00837578"/>
    <w:rsid w:val="00841059"/>
    <w:rsid w:val="00842C9E"/>
    <w:rsid w:val="00844837"/>
    <w:rsid w:val="00847EFA"/>
    <w:rsid w:val="00847F13"/>
    <w:rsid w:val="00853A86"/>
    <w:rsid w:val="00855D88"/>
    <w:rsid w:val="00856CC4"/>
    <w:rsid w:val="00857D87"/>
    <w:rsid w:val="00857DFE"/>
    <w:rsid w:val="008613E7"/>
    <w:rsid w:val="00863179"/>
    <w:rsid w:val="0086612B"/>
    <w:rsid w:val="00866170"/>
    <w:rsid w:val="00867132"/>
    <w:rsid w:val="00867B80"/>
    <w:rsid w:val="00867C53"/>
    <w:rsid w:val="00870060"/>
    <w:rsid w:val="00873ACD"/>
    <w:rsid w:val="00873FE7"/>
    <w:rsid w:val="008747C8"/>
    <w:rsid w:val="00874FBD"/>
    <w:rsid w:val="00875BB6"/>
    <w:rsid w:val="00881044"/>
    <w:rsid w:val="00882358"/>
    <w:rsid w:val="00882CCF"/>
    <w:rsid w:val="00887810"/>
    <w:rsid w:val="008927E5"/>
    <w:rsid w:val="00894D01"/>
    <w:rsid w:val="00895205"/>
    <w:rsid w:val="00895FB0"/>
    <w:rsid w:val="008A23EF"/>
    <w:rsid w:val="008A5BE9"/>
    <w:rsid w:val="008A608B"/>
    <w:rsid w:val="008B00E9"/>
    <w:rsid w:val="008B0CED"/>
    <w:rsid w:val="008B4387"/>
    <w:rsid w:val="008B61CA"/>
    <w:rsid w:val="008B64A2"/>
    <w:rsid w:val="008B6B5D"/>
    <w:rsid w:val="008B7021"/>
    <w:rsid w:val="008C0D2E"/>
    <w:rsid w:val="008C1E2D"/>
    <w:rsid w:val="008C6FA8"/>
    <w:rsid w:val="008C7A1F"/>
    <w:rsid w:val="008D1422"/>
    <w:rsid w:val="008D23C6"/>
    <w:rsid w:val="008D5B3D"/>
    <w:rsid w:val="008D6871"/>
    <w:rsid w:val="008D7B69"/>
    <w:rsid w:val="008E014A"/>
    <w:rsid w:val="008E2B38"/>
    <w:rsid w:val="008E2C75"/>
    <w:rsid w:val="008E43D6"/>
    <w:rsid w:val="008E4AB4"/>
    <w:rsid w:val="008E5133"/>
    <w:rsid w:val="008F0051"/>
    <w:rsid w:val="008F158F"/>
    <w:rsid w:val="008F3567"/>
    <w:rsid w:val="008F3707"/>
    <w:rsid w:val="008F3D57"/>
    <w:rsid w:val="008F65C6"/>
    <w:rsid w:val="008F6934"/>
    <w:rsid w:val="00903CCB"/>
    <w:rsid w:val="00903F29"/>
    <w:rsid w:val="009040D7"/>
    <w:rsid w:val="009054F1"/>
    <w:rsid w:val="00905879"/>
    <w:rsid w:val="009072D6"/>
    <w:rsid w:val="00910729"/>
    <w:rsid w:val="00910978"/>
    <w:rsid w:val="00911866"/>
    <w:rsid w:val="00911CB8"/>
    <w:rsid w:val="00914EA0"/>
    <w:rsid w:val="00914F52"/>
    <w:rsid w:val="00917B09"/>
    <w:rsid w:val="009200B3"/>
    <w:rsid w:val="00920F46"/>
    <w:rsid w:val="00922D26"/>
    <w:rsid w:val="00925C45"/>
    <w:rsid w:val="00926B15"/>
    <w:rsid w:val="009273AC"/>
    <w:rsid w:val="0093293B"/>
    <w:rsid w:val="00934BDD"/>
    <w:rsid w:val="0093523F"/>
    <w:rsid w:val="009352D6"/>
    <w:rsid w:val="00950EE8"/>
    <w:rsid w:val="009510C9"/>
    <w:rsid w:val="00951A52"/>
    <w:rsid w:val="00954189"/>
    <w:rsid w:val="009543FB"/>
    <w:rsid w:val="0095471F"/>
    <w:rsid w:val="00954A47"/>
    <w:rsid w:val="00956EEF"/>
    <w:rsid w:val="00957E88"/>
    <w:rsid w:val="00961134"/>
    <w:rsid w:val="009618AE"/>
    <w:rsid w:val="00961B85"/>
    <w:rsid w:val="00963B23"/>
    <w:rsid w:val="00963C4A"/>
    <w:rsid w:val="009640E2"/>
    <w:rsid w:val="00965DB7"/>
    <w:rsid w:val="009669DF"/>
    <w:rsid w:val="00967587"/>
    <w:rsid w:val="00970BF6"/>
    <w:rsid w:val="00971C7C"/>
    <w:rsid w:val="00975415"/>
    <w:rsid w:val="00975472"/>
    <w:rsid w:val="00980679"/>
    <w:rsid w:val="00980A95"/>
    <w:rsid w:val="00980CA5"/>
    <w:rsid w:val="00980F13"/>
    <w:rsid w:val="009817F1"/>
    <w:rsid w:val="009819E5"/>
    <w:rsid w:val="00981CAA"/>
    <w:rsid w:val="009822F5"/>
    <w:rsid w:val="00983AF2"/>
    <w:rsid w:val="00985037"/>
    <w:rsid w:val="00986D9F"/>
    <w:rsid w:val="00992A92"/>
    <w:rsid w:val="00992BC0"/>
    <w:rsid w:val="00993EDC"/>
    <w:rsid w:val="009963FD"/>
    <w:rsid w:val="0099700F"/>
    <w:rsid w:val="00997B20"/>
    <w:rsid w:val="009A5272"/>
    <w:rsid w:val="009A7824"/>
    <w:rsid w:val="009B0DEF"/>
    <w:rsid w:val="009B15A2"/>
    <w:rsid w:val="009B1DA4"/>
    <w:rsid w:val="009B5CE7"/>
    <w:rsid w:val="009C097C"/>
    <w:rsid w:val="009C265F"/>
    <w:rsid w:val="009C609B"/>
    <w:rsid w:val="009C7121"/>
    <w:rsid w:val="009D007B"/>
    <w:rsid w:val="009D13C6"/>
    <w:rsid w:val="009D2105"/>
    <w:rsid w:val="009D4A8C"/>
    <w:rsid w:val="009D560C"/>
    <w:rsid w:val="009E299F"/>
    <w:rsid w:val="009E2DF2"/>
    <w:rsid w:val="009E3BD1"/>
    <w:rsid w:val="009E3E94"/>
    <w:rsid w:val="009E6AAF"/>
    <w:rsid w:val="009E7699"/>
    <w:rsid w:val="009F0FCB"/>
    <w:rsid w:val="009F162A"/>
    <w:rsid w:val="009F4FA8"/>
    <w:rsid w:val="00A0524C"/>
    <w:rsid w:val="00A05D78"/>
    <w:rsid w:val="00A07083"/>
    <w:rsid w:val="00A071A4"/>
    <w:rsid w:val="00A126B5"/>
    <w:rsid w:val="00A153F7"/>
    <w:rsid w:val="00A15F3E"/>
    <w:rsid w:val="00A20524"/>
    <w:rsid w:val="00A223C0"/>
    <w:rsid w:val="00A22419"/>
    <w:rsid w:val="00A25531"/>
    <w:rsid w:val="00A26D5D"/>
    <w:rsid w:val="00A32389"/>
    <w:rsid w:val="00A32F02"/>
    <w:rsid w:val="00A34743"/>
    <w:rsid w:val="00A34B22"/>
    <w:rsid w:val="00A368D1"/>
    <w:rsid w:val="00A40AA0"/>
    <w:rsid w:val="00A40AD9"/>
    <w:rsid w:val="00A41128"/>
    <w:rsid w:val="00A41EBF"/>
    <w:rsid w:val="00A43CB8"/>
    <w:rsid w:val="00A441BE"/>
    <w:rsid w:val="00A46AFD"/>
    <w:rsid w:val="00A47DD1"/>
    <w:rsid w:val="00A51E50"/>
    <w:rsid w:val="00A5207E"/>
    <w:rsid w:val="00A5339F"/>
    <w:rsid w:val="00A53A85"/>
    <w:rsid w:val="00A54088"/>
    <w:rsid w:val="00A56269"/>
    <w:rsid w:val="00A5739F"/>
    <w:rsid w:val="00A612E0"/>
    <w:rsid w:val="00A616A3"/>
    <w:rsid w:val="00A6432B"/>
    <w:rsid w:val="00A7031B"/>
    <w:rsid w:val="00A719F8"/>
    <w:rsid w:val="00A71BFA"/>
    <w:rsid w:val="00A74528"/>
    <w:rsid w:val="00A779F2"/>
    <w:rsid w:val="00A857F2"/>
    <w:rsid w:val="00A85C0E"/>
    <w:rsid w:val="00A863DA"/>
    <w:rsid w:val="00A86CBE"/>
    <w:rsid w:val="00A92517"/>
    <w:rsid w:val="00A9414B"/>
    <w:rsid w:val="00A964BF"/>
    <w:rsid w:val="00A96910"/>
    <w:rsid w:val="00AA2EDB"/>
    <w:rsid w:val="00AA432D"/>
    <w:rsid w:val="00AA53BC"/>
    <w:rsid w:val="00AA5C58"/>
    <w:rsid w:val="00AA64E6"/>
    <w:rsid w:val="00AB1041"/>
    <w:rsid w:val="00AB10CF"/>
    <w:rsid w:val="00AB27DC"/>
    <w:rsid w:val="00AB30D1"/>
    <w:rsid w:val="00AB47D4"/>
    <w:rsid w:val="00AB6805"/>
    <w:rsid w:val="00AC3B41"/>
    <w:rsid w:val="00AC51FB"/>
    <w:rsid w:val="00AC588F"/>
    <w:rsid w:val="00AC72E9"/>
    <w:rsid w:val="00AD1DDF"/>
    <w:rsid w:val="00AD5769"/>
    <w:rsid w:val="00AD7280"/>
    <w:rsid w:val="00AD7F09"/>
    <w:rsid w:val="00AE153E"/>
    <w:rsid w:val="00AE431F"/>
    <w:rsid w:val="00AE465F"/>
    <w:rsid w:val="00AE49CD"/>
    <w:rsid w:val="00AE628E"/>
    <w:rsid w:val="00AE7804"/>
    <w:rsid w:val="00AF1891"/>
    <w:rsid w:val="00AF28FF"/>
    <w:rsid w:val="00AF3EE9"/>
    <w:rsid w:val="00AF6D57"/>
    <w:rsid w:val="00AF7E05"/>
    <w:rsid w:val="00B01C5E"/>
    <w:rsid w:val="00B01DCA"/>
    <w:rsid w:val="00B06E73"/>
    <w:rsid w:val="00B145C6"/>
    <w:rsid w:val="00B17940"/>
    <w:rsid w:val="00B20579"/>
    <w:rsid w:val="00B20625"/>
    <w:rsid w:val="00B22CD9"/>
    <w:rsid w:val="00B22ED9"/>
    <w:rsid w:val="00B241B8"/>
    <w:rsid w:val="00B246D5"/>
    <w:rsid w:val="00B26E31"/>
    <w:rsid w:val="00B30E60"/>
    <w:rsid w:val="00B35D03"/>
    <w:rsid w:val="00B37B7B"/>
    <w:rsid w:val="00B40DEF"/>
    <w:rsid w:val="00B44B56"/>
    <w:rsid w:val="00B507E6"/>
    <w:rsid w:val="00B533D6"/>
    <w:rsid w:val="00B606C8"/>
    <w:rsid w:val="00B611B2"/>
    <w:rsid w:val="00B6139C"/>
    <w:rsid w:val="00B64E56"/>
    <w:rsid w:val="00B659FB"/>
    <w:rsid w:val="00B70C87"/>
    <w:rsid w:val="00B73A8C"/>
    <w:rsid w:val="00B73BEF"/>
    <w:rsid w:val="00B73F48"/>
    <w:rsid w:val="00B76851"/>
    <w:rsid w:val="00B774EE"/>
    <w:rsid w:val="00B802FD"/>
    <w:rsid w:val="00B8129D"/>
    <w:rsid w:val="00B82D9F"/>
    <w:rsid w:val="00B83991"/>
    <w:rsid w:val="00B84E88"/>
    <w:rsid w:val="00B85923"/>
    <w:rsid w:val="00B86563"/>
    <w:rsid w:val="00B9088B"/>
    <w:rsid w:val="00B91724"/>
    <w:rsid w:val="00B92C40"/>
    <w:rsid w:val="00B93457"/>
    <w:rsid w:val="00B93832"/>
    <w:rsid w:val="00B9445C"/>
    <w:rsid w:val="00B96161"/>
    <w:rsid w:val="00BA1321"/>
    <w:rsid w:val="00BA1868"/>
    <w:rsid w:val="00BA33E8"/>
    <w:rsid w:val="00BA4125"/>
    <w:rsid w:val="00BA46B8"/>
    <w:rsid w:val="00BA5007"/>
    <w:rsid w:val="00BA5D2C"/>
    <w:rsid w:val="00BA70F1"/>
    <w:rsid w:val="00BA7AF1"/>
    <w:rsid w:val="00BB09FD"/>
    <w:rsid w:val="00BB0B7F"/>
    <w:rsid w:val="00BB0E58"/>
    <w:rsid w:val="00BB229B"/>
    <w:rsid w:val="00BB2FD8"/>
    <w:rsid w:val="00BB511A"/>
    <w:rsid w:val="00BB627E"/>
    <w:rsid w:val="00BB7923"/>
    <w:rsid w:val="00BC1BB3"/>
    <w:rsid w:val="00BC31D6"/>
    <w:rsid w:val="00BC33D4"/>
    <w:rsid w:val="00BC3C50"/>
    <w:rsid w:val="00BC3FC2"/>
    <w:rsid w:val="00BC45D4"/>
    <w:rsid w:val="00BC4A3F"/>
    <w:rsid w:val="00BC56D4"/>
    <w:rsid w:val="00BC6DBB"/>
    <w:rsid w:val="00BC7B6F"/>
    <w:rsid w:val="00BD02FF"/>
    <w:rsid w:val="00BD223A"/>
    <w:rsid w:val="00BD4D8D"/>
    <w:rsid w:val="00BD5655"/>
    <w:rsid w:val="00BE1468"/>
    <w:rsid w:val="00BE1C1E"/>
    <w:rsid w:val="00BE2358"/>
    <w:rsid w:val="00BE31DC"/>
    <w:rsid w:val="00BE43EA"/>
    <w:rsid w:val="00BE47AA"/>
    <w:rsid w:val="00BE772C"/>
    <w:rsid w:val="00BF04EB"/>
    <w:rsid w:val="00BF0BE4"/>
    <w:rsid w:val="00BF0D2F"/>
    <w:rsid w:val="00BF6979"/>
    <w:rsid w:val="00C0174B"/>
    <w:rsid w:val="00C034EC"/>
    <w:rsid w:val="00C05E87"/>
    <w:rsid w:val="00C07A77"/>
    <w:rsid w:val="00C11107"/>
    <w:rsid w:val="00C12D07"/>
    <w:rsid w:val="00C157FC"/>
    <w:rsid w:val="00C16B4D"/>
    <w:rsid w:val="00C234D4"/>
    <w:rsid w:val="00C23529"/>
    <w:rsid w:val="00C25D2C"/>
    <w:rsid w:val="00C27351"/>
    <w:rsid w:val="00C30926"/>
    <w:rsid w:val="00C30EAD"/>
    <w:rsid w:val="00C3125E"/>
    <w:rsid w:val="00C33189"/>
    <w:rsid w:val="00C338C2"/>
    <w:rsid w:val="00C34214"/>
    <w:rsid w:val="00C3454B"/>
    <w:rsid w:val="00C34DFC"/>
    <w:rsid w:val="00C35665"/>
    <w:rsid w:val="00C401FE"/>
    <w:rsid w:val="00C429D0"/>
    <w:rsid w:val="00C451D4"/>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0E3"/>
    <w:rsid w:val="00C705A5"/>
    <w:rsid w:val="00C70F84"/>
    <w:rsid w:val="00C71527"/>
    <w:rsid w:val="00C877DE"/>
    <w:rsid w:val="00C912F8"/>
    <w:rsid w:val="00C92B26"/>
    <w:rsid w:val="00C94233"/>
    <w:rsid w:val="00CA113E"/>
    <w:rsid w:val="00CA13B4"/>
    <w:rsid w:val="00CA1BC8"/>
    <w:rsid w:val="00CA399F"/>
    <w:rsid w:val="00CA59D9"/>
    <w:rsid w:val="00CB0783"/>
    <w:rsid w:val="00CB429F"/>
    <w:rsid w:val="00CB50CB"/>
    <w:rsid w:val="00CB6716"/>
    <w:rsid w:val="00CC30BB"/>
    <w:rsid w:val="00CC386D"/>
    <w:rsid w:val="00CC4037"/>
    <w:rsid w:val="00CC5A6C"/>
    <w:rsid w:val="00CC76DD"/>
    <w:rsid w:val="00CD0F9C"/>
    <w:rsid w:val="00CD32FE"/>
    <w:rsid w:val="00CD36CD"/>
    <w:rsid w:val="00CD383C"/>
    <w:rsid w:val="00CD3AF9"/>
    <w:rsid w:val="00CD4B31"/>
    <w:rsid w:val="00CD607A"/>
    <w:rsid w:val="00CD6152"/>
    <w:rsid w:val="00CD69B2"/>
    <w:rsid w:val="00CD720F"/>
    <w:rsid w:val="00CD7A1E"/>
    <w:rsid w:val="00CE0A60"/>
    <w:rsid w:val="00CE0DAA"/>
    <w:rsid w:val="00CE1D82"/>
    <w:rsid w:val="00CE2836"/>
    <w:rsid w:val="00CE39B5"/>
    <w:rsid w:val="00CE44C8"/>
    <w:rsid w:val="00CE54C3"/>
    <w:rsid w:val="00CE6649"/>
    <w:rsid w:val="00CE7BA4"/>
    <w:rsid w:val="00CF136E"/>
    <w:rsid w:val="00CF373D"/>
    <w:rsid w:val="00CF3E7E"/>
    <w:rsid w:val="00CF7E74"/>
    <w:rsid w:val="00D01623"/>
    <w:rsid w:val="00D035B3"/>
    <w:rsid w:val="00D059DA"/>
    <w:rsid w:val="00D05F33"/>
    <w:rsid w:val="00D06094"/>
    <w:rsid w:val="00D07464"/>
    <w:rsid w:val="00D1082B"/>
    <w:rsid w:val="00D123DC"/>
    <w:rsid w:val="00D12711"/>
    <w:rsid w:val="00D134D5"/>
    <w:rsid w:val="00D13D24"/>
    <w:rsid w:val="00D21DD5"/>
    <w:rsid w:val="00D2267C"/>
    <w:rsid w:val="00D23C60"/>
    <w:rsid w:val="00D23C99"/>
    <w:rsid w:val="00D278B0"/>
    <w:rsid w:val="00D27BEA"/>
    <w:rsid w:val="00D3295F"/>
    <w:rsid w:val="00D333C0"/>
    <w:rsid w:val="00D33EE4"/>
    <w:rsid w:val="00D3588C"/>
    <w:rsid w:val="00D359E0"/>
    <w:rsid w:val="00D372E1"/>
    <w:rsid w:val="00D408F9"/>
    <w:rsid w:val="00D4224C"/>
    <w:rsid w:val="00D4335B"/>
    <w:rsid w:val="00D43E1E"/>
    <w:rsid w:val="00D466A9"/>
    <w:rsid w:val="00D5217F"/>
    <w:rsid w:val="00D52C67"/>
    <w:rsid w:val="00D53D10"/>
    <w:rsid w:val="00D5459C"/>
    <w:rsid w:val="00D548BE"/>
    <w:rsid w:val="00D555D9"/>
    <w:rsid w:val="00D62186"/>
    <w:rsid w:val="00D624E4"/>
    <w:rsid w:val="00D63A0C"/>
    <w:rsid w:val="00D66DD0"/>
    <w:rsid w:val="00D66DE8"/>
    <w:rsid w:val="00D67212"/>
    <w:rsid w:val="00D67490"/>
    <w:rsid w:val="00D705E2"/>
    <w:rsid w:val="00D7106D"/>
    <w:rsid w:val="00D71BF2"/>
    <w:rsid w:val="00D733A9"/>
    <w:rsid w:val="00D73FFB"/>
    <w:rsid w:val="00D7412B"/>
    <w:rsid w:val="00D7463C"/>
    <w:rsid w:val="00D74BA3"/>
    <w:rsid w:val="00D7514F"/>
    <w:rsid w:val="00D761C1"/>
    <w:rsid w:val="00D77F9F"/>
    <w:rsid w:val="00D81E27"/>
    <w:rsid w:val="00D84FEF"/>
    <w:rsid w:val="00D91E7B"/>
    <w:rsid w:val="00D924CF"/>
    <w:rsid w:val="00D93251"/>
    <w:rsid w:val="00D9338D"/>
    <w:rsid w:val="00D93D4F"/>
    <w:rsid w:val="00D94A07"/>
    <w:rsid w:val="00D94F0F"/>
    <w:rsid w:val="00D9584D"/>
    <w:rsid w:val="00D95AFF"/>
    <w:rsid w:val="00D95F62"/>
    <w:rsid w:val="00D96290"/>
    <w:rsid w:val="00D96EF4"/>
    <w:rsid w:val="00D971E8"/>
    <w:rsid w:val="00DA041B"/>
    <w:rsid w:val="00DA1A01"/>
    <w:rsid w:val="00DA26A3"/>
    <w:rsid w:val="00DA28C0"/>
    <w:rsid w:val="00DA6B5D"/>
    <w:rsid w:val="00DB0677"/>
    <w:rsid w:val="00DB0CA7"/>
    <w:rsid w:val="00DB2AD4"/>
    <w:rsid w:val="00DC1078"/>
    <w:rsid w:val="00DC158C"/>
    <w:rsid w:val="00DC1793"/>
    <w:rsid w:val="00DC2903"/>
    <w:rsid w:val="00DC32C6"/>
    <w:rsid w:val="00DD1A68"/>
    <w:rsid w:val="00DD7687"/>
    <w:rsid w:val="00DD790E"/>
    <w:rsid w:val="00DD797E"/>
    <w:rsid w:val="00DE183B"/>
    <w:rsid w:val="00DE268F"/>
    <w:rsid w:val="00DE30C0"/>
    <w:rsid w:val="00DE36B2"/>
    <w:rsid w:val="00DE5D63"/>
    <w:rsid w:val="00DE6544"/>
    <w:rsid w:val="00DE6E4B"/>
    <w:rsid w:val="00DE7D03"/>
    <w:rsid w:val="00DE7D4D"/>
    <w:rsid w:val="00DF194B"/>
    <w:rsid w:val="00DF37A0"/>
    <w:rsid w:val="00DF51DE"/>
    <w:rsid w:val="00E015F1"/>
    <w:rsid w:val="00E017AF"/>
    <w:rsid w:val="00E02879"/>
    <w:rsid w:val="00E03B5A"/>
    <w:rsid w:val="00E058FD"/>
    <w:rsid w:val="00E05EE3"/>
    <w:rsid w:val="00E06855"/>
    <w:rsid w:val="00E11617"/>
    <w:rsid w:val="00E12404"/>
    <w:rsid w:val="00E12C60"/>
    <w:rsid w:val="00E1317A"/>
    <w:rsid w:val="00E14116"/>
    <w:rsid w:val="00E16410"/>
    <w:rsid w:val="00E20760"/>
    <w:rsid w:val="00E20849"/>
    <w:rsid w:val="00E2216F"/>
    <w:rsid w:val="00E2312F"/>
    <w:rsid w:val="00E2369B"/>
    <w:rsid w:val="00E246EA"/>
    <w:rsid w:val="00E24CB5"/>
    <w:rsid w:val="00E26218"/>
    <w:rsid w:val="00E301A3"/>
    <w:rsid w:val="00E30DAD"/>
    <w:rsid w:val="00E32677"/>
    <w:rsid w:val="00E32F62"/>
    <w:rsid w:val="00E34251"/>
    <w:rsid w:val="00E359C0"/>
    <w:rsid w:val="00E4034A"/>
    <w:rsid w:val="00E40BBB"/>
    <w:rsid w:val="00E4498C"/>
    <w:rsid w:val="00E45FF2"/>
    <w:rsid w:val="00E47724"/>
    <w:rsid w:val="00E47AB9"/>
    <w:rsid w:val="00E535D7"/>
    <w:rsid w:val="00E54243"/>
    <w:rsid w:val="00E54C17"/>
    <w:rsid w:val="00E5570C"/>
    <w:rsid w:val="00E60EC1"/>
    <w:rsid w:val="00E62AB5"/>
    <w:rsid w:val="00E62E7B"/>
    <w:rsid w:val="00E6315C"/>
    <w:rsid w:val="00E63B86"/>
    <w:rsid w:val="00E6586F"/>
    <w:rsid w:val="00E7319A"/>
    <w:rsid w:val="00E734CF"/>
    <w:rsid w:val="00E766FC"/>
    <w:rsid w:val="00E77B68"/>
    <w:rsid w:val="00E8011C"/>
    <w:rsid w:val="00E80FC7"/>
    <w:rsid w:val="00E814B9"/>
    <w:rsid w:val="00E81A64"/>
    <w:rsid w:val="00E81DCD"/>
    <w:rsid w:val="00E81E86"/>
    <w:rsid w:val="00E8232E"/>
    <w:rsid w:val="00E82AA9"/>
    <w:rsid w:val="00E90B2F"/>
    <w:rsid w:val="00E913EB"/>
    <w:rsid w:val="00E935A6"/>
    <w:rsid w:val="00E9423E"/>
    <w:rsid w:val="00E978FE"/>
    <w:rsid w:val="00EA5143"/>
    <w:rsid w:val="00EA5463"/>
    <w:rsid w:val="00EA66D1"/>
    <w:rsid w:val="00EA768E"/>
    <w:rsid w:val="00EA7BE9"/>
    <w:rsid w:val="00EB07D5"/>
    <w:rsid w:val="00EB1B36"/>
    <w:rsid w:val="00EB1CF5"/>
    <w:rsid w:val="00EB3A59"/>
    <w:rsid w:val="00EB3BAD"/>
    <w:rsid w:val="00EB400F"/>
    <w:rsid w:val="00EB5D2C"/>
    <w:rsid w:val="00EB5F7A"/>
    <w:rsid w:val="00EB6C70"/>
    <w:rsid w:val="00EB7EC9"/>
    <w:rsid w:val="00EC227F"/>
    <w:rsid w:val="00EC4305"/>
    <w:rsid w:val="00EC4D8D"/>
    <w:rsid w:val="00EC63CE"/>
    <w:rsid w:val="00ED0309"/>
    <w:rsid w:val="00ED1312"/>
    <w:rsid w:val="00ED1B7A"/>
    <w:rsid w:val="00ED1F9D"/>
    <w:rsid w:val="00ED2C6A"/>
    <w:rsid w:val="00ED2FF9"/>
    <w:rsid w:val="00ED3144"/>
    <w:rsid w:val="00ED6458"/>
    <w:rsid w:val="00ED6BBD"/>
    <w:rsid w:val="00ED6F2E"/>
    <w:rsid w:val="00EE1F4B"/>
    <w:rsid w:val="00EE2525"/>
    <w:rsid w:val="00EE2DA1"/>
    <w:rsid w:val="00EE5AC9"/>
    <w:rsid w:val="00EE5D34"/>
    <w:rsid w:val="00EE762C"/>
    <w:rsid w:val="00EF25FA"/>
    <w:rsid w:val="00EF3F91"/>
    <w:rsid w:val="00EF528A"/>
    <w:rsid w:val="00EF5584"/>
    <w:rsid w:val="00EF5BF9"/>
    <w:rsid w:val="00EF74E4"/>
    <w:rsid w:val="00EF76F4"/>
    <w:rsid w:val="00F03371"/>
    <w:rsid w:val="00F055D3"/>
    <w:rsid w:val="00F11A63"/>
    <w:rsid w:val="00F130CB"/>
    <w:rsid w:val="00F175C9"/>
    <w:rsid w:val="00F20C14"/>
    <w:rsid w:val="00F21DBE"/>
    <w:rsid w:val="00F225B4"/>
    <w:rsid w:val="00F22CE0"/>
    <w:rsid w:val="00F23463"/>
    <w:rsid w:val="00F260C4"/>
    <w:rsid w:val="00F270D0"/>
    <w:rsid w:val="00F270E4"/>
    <w:rsid w:val="00F27E9E"/>
    <w:rsid w:val="00F30095"/>
    <w:rsid w:val="00F3011A"/>
    <w:rsid w:val="00F31614"/>
    <w:rsid w:val="00F35B01"/>
    <w:rsid w:val="00F405DE"/>
    <w:rsid w:val="00F43A32"/>
    <w:rsid w:val="00F45197"/>
    <w:rsid w:val="00F46A4B"/>
    <w:rsid w:val="00F47D20"/>
    <w:rsid w:val="00F5001C"/>
    <w:rsid w:val="00F50A1D"/>
    <w:rsid w:val="00F526E1"/>
    <w:rsid w:val="00F54B64"/>
    <w:rsid w:val="00F578DD"/>
    <w:rsid w:val="00F600F7"/>
    <w:rsid w:val="00F60716"/>
    <w:rsid w:val="00F6080A"/>
    <w:rsid w:val="00F61D94"/>
    <w:rsid w:val="00F63073"/>
    <w:rsid w:val="00F66A32"/>
    <w:rsid w:val="00F7355B"/>
    <w:rsid w:val="00F94324"/>
    <w:rsid w:val="00F94D71"/>
    <w:rsid w:val="00F957AB"/>
    <w:rsid w:val="00F958CB"/>
    <w:rsid w:val="00F959B1"/>
    <w:rsid w:val="00F95E17"/>
    <w:rsid w:val="00F96B36"/>
    <w:rsid w:val="00F96E32"/>
    <w:rsid w:val="00F97724"/>
    <w:rsid w:val="00FA1A2A"/>
    <w:rsid w:val="00FA3179"/>
    <w:rsid w:val="00FA76EE"/>
    <w:rsid w:val="00FA7BA0"/>
    <w:rsid w:val="00FB0964"/>
    <w:rsid w:val="00FB18F9"/>
    <w:rsid w:val="00FB1B92"/>
    <w:rsid w:val="00FB287C"/>
    <w:rsid w:val="00FB4EEE"/>
    <w:rsid w:val="00FB6212"/>
    <w:rsid w:val="00FB7CD3"/>
    <w:rsid w:val="00FC14CE"/>
    <w:rsid w:val="00FC4BD8"/>
    <w:rsid w:val="00FC5032"/>
    <w:rsid w:val="00FC5B25"/>
    <w:rsid w:val="00FC6AAE"/>
    <w:rsid w:val="00FC7716"/>
    <w:rsid w:val="00FD4D41"/>
    <w:rsid w:val="00FD556A"/>
    <w:rsid w:val="00FD55C7"/>
    <w:rsid w:val="00FD6959"/>
    <w:rsid w:val="00FD6EBD"/>
    <w:rsid w:val="00FD7602"/>
    <w:rsid w:val="00FD7DC6"/>
    <w:rsid w:val="00FE1E48"/>
    <w:rsid w:val="00FE2610"/>
    <w:rsid w:val="00FE323D"/>
    <w:rsid w:val="00FE3BF2"/>
    <w:rsid w:val="00FE55DC"/>
    <w:rsid w:val="00FE5E0B"/>
    <w:rsid w:val="00FF0B68"/>
    <w:rsid w:val="00FF1230"/>
    <w:rsid w:val="00FF2BBC"/>
    <w:rsid w:val="00FF6AE5"/>
    <w:rsid w:val="01A04F74"/>
    <w:rsid w:val="01B3097E"/>
    <w:rsid w:val="02BA602B"/>
    <w:rsid w:val="02E041EE"/>
    <w:rsid w:val="04BA6D56"/>
    <w:rsid w:val="054D6166"/>
    <w:rsid w:val="05772532"/>
    <w:rsid w:val="0C8C4337"/>
    <w:rsid w:val="0E7D7958"/>
    <w:rsid w:val="10F23001"/>
    <w:rsid w:val="11C065B7"/>
    <w:rsid w:val="153E3549"/>
    <w:rsid w:val="168F3C34"/>
    <w:rsid w:val="1984103F"/>
    <w:rsid w:val="1A663D17"/>
    <w:rsid w:val="1D3E2868"/>
    <w:rsid w:val="1E37428D"/>
    <w:rsid w:val="1E8245AD"/>
    <w:rsid w:val="26303479"/>
    <w:rsid w:val="28321027"/>
    <w:rsid w:val="287B37A3"/>
    <w:rsid w:val="29126661"/>
    <w:rsid w:val="299D5ED5"/>
    <w:rsid w:val="29B63249"/>
    <w:rsid w:val="29F8398C"/>
    <w:rsid w:val="307C56EC"/>
    <w:rsid w:val="317F1137"/>
    <w:rsid w:val="329C76FF"/>
    <w:rsid w:val="34D7691B"/>
    <w:rsid w:val="34E13287"/>
    <w:rsid w:val="3A227ADB"/>
    <w:rsid w:val="3BCF3E44"/>
    <w:rsid w:val="42E3216A"/>
    <w:rsid w:val="43EC179D"/>
    <w:rsid w:val="49A308A5"/>
    <w:rsid w:val="49E22A33"/>
    <w:rsid w:val="4B8A7F8A"/>
    <w:rsid w:val="4D6C5536"/>
    <w:rsid w:val="4E4C7A1B"/>
    <w:rsid w:val="4E8F1C60"/>
    <w:rsid w:val="51981FF4"/>
    <w:rsid w:val="51FF032F"/>
    <w:rsid w:val="564F6EA2"/>
    <w:rsid w:val="5A3D7F5A"/>
    <w:rsid w:val="5CCC3817"/>
    <w:rsid w:val="5DFF4054"/>
    <w:rsid w:val="5F404B37"/>
    <w:rsid w:val="5F5F2503"/>
    <w:rsid w:val="61187829"/>
    <w:rsid w:val="611E71C2"/>
    <w:rsid w:val="645D3BCA"/>
    <w:rsid w:val="64C45B85"/>
    <w:rsid w:val="673E09F7"/>
    <w:rsid w:val="677C37D9"/>
    <w:rsid w:val="684E7CC7"/>
    <w:rsid w:val="6A073068"/>
    <w:rsid w:val="6B6E7D42"/>
    <w:rsid w:val="6BFB427C"/>
    <w:rsid w:val="6C67530A"/>
    <w:rsid w:val="6D9D4CB1"/>
    <w:rsid w:val="733C6D53"/>
    <w:rsid w:val="795A27DA"/>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1"/>
    <w:pPr>
      <w:spacing w:before="145"/>
      <w:ind w:left="552"/>
    </w:pPr>
    <w:rPr>
      <w:b/>
      <w:bCs/>
    </w:rPr>
  </w:style>
  <w:style w:type="paragraph" w:styleId="5">
    <w:name w:val="Normal Indent"/>
    <w:basedOn w:val="1"/>
    <w:link w:val="29"/>
    <w:qFormat/>
    <w:uiPriority w:val="0"/>
    <w:pPr>
      <w:ind w:firstLine="420"/>
    </w:pPr>
    <w:rPr>
      <w:szCs w:val="20"/>
    </w:rPr>
  </w:style>
  <w:style w:type="paragraph" w:styleId="6">
    <w:name w:val="annotation text"/>
    <w:basedOn w:val="1"/>
    <w:link w:val="45"/>
    <w:qFormat/>
    <w:uiPriority w:val="99"/>
    <w:pPr>
      <w:jc w:val="left"/>
    </w:pPr>
  </w:style>
  <w:style w:type="paragraph" w:styleId="7">
    <w:name w:val="index 6"/>
    <w:basedOn w:val="1"/>
    <w:next w:val="1"/>
    <w:qFormat/>
    <w:uiPriority w:val="0"/>
  </w:style>
  <w:style w:type="paragraph" w:styleId="8">
    <w:name w:val="Body Text"/>
    <w:basedOn w:val="1"/>
    <w:next w:val="9"/>
    <w:link w:val="37"/>
    <w:qFormat/>
    <w:uiPriority w:val="99"/>
    <w:pPr>
      <w:spacing w:after="120"/>
    </w:pPr>
  </w:style>
  <w:style w:type="paragraph" w:styleId="9">
    <w:name w:val="Body Text First Indent"/>
    <w:basedOn w:val="8"/>
    <w:next w:val="1"/>
    <w:qFormat/>
    <w:uiPriority w:val="0"/>
    <w:pPr>
      <w:spacing w:after="120"/>
      <w:ind w:firstLine="420" w:firstLineChars="100"/>
    </w:pPr>
    <w:rPr>
      <w:sz w:val="21"/>
      <w:szCs w:val="24"/>
    </w:rPr>
  </w:style>
  <w:style w:type="paragraph" w:styleId="10">
    <w:name w:val="Body Text Indent"/>
    <w:basedOn w:val="1"/>
    <w:next w:val="11"/>
    <w:link w:val="59"/>
    <w:semiHidden/>
    <w:unhideWhenUsed/>
    <w:qFormat/>
    <w:uiPriority w:val="99"/>
    <w:pPr>
      <w:spacing w:after="120"/>
      <w:ind w:left="420" w:leftChars="200"/>
    </w:pPr>
  </w:style>
  <w:style w:type="paragraph" w:styleId="11">
    <w:name w:val="envelope return"/>
    <w:basedOn w:val="1"/>
    <w:unhideWhenUsed/>
    <w:qFormat/>
    <w:uiPriority w:val="99"/>
    <w:pPr>
      <w:autoSpaceDE w:val="0"/>
      <w:autoSpaceDN w:val="0"/>
      <w:snapToGrid w:val="0"/>
    </w:pPr>
    <w:rPr>
      <w:rFonts w:ascii="Arial" w:hAnsi="Arial" w:cs="Arial"/>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13">
    <w:name w:val="Plain Text"/>
    <w:basedOn w:val="1"/>
    <w:link w:val="30"/>
    <w:qFormat/>
    <w:uiPriority w:val="0"/>
    <w:rPr>
      <w:rFonts w:ascii="宋体" w:hAnsi="Courier New" w:cs="宋体"/>
      <w:szCs w:val="21"/>
    </w:rPr>
  </w:style>
  <w:style w:type="paragraph" w:styleId="14">
    <w:name w:val="Date"/>
    <w:basedOn w:val="1"/>
    <w:next w:val="1"/>
    <w:link w:val="44"/>
    <w:semiHidden/>
    <w:unhideWhenUsed/>
    <w:qFormat/>
    <w:uiPriority w:val="99"/>
    <w:pPr>
      <w:ind w:left="100" w:leftChars="2500"/>
    </w:pPr>
  </w:style>
  <w:style w:type="paragraph" w:styleId="15">
    <w:name w:val="Balloon Text"/>
    <w:basedOn w:val="1"/>
    <w:link w:val="48"/>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link w:val="69"/>
    <w:semiHidden/>
    <w:unhideWhenUsed/>
    <w:qFormat/>
    <w:uiPriority w:val="99"/>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0"/>
    <w:link w:val="60"/>
    <w:semiHidden/>
    <w:unhideWhenUsed/>
    <w:qFormat/>
    <w:uiPriority w:val="99"/>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Hyperlink"/>
    <w:qFormat/>
    <w:uiPriority w:val="99"/>
    <w:rPr>
      <w:color w:val="0000FF"/>
      <w:u w:val="single"/>
    </w:rPr>
  </w:style>
  <w:style w:type="paragraph" w:customStyle="1" w:styleId="26">
    <w:name w:val="Default"/>
    <w:next w:val="7"/>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7">
    <w:name w:val="标题 1 Char"/>
    <w:qFormat/>
    <w:uiPriority w:val="0"/>
    <w:rPr>
      <w:rFonts w:ascii="宋体" w:hAnsi="宋体" w:eastAsia="黑体"/>
      <w:b/>
      <w:bCs/>
      <w:kern w:val="44"/>
      <w:sz w:val="28"/>
      <w:szCs w:val="44"/>
      <w:lang w:val="en-US" w:eastAsia="zh-CN" w:bidi="ar-SA"/>
    </w:rPr>
  </w:style>
  <w:style w:type="character" w:customStyle="1" w:styleId="28">
    <w:name w:val="纯文本 字符"/>
    <w:basedOn w:val="23"/>
    <w:qFormat/>
    <w:uiPriority w:val="0"/>
    <w:rPr>
      <w:rFonts w:hAnsi="Courier New" w:cs="Courier New" w:asciiTheme="minorEastAsia"/>
      <w:szCs w:val="24"/>
    </w:rPr>
  </w:style>
  <w:style w:type="character" w:customStyle="1" w:styleId="29">
    <w:name w:val="正文缩进 字符"/>
    <w:basedOn w:val="23"/>
    <w:link w:val="5"/>
    <w:qFormat/>
    <w:uiPriority w:val="0"/>
    <w:rPr>
      <w:rFonts w:ascii="Times New Roman" w:hAnsi="Times New Roman" w:eastAsia="宋体" w:cs="Times New Roman"/>
      <w:szCs w:val="20"/>
    </w:rPr>
  </w:style>
  <w:style w:type="character" w:customStyle="1" w:styleId="30">
    <w:name w:val="纯文本 字符1"/>
    <w:basedOn w:val="23"/>
    <w:link w:val="13"/>
    <w:qFormat/>
    <w:uiPriority w:val="0"/>
    <w:rPr>
      <w:rFonts w:ascii="宋体" w:hAnsi="Courier New" w:eastAsia="宋体" w:cs="宋体"/>
      <w:szCs w:val="21"/>
    </w:rPr>
  </w:style>
  <w:style w:type="character" w:customStyle="1" w:styleId="31">
    <w:name w:val="页眉 字符"/>
    <w:basedOn w:val="23"/>
    <w:link w:val="17"/>
    <w:qFormat/>
    <w:uiPriority w:val="99"/>
    <w:rPr>
      <w:rFonts w:ascii="Times New Roman" w:hAnsi="Times New Roman" w:eastAsia="宋体" w:cs="Times New Roman"/>
      <w:sz w:val="18"/>
      <w:szCs w:val="18"/>
    </w:rPr>
  </w:style>
  <w:style w:type="character" w:customStyle="1" w:styleId="32">
    <w:name w:val="页脚 字符"/>
    <w:basedOn w:val="23"/>
    <w:link w:val="16"/>
    <w:qFormat/>
    <w:uiPriority w:val="99"/>
    <w:rPr>
      <w:rFonts w:ascii="Times New Roman" w:hAnsi="Times New Roman" w:eastAsia="宋体" w:cs="Times New Roman"/>
      <w:sz w:val="18"/>
      <w:szCs w:val="18"/>
    </w:rPr>
  </w:style>
  <w:style w:type="paragraph" w:customStyle="1" w:styleId="3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34">
    <w:name w:val="正文缩进 Char1 Char"/>
    <w:basedOn w:val="23"/>
    <w:qFormat/>
    <w:uiPriority w:val="0"/>
    <w:rPr>
      <w:kern w:val="2"/>
      <w:sz w:val="21"/>
    </w:rPr>
  </w:style>
  <w:style w:type="character" w:customStyle="1" w:styleId="35">
    <w:name w:val="纯文本 Char"/>
    <w:basedOn w:val="23"/>
    <w:qFormat/>
    <w:uiPriority w:val="0"/>
    <w:rPr>
      <w:rFonts w:ascii="宋体" w:hAnsi="Courier New" w:cs="宋体"/>
      <w:kern w:val="2"/>
      <w:sz w:val="21"/>
      <w:szCs w:val="21"/>
    </w:rPr>
  </w:style>
  <w:style w:type="paragraph" w:customStyle="1" w:styleId="36">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37">
    <w:name w:val="正文文本 字符"/>
    <w:basedOn w:val="23"/>
    <w:link w:val="8"/>
    <w:qFormat/>
    <w:uiPriority w:val="99"/>
    <w:rPr>
      <w:rFonts w:ascii="Times New Roman" w:hAnsi="Times New Roman" w:eastAsia="宋体" w:cs="Times New Roman"/>
      <w:szCs w:val="24"/>
    </w:rPr>
  </w:style>
  <w:style w:type="character" w:customStyle="1" w:styleId="38">
    <w:name w:val="列表段落 字符"/>
    <w:link w:val="39"/>
    <w:qFormat/>
    <w:uiPriority w:val="34"/>
    <w:rPr>
      <w:szCs w:val="24"/>
    </w:rPr>
  </w:style>
  <w:style w:type="paragraph" w:styleId="39">
    <w:name w:val="List Paragraph"/>
    <w:basedOn w:val="1"/>
    <w:link w:val="38"/>
    <w:qFormat/>
    <w:uiPriority w:val="34"/>
    <w:pPr>
      <w:ind w:firstLine="420" w:firstLineChars="200"/>
    </w:pPr>
    <w:rPr>
      <w:rFonts w:asciiTheme="minorHAnsi" w:hAnsiTheme="minorHAnsi" w:eastAsiaTheme="minorEastAsia" w:cstheme="minorBidi"/>
    </w:rPr>
  </w:style>
  <w:style w:type="paragraph" w:customStyle="1" w:styleId="40">
    <w:name w:val="表格文字"/>
    <w:basedOn w:val="1"/>
    <w:qFormat/>
    <w:uiPriority w:val="0"/>
    <w:pPr>
      <w:spacing w:before="25" w:after="25"/>
    </w:pPr>
    <w:rPr>
      <w:bCs/>
      <w:spacing w:val="10"/>
      <w:szCs w:val="20"/>
    </w:rPr>
  </w:style>
  <w:style w:type="character" w:customStyle="1" w:styleId="41">
    <w:name w:val="正文1 Char Char"/>
    <w:link w:val="42"/>
    <w:qFormat/>
    <w:uiPriority w:val="0"/>
    <w:rPr>
      <w:rFonts w:ascii="宋体"/>
      <w:sz w:val="24"/>
    </w:rPr>
  </w:style>
  <w:style w:type="paragraph" w:customStyle="1" w:styleId="42">
    <w:name w:val="正文1"/>
    <w:link w:val="41"/>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43">
    <w:name w:val="002级标题"/>
    <w:basedOn w:val="1"/>
    <w:qFormat/>
    <w:uiPriority w:val="0"/>
    <w:pPr>
      <w:widowControl/>
      <w:spacing w:before="120" w:after="120"/>
      <w:ind w:firstLine="200"/>
      <w:jc w:val="left"/>
      <w:outlineLvl w:val="1"/>
    </w:pPr>
    <w:rPr>
      <w:rFonts w:ascii="Calibri" w:hAnsi="Calibri"/>
      <w:b/>
    </w:rPr>
  </w:style>
  <w:style w:type="character" w:customStyle="1" w:styleId="44">
    <w:name w:val="日期 字符"/>
    <w:basedOn w:val="23"/>
    <w:link w:val="14"/>
    <w:semiHidden/>
    <w:qFormat/>
    <w:uiPriority w:val="99"/>
    <w:rPr>
      <w:rFonts w:ascii="Times New Roman" w:hAnsi="Times New Roman" w:eastAsia="宋体" w:cs="Times New Roman"/>
      <w:szCs w:val="24"/>
    </w:rPr>
  </w:style>
  <w:style w:type="character" w:customStyle="1" w:styleId="45">
    <w:name w:val="批注文字 字符"/>
    <w:basedOn w:val="23"/>
    <w:link w:val="6"/>
    <w:qFormat/>
    <w:uiPriority w:val="99"/>
    <w:rPr>
      <w:rFonts w:ascii="Times New Roman" w:hAnsi="Times New Roman" w:eastAsia="宋体" w:cs="Times New Roman"/>
      <w:szCs w:val="24"/>
    </w:rPr>
  </w:style>
  <w:style w:type="table" w:customStyle="1" w:styleId="46">
    <w:name w:val="Table Normal"/>
    <w:semiHidden/>
    <w:unhideWhenUsed/>
    <w:qFormat/>
    <w:uiPriority w:val="0"/>
    <w:tblPr>
      <w:tblCellMar>
        <w:top w:w="0" w:type="dxa"/>
        <w:left w:w="0" w:type="dxa"/>
        <w:bottom w:w="0" w:type="dxa"/>
        <w:right w:w="0" w:type="dxa"/>
      </w:tblCellMar>
    </w:tblPr>
  </w:style>
  <w:style w:type="character" w:customStyle="1" w:styleId="47">
    <w:name w:val="正文文本 Char1"/>
    <w:qFormat/>
    <w:uiPriority w:val="99"/>
    <w:rPr>
      <w:kern w:val="2"/>
      <w:sz w:val="21"/>
      <w:szCs w:val="24"/>
    </w:rPr>
  </w:style>
  <w:style w:type="character" w:customStyle="1" w:styleId="48">
    <w:name w:val="批注框文本 字符"/>
    <w:basedOn w:val="23"/>
    <w:link w:val="15"/>
    <w:semiHidden/>
    <w:qFormat/>
    <w:uiPriority w:val="99"/>
    <w:rPr>
      <w:rFonts w:ascii="Times New Roman" w:hAnsi="Times New Roman" w:eastAsia="宋体" w:cs="Times New Roman"/>
      <w:sz w:val="18"/>
      <w:szCs w:val="18"/>
    </w:rPr>
  </w:style>
  <w:style w:type="character" w:customStyle="1" w:styleId="49">
    <w:name w:val="_正文段落 Char"/>
    <w:link w:val="50"/>
    <w:qFormat/>
    <w:uiPriority w:val="0"/>
    <w:rPr>
      <w:sz w:val="24"/>
      <w:szCs w:val="24"/>
    </w:rPr>
  </w:style>
  <w:style w:type="paragraph" w:customStyle="1" w:styleId="50">
    <w:name w:val="_正文段落"/>
    <w:basedOn w:val="1"/>
    <w:link w:val="49"/>
    <w:qFormat/>
    <w:uiPriority w:val="0"/>
    <w:pPr>
      <w:snapToGrid w:val="0"/>
      <w:spacing w:before="240" w:after="120" w:line="360" w:lineRule="auto"/>
      <w:ind w:firstLine="200" w:firstLineChars="200"/>
      <w:jc w:val="left"/>
    </w:pPr>
    <w:rPr>
      <w:kern w:val="0"/>
      <w:sz w:val="24"/>
    </w:rPr>
  </w:style>
  <w:style w:type="paragraph" w:customStyle="1" w:styleId="51">
    <w:name w:val="列出段落1"/>
    <w:basedOn w:val="1"/>
    <w:link w:val="63"/>
    <w:qFormat/>
    <w:uiPriority w:val="0"/>
    <w:pPr>
      <w:ind w:firstLine="420" w:firstLineChars="200"/>
    </w:pPr>
    <w:rPr>
      <w:rFonts w:ascii="Calibri" w:hAnsi="Calibri"/>
      <w:szCs w:val="22"/>
    </w:rPr>
  </w:style>
  <w:style w:type="paragraph" w:customStyle="1" w:styleId="52">
    <w:name w:val="表格"/>
    <w:basedOn w:val="1"/>
    <w:qFormat/>
    <w:uiPriority w:val="0"/>
    <w:pPr>
      <w:spacing w:line="360" w:lineRule="auto"/>
    </w:pPr>
    <w:rPr>
      <w:rFonts w:ascii="仿宋_GB2312" w:hAnsi="宋体" w:eastAsia="仿宋_GB2312"/>
      <w:bCs/>
      <w:color w:val="333333"/>
      <w:kern w:val="0"/>
      <w:sz w:val="28"/>
    </w:rPr>
  </w:style>
  <w:style w:type="character" w:customStyle="1" w:styleId="53">
    <w:name w:val="font31"/>
    <w:basedOn w:val="23"/>
    <w:qFormat/>
    <w:uiPriority w:val="0"/>
    <w:rPr>
      <w:rFonts w:hint="eastAsia" w:ascii="微软雅黑" w:hAnsi="微软雅黑" w:eastAsia="微软雅黑" w:cs="微软雅黑"/>
      <w:color w:val="FF0000"/>
      <w:sz w:val="24"/>
      <w:szCs w:val="24"/>
      <w:u w:val="none"/>
    </w:rPr>
  </w:style>
  <w:style w:type="character" w:customStyle="1" w:styleId="54">
    <w:name w:val="font01"/>
    <w:basedOn w:val="23"/>
    <w:qFormat/>
    <w:uiPriority w:val="0"/>
    <w:rPr>
      <w:rFonts w:hint="eastAsia" w:ascii="微软雅黑" w:hAnsi="微软雅黑" w:eastAsia="微软雅黑" w:cs="微软雅黑"/>
      <w:color w:val="000000"/>
      <w:sz w:val="24"/>
      <w:szCs w:val="24"/>
      <w:u w:val="none"/>
    </w:rPr>
  </w:style>
  <w:style w:type="paragraph" w:customStyle="1" w:styleId="55">
    <w:name w:val="正文文本首行缩进 21"/>
    <w:basedOn w:val="1"/>
    <w:qFormat/>
    <w:uiPriority w:val="0"/>
    <w:pPr>
      <w:spacing w:line="500" w:lineRule="exact"/>
      <w:ind w:firstLine="420" w:firstLineChars="200"/>
    </w:pPr>
    <w:rPr>
      <w:rFonts w:ascii="Calibri" w:hAnsi="Calibri"/>
      <w:szCs w:val="22"/>
    </w:rPr>
  </w:style>
  <w:style w:type="table" w:customStyle="1" w:styleId="56">
    <w:name w:val="标书网格型表格正文1"/>
    <w:basedOn w:val="2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font21"/>
    <w:qFormat/>
    <w:uiPriority w:val="0"/>
    <w:rPr>
      <w:rFonts w:hint="eastAsia" w:ascii="宋体" w:hAnsi="宋体" w:eastAsia="宋体" w:cs="宋体"/>
      <w:color w:val="000000"/>
      <w:sz w:val="21"/>
      <w:szCs w:val="21"/>
      <w:u w:val="none"/>
    </w:rPr>
  </w:style>
  <w:style w:type="character" w:customStyle="1" w:styleId="58">
    <w:name w:val="NormalCharacter"/>
    <w:qFormat/>
    <w:uiPriority w:val="0"/>
  </w:style>
  <w:style w:type="character" w:customStyle="1" w:styleId="59">
    <w:name w:val="正文文本缩进 字符"/>
    <w:basedOn w:val="23"/>
    <w:link w:val="10"/>
    <w:semiHidden/>
    <w:qFormat/>
    <w:uiPriority w:val="99"/>
    <w:rPr>
      <w:kern w:val="2"/>
      <w:sz w:val="21"/>
      <w:szCs w:val="24"/>
    </w:rPr>
  </w:style>
  <w:style w:type="character" w:customStyle="1" w:styleId="60">
    <w:name w:val="正文文本首行缩进 2 字符"/>
    <w:basedOn w:val="59"/>
    <w:link w:val="20"/>
    <w:semiHidden/>
    <w:qFormat/>
    <w:uiPriority w:val="99"/>
    <w:rPr>
      <w:kern w:val="2"/>
      <w:sz w:val="21"/>
      <w:szCs w:val="24"/>
    </w:rPr>
  </w:style>
  <w:style w:type="character" w:customStyle="1" w:styleId="61">
    <w:name w:val="不明显参考1"/>
    <w:qFormat/>
    <w:uiPriority w:val="31"/>
    <w:rPr>
      <w:smallCaps/>
      <w:color w:val="5A5A5A"/>
    </w:rPr>
  </w:style>
  <w:style w:type="character" w:customStyle="1" w:styleId="62">
    <w:name w:val="未处理的提及1"/>
    <w:basedOn w:val="23"/>
    <w:semiHidden/>
    <w:unhideWhenUsed/>
    <w:qFormat/>
    <w:uiPriority w:val="99"/>
    <w:rPr>
      <w:color w:val="605E5C"/>
      <w:shd w:val="clear" w:color="auto" w:fill="E1DFDD"/>
    </w:rPr>
  </w:style>
  <w:style w:type="character" w:customStyle="1" w:styleId="63">
    <w:name w:val="列出段落 字符"/>
    <w:link w:val="51"/>
    <w:qFormat/>
    <w:uiPriority w:val="0"/>
    <w:rPr>
      <w:rFonts w:ascii="Calibri" w:hAnsi="Calibri"/>
      <w:kern w:val="2"/>
      <w:sz w:val="21"/>
      <w:szCs w:val="22"/>
    </w:rPr>
  </w:style>
  <w:style w:type="character" w:customStyle="1" w:styleId="64">
    <w:name w:val="正文缩进 Char"/>
    <w:qFormat/>
    <w:locked/>
    <w:uiPriority w:val="0"/>
    <w:rPr>
      <w:rFonts w:ascii="Times New Roman" w:hAnsi="Times New Roman"/>
      <w:kern w:val="2"/>
      <w:sz w:val="21"/>
    </w:rPr>
  </w:style>
  <w:style w:type="character" w:customStyle="1" w:styleId="65">
    <w:name w:val="正文文本 字符2"/>
    <w:qFormat/>
    <w:uiPriority w:val="99"/>
    <w:rPr>
      <w:kern w:val="2"/>
      <w:sz w:val="21"/>
      <w:szCs w:val="24"/>
    </w:rPr>
  </w:style>
  <w:style w:type="paragraph" w:customStyle="1" w:styleId="66">
    <w:name w:val=".正文"/>
    <w:basedOn w:val="1"/>
    <w:qFormat/>
    <w:uiPriority w:val="0"/>
    <w:pPr>
      <w:spacing w:beforeLines="50"/>
      <w:ind w:firstLine="200" w:firstLineChars="200"/>
    </w:pPr>
    <w:rPr>
      <w:rFonts w:ascii="Calibri" w:hAnsi="Calibri" w:eastAsia="华文仿宋"/>
    </w:rPr>
  </w:style>
  <w:style w:type="paragraph" w:customStyle="1" w:styleId="67">
    <w:name w:val="style16"/>
    <w:basedOn w:val="1"/>
    <w:qFormat/>
    <w:uiPriority w:val="0"/>
    <w:pPr>
      <w:widowControl/>
      <w:spacing w:before="100" w:beforeAutospacing="1" w:after="100" w:afterAutospacing="1"/>
      <w:jc w:val="left"/>
    </w:pPr>
    <w:rPr>
      <w:rFonts w:ascii="宋体" w:hAnsi="宋体" w:cs="宋体"/>
      <w:color w:val="0000FF"/>
      <w:kern w:val="0"/>
      <w:sz w:val="24"/>
    </w:rPr>
  </w:style>
  <w:style w:type="paragraph" w:customStyle="1" w:styleId="68">
    <w:name w:val="Table Paragraph"/>
    <w:basedOn w:val="1"/>
    <w:qFormat/>
    <w:uiPriority w:val="1"/>
    <w:pPr>
      <w:autoSpaceDE w:val="0"/>
      <w:autoSpaceDN w:val="0"/>
      <w:adjustRightInd w:val="0"/>
      <w:jc w:val="left"/>
    </w:pPr>
    <w:rPr>
      <w:rFonts w:eastAsiaTheme="minorEastAsia"/>
      <w:kern w:val="0"/>
      <w:sz w:val="24"/>
      <w14:ligatures w14:val="standardContextual"/>
    </w:rPr>
  </w:style>
  <w:style w:type="character" w:customStyle="1" w:styleId="69">
    <w:name w:val="正文文本 2 字符"/>
    <w:basedOn w:val="23"/>
    <w:link w:val="18"/>
    <w:semiHidden/>
    <w:qFormat/>
    <w:uiPriority w:val="99"/>
    <w:rPr>
      <w:kern w:val="2"/>
      <w:sz w:val="21"/>
      <w:szCs w:val="24"/>
    </w:rPr>
  </w:style>
  <w:style w:type="character" w:customStyle="1" w:styleId="70">
    <w:name w:val="Unresolved Mention"/>
    <w:basedOn w:val="23"/>
    <w:semiHidden/>
    <w:unhideWhenUsed/>
    <w:qFormat/>
    <w:uiPriority w:val="99"/>
    <w:rPr>
      <w:color w:val="605E5C"/>
      <w:shd w:val="clear" w:color="auto" w:fill="E1DFDD"/>
    </w:rPr>
  </w:style>
  <w:style w:type="paragraph" w:customStyle="1" w:styleId="71">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datastoreItem>
</file>

<file path=docProps/app.xml><?xml version="1.0" encoding="utf-8"?>
<Properties xmlns="http://schemas.openxmlformats.org/officeDocument/2006/extended-properties" xmlns:vt="http://schemas.openxmlformats.org/officeDocument/2006/docPropsVTypes">
  <Template>Normal</Template>
  <Pages>39</Pages>
  <Words>20571</Words>
  <Characters>21666</Characters>
  <Lines>170</Lines>
  <Paragraphs>47</Paragraphs>
  <TotalTime>3</TotalTime>
  <ScaleCrop>false</ScaleCrop>
  <LinksUpToDate>false</LinksUpToDate>
  <CharactersWithSpaces>24746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深圳市宝安区人民医院</dc:creator>
  <cp:lastModifiedBy>万璐玮</cp:lastModifiedBy>
  <cp:lastPrinted>2026-05-18T00:55:00Z</cp:lastPrinted>
  <dcterms:modified xsi:type="dcterms:W3CDTF">2026-05-18T07:55:58Z</dcterms:modified>
  <dc:title>院内招标采购公告</dc:title>
  <cp:revision>889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024DA8960ED54949997E50B131BF3D1B_13</vt:lpwstr>
  </property>
  <property fmtid="{D5CDD505-2E9C-101B-9397-08002B2CF9AE}" pid="4" name="KSOTemplateDocerSaveRecord">
    <vt:lpwstr>eyJoZGlkIjoiOWZkMzE4YjE3ZTIyZGNmZWJlZjE2OGRlZTBmMmZkOGIifQ==</vt:lpwstr>
  </property>
</Properties>
</file>