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ind w:left="1"/>
        <w:contextualSpacing/>
        <w:jc w:val="center"/>
        <w:rPr>
          <w:rFonts w:hint="eastAsia" w:ascii="宋体" w:hAnsi="宋体"/>
          <w:b/>
          <w:bCs/>
          <w:sz w:val="36"/>
          <w:szCs w:val="36"/>
        </w:rPr>
      </w:pPr>
      <w:r>
        <w:rPr>
          <w:rFonts w:hint="eastAsia" w:ascii="宋体" w:hAnsi="宋体"/>
          <w:b/>
          <w:bCs/>
          <w:sz w:val="36"/>
          <w:szCs w:val="36"/>
        </w:rPr>
        <w:t>深圳市宝安区人民医院</w:t>
      </w:r>
    </w:p>
    <w:p>
      <w:pPr>
        <w:widowControl/>
        <w:snapToGrid w:val="0"/>
        <w:ind w:left="1"/>
        <w:contextualSpacing/>
        <w:jc w:val="center"/>
        <w:rPr>
          <w:rFonts w:hint="eastAsia" w:ascii="宋体" w:hAnsi="宋体"/>
          <w:b/>
          <w:bCs/>
          <w:sz w:val="36"/>
          <w:szCs w:val="36"/>
        </w:rPr>
      </w:pPr>
      <w:r>
        <w:rPr>
          <w:rFonts w:hint="eastAsia" w:ascii="宋体" w:hAnsi="宋体"/>
          <w:b/>
          <w:bCs/>
          <w:sz w:val="36"/>
          <w:szCs w:val="36"/>
        </w:rPr>
        <w:t>2026年第</w:t>
      </w:r>
      <w:r>
        <w:rPr>
          <w:rFonts w:hint="eastAsia" w:ascii="宋体" w:hAnsi="宋体"/>
          <w:b/>
          <w:bCs/>
          <w:sz w:val="36"/>
          <w:szCs w:val="36"/>
          <w:lang w:val="en-US" w:eastAsia="zh-CN"/>
        </w:rPr>
        <w:t>19</w:t>
      </w:r>
      <w:r>
        <w:rPr>
          <w:rFonts w:hint="eastAsia" w:ascii="宋体" w:hAnsi="宋体"/>
          <w:b/>
          <w:bCs/>
          <w:sz w:val="36"/>
          <w:szCs w:val="36"/>
        </w:rPr>
        <w:t>期肺功能仪采购公告</w:t>
      </w:r>
    </w:p>
    <w:p>
      <w:pPr>
        <w:widowControl/>
        <w:snapToGrid w:val="0"/>
        <w:ind w:left="1"/>
        <w:contextualSpacing/>
        <w:jc w:val="center"/>
        <w:rPr>
          <w:rFonts w:hint="default" w:ascii="宋体" w:hAnsi="宋体" w:eastAsia="宋体" w:cs="Arial"/>
          <w:b/>
          <w:bCs/>
          <w:color w:val="993300"/>
          <w:kern w:val="0"/>
          <w:sz w:val="36"/>
          <w:szCs w:val="36"/>
          <w:lang w:val="en-US" w:eastAsia="zh-CN"/>
        </w:rPr>
      </w:pPr>
      <w:r>
        <w:rPr>
          <w:rFonts w:hint="eastAsia" w:ascii="宋体" w:hAnsi="宋体"/>
          <w:b/>
          <w:bCs/>
          <w:sz w:val="28"/>
          <w:szCs w:val="28"/>
        </w:rPr>
        <w:t>采购编号：BYZBCG2026</w:t>
      </w:r>
      <w:r>
        <w:rPr>
          <w:rFonts w:hint="eastAsia"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lang w:val="en-US" w:eastAsia="zh-CN"/>
          <w14:textFill>
            <w14:solidFill>
              <w14:schemeClr w14:val="tx1"/>
            </w14:solidFill>
          </w14:textFill>
        </w:rPr>
        <w:t>19</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根据国家及省市有关政策和规定，依照公开、公平、公正的原则，深圳市宝安区人民医院拟对以下项目进行公开</w:t>
      </w:r>
      <w:r>
        <w:rPr>
          <w:rFonts w:hint="eastAsia" w:ascii="宋体" w:hAnsi="宋体" w:cs="Arial"/>
          <w:color w:val="000000"/>
          <w:kern w:val="0"/>
          <w:szCs w:val="21"/>
          <w:lang w:val="en-US" w:eastAsia="zh-CN"/>
        </w:rPr>
        <w:t>征集</w:t>
      </w:r>
      <w:r>
        <w:rPr>
          <w:rFonts w:hint="eastAsia" w:ascii="宋体" w:hAnsi="宋体" w:cs="Arial"/>
          <w:color w:val="000000"/>
          <w:kern w:val="0"/>
          <w:szCs w:val="21"/>
        </w:rPr>
        <w:t xml:space="preserve">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34"/>
        <w:gridCol w:w="708"/>
        <w:gridCol w:w="804"/>
        <w:gridCol w:w="1606"/>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34"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708"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04"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606"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2300"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肺功能仪</w:t>
            </w:r>
          </w:p>
        </w:tc>
        <w:tc>
          <w:tcPr>
            <w:tcW w:w="709"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否</w:t>
            </w:r>
          </w:p>
        </w:tc>
        <w:tc>
          <w:tcPr>
            <w:tcW w:w="1134"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rPr>
              <w:t>是</w:t>
            </w:r>
          </w:p>
        </w:tc>
        <w:tc>
          <w:tcPr>
            <w:tcW w:w="708"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lang w:val="en-US" w:eastAsia="zh-CN"/>
              </w:rPr>
              <w:t>2</w:t>
            </w:r>
          </w:p>
        </w:tc>
        <w:tc>
          <w:tcPr>
            <w:tcW w:w="804"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lang w:val="en-US" w:eastAsia="zh-CN"/>
              </w:rPr>
              <w:t>台</w:t>
            </w:r>
          </w:p>
        </w:tc>
        <w:tc>
          <w:tcPr>
            <w:tcW w:w="1606" w:type="dxa"/>
            <w:vAlign w:val="center"/>
          </w:tcPr>
          <w:p>
            <w:pPr>
              <w:jc w:val="center"/>
              <w:rPr>
                <w:rFonts w:hint="eastAsia" w:ascii="宋体" w:hAnsi="宋体" w:eastAsia="宋体" w:cs="Times New Roman"/>
                <w:kern w:val="0"/>
                <w:szCs w:val="21"/>
              </w:rPr>
            </w:pPr>
            <w:r>
              <w:rPr>
                <w:rFonts w:hint="eastAsia" w:ascii="宋体" w:hAnsi="宋体" w:eastAsia="宋体" w:cs="Times New Roman"/>
                <w:kern w:val="0"/>
                <w:szCs w:val="21"/>
                <w:lang w:val="en-US" w:eastAsia="zh-CN"/>
              </w:rPr>
              <w:t>体检科</w:t>
            </w:r>
          </w:p>
        </w:tc>
        <w:tc>
          <w:tcPr>
            <w:tcW w:w="2300"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left="-283" w:leftChars="-135" w:right="-283" w:rightChars="-135" w:firstLine="352" w:firstLineChars="167"/>
        <w:contextualSpacing/>
        <w:jc w:val="left"/>
        <w:rPr>
          <w:rFonts w:hint="eastAsia" w:ascii="宋体" w:hAnsi="宋体" w:cs="Arial"/>
          <w:bCs/>
          <w:color w:val="000000"/>
          <w:szCs w:val="21"/>
        </w:rPr>
      </w:pPr>
      <w:r>
        <w:rPr>
          <w:rFonts w:hint="eastAsia" w:ascii="宋体" w:hAnsi="宋体" w:cs="Arial"/>
          <w:b/>
          <w:color w:val="000000"/>
          <w:szCs w:val="21"/>
        </w:rPr>
        <w:t>10. 本项目不接受进口产品投标</w:t>
      </w:r>
      <w:r>
        <w:rPr>
          <w:rFonts w:hint="eastAsia" w:ascii="宋体" w:hAnsi="宋体" w:cs="Arial"/>
          <w:bCs/>
          <w:color w:val="000000"/>
          <w:szCs w:val="21"/>
        </w:rPr>
        <w:t>。</w:t>
      </w:r>
    </w:p>
    <w:p>
      <w:pPr>
        <w:snapToGrid w:val="0"/>
        <w:ind w:left="-283" w:leftChars="-135" w:right="-166" w:rightChars="-79" w:firstLine="493" w:firstLineChars="234"/>
        <w:contextualSpacing/>
        <w:rPr>
          <w:rFonts w:hint="eastAsia" w:ascii="宋体" w:hAnsi="宋体" w:cs="微软雅黑"/>
          <w:bCs/>
          <w:color w:val="000000"/>
          <w:szCs w:val="21"/>
        </w:rPr>
      </w:pPr>
      <w:r>
        <w:rPr>
          <w:rFonts w:hint="eastAsia" w:ascii="宋体" w:hAnsi="宋体" w:cs="宋体-18030"/>
          <w:b/>
          <w:bCs/>
          <w:color w:val="000000"/>
          <w:szCs w:val="21"/>
        </w:rPr>
        <w:t>三</w:t>
      </w:r>
      <w:r>
        <w:rPr>
          <w:rFonts w:hint="eastAsia" w:ascii="微软雅黑" w:hAnsi="微软雅黑" w:eastAsia="微软雅黑" w:cs="微软雅黑"/>
          <w:b/>
          <w:bCs/>
          <w:color w:val="00000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4</w:t>
      </w:r>
      <w:r>
        <w:rPr>
          <w:rFonts w:hint="eastAsia" w:ascii="宋体" w:hAnsi="宋体"/>
        </w:rPr>
        <w:t>月</w:t>
      </w:r>
      <w:r>
        <w:rPr>
          <w:rFonts w:hint="eastAsia" w:ascii="宋体" w:hAnsi="宋体"/>
          <w:lang w:val="en-US" w:eastAsia="zh-CN"/>
        </w:rPr>
        <w:t>21</w:t>
      </w:r>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5</w:t>
      </w:r>
      <w:r>
        <w:rPr>
          <w:rFonts w:ascii="宋体" w:hAnsi="宋体"/>
        </w:rPr>
        <w:t>月</w:t>
      </w:r>
      <w:r>
        <w:rPr>
          <w:rFonts w:hint="eastAsia" w:ascii="宋体" w:hAnsi="宋体"/>
          <w:lang w:val="en-US" w:eastAsia="zh-CN"/>
        </w:rPr>
        <w:t>7</w:t>
      </w:r>
      <w:r>
        <w:rPr>
          <w:rFonts w:ascii="宋体" w:hAnsi="宋体"/>
        </w:rPr>
        <w:t>日</w:t>
      </w:r>
      <w:r>
        <w:rPr>
          <w:rFonts w:hint="eastAsia" w:ascii="宋体" w:hAnsi="宋体"/>
        </w:rPr>
        <w:t>16</w:t>
      </w:r>
      <w:r>
        <w:rPr>
          <w:rFonts w:ascii="宋体" w:hAnsi="宋体"/>
        </w:rPr>
        <w:t>:00前,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snapToGrid w:val="0"/>
        <w:ind w:left="-283" w:leftChars="-135" w:right="-166" w:rightChars="-79" w:firstLine="282" w:firstLineChars="134"/>
        <w:contextualSpacing/>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hint="eastAsia" w:ascii="微软雅黑" w:hAnsi="微软雅黑" w:eastAsia="微软雅黑" w:cs="微软雅黑"/>
          <w:b/>
          <w:bCs/>
          <w:color w:val="00000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微软雅黑" w:hAnsi="微软雅黑" w:eastAsia="微软雅黑" w:cs="微软雅黑"/>
          <w:b/>
          <w:bCs/>
          <w:color w:val="000000"/>
          <w:szCs w:val="21"/>
        </w:rPr>
        <w:t>､</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ascii="宋体" w:hAnsi="宋体"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 xml:space="preserve">､ </w:t>
      </w:r>
      <w:r>
        <w:rPr>
          <w:rFonts w:hint="eastAsia" w:ascii="宋体" w:hAnsi="宋体" w:cs="Arial"/>
          <w:b/>
          <w:bCs/>
          <w:color w:val="000000"/>
          <w:kern w:val="0"/>
          <w:szCs w:val="21"/>
        </w:rPr>
        <w:t>招标办联系电话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widowControl/>
        <w:snapToGrid w:val="0"/>
        <w:ind w:left="-283" w:leftChars="-135" w:right="-617" w:rightChars="-294" w:firstLine="282" w:firstLineChars="134"/>
        <w:contextualSpacing/>
        <w:jc w:val="left"/>
      </w:pPr>
      <w:r>
        <w:rPr>
          <w:rFonts w:hint="eastAsia" w:ascii="宋体" w:hAnsi="宋体" w:cs="Arial"/>
          <w:b/>
          <w:bCs/>
          <w:color w:val="000000"/>
          <w:kern w:val="0"/>
          <w:szCs w:val="21"/>
        </w:rPr>
        <w:t xml:space="preserve">  七、采购部门（设备科）联系电话：</w:t>
      </w:r>
      <w:r>
        <w:rPr>
          <w:rFonts w:hint="eastAsia" w:ascii="宋体" w:hAnsi="宋体" w:cs="Arial"/>
          <w:color w:val="000000"/>
          <w:kern w:val="0"/>
          <w:szCs w:val="21"/>
        </w:rPr>
        <w:t>0755-27788311转3018（李老师）</w:t>
      </w:r>
    </w:p>
    <w:p>
      <w:pPr>
        <w:widowControl/>
        <w:snapToGrid w:val="0"/>
        <w:ind w:firstLine="422" w:firstLineChars="200"/>
        <w:contextualSpacing/>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snapToGrid w:val="0"/>
        <w:ind w:firstLine="422" w:firstLineChars="200"/>
        <w:contextualSpacing/>
        <w:jc w:val="right"/>
        <w:rPr>
          <w:rFonts w:hint="eastAsia" w:ascii="宋体" w:hAnsi="宋体" w:cs="宋体-18030"/>
          <w:b/>
          <w:bCs/>
          <w:color w:val="FF0000"/>
          <w:szCs w:val="21"/>
        </w:rPr>
      </w:pPr>
    </w:p>
    <w:p>
      <w:pPr>
        <w:widowControl/>
        <w:snapToGrid w:val="0"/>
        <w:ind w:firstLine="422" w:firstLineChars="200"/>
        <w:contextualSpacing/>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2026年</w:t>
      </w:r>
      <w:r>
        <w:rPr>
          <w:rFonts w:hint="eastAsia" w:ascii="宋体" w:hAnsi="宋体" w:cs="Arial"/>
          <w:color w:val="000000" w:themeColor="text1"/>
          <w:kern w:val="0"/>
          <w:szCs w:val="21"/>
          <w:lang w:val="en-US" w:eastAsia="zh-CN"/>
          <w14:textFill>
            <w14:solidFill>
              <w14:schemeClr w14:val="tx1"/>
            </w14:solidFill>
          </w14:textFill>
        </w:rPr>
        <w:t>4</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21</w:t>
      </w:r>
      <w:bookmarkStart w:id="11" w:name="_GoBack"/>
      <w:bookmarkEnd w:id="11"/>
      <w:r>
        <w:rPr>
          <w:rFonts w:hint="eastAsia" w:ascii="宋体" w:hAnsi="宋体" w:cs="Arial"/>
          <w:color w:val="000000" w:themeColor="text1"/>
          <w:kern w:val="0"/>
          <w:szCs w:val="21"/>
          <w14:textFill>
            <w14:solidFill>
              <w14:schemeClr w14:val="tx1"/>
            </w14:solidFill>
          </w14:textFill>
        </w:rPr>
        <w:t>日</w:t>
      </w: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br w:type="page"/>
      </w: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2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pStyle w:val="75"/>
        <w:ind w:firstLine="480"/>
      </w:pP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060"/>
        <w:gridCol w:w="709"/>
        <w:gridCol w:w="7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序号</w:t>
            </w:r>
          </w:p>
        </w:tc>
        <w:tc>
          <w:tcPr>
            <w:tcW w:w="1060" w:type="dxa"/>
            <w:noWrap w:val="0"/>
            <w:vAlign w:val="center"/>
          </w:tcPr>
          <w:p>
            <w:pPr>
              <w:snapToGrid w:val="0"/>
              <w:contextualSpacing/>
              <w:jc w:val="center"/>
              <w:rPr>
                <w:rFonts w:hint="eastAsia" w:ascii="宋体" w:hAnsi="宋体" w:cs="宋体"/>
                <w:color w:val="000000"/>
                <w:szCs w:val="21"/>
              </w:rPr>
            </w:pPr>
            <w:r>
              <w:rPr>
                <w:rFonts w:ascii="宋体" w:hAnsi="宋体"/>
                <w:color w:val="000000"/>
                <w:szCs w:val="21"/>
              </w:rPr>
              <w:t>评分因素</w:t>
            </w:r>
          </w:p>
        </w:tc>
        <w:tc>
          <w:tcPr>
            <w:tcW w:w="709" w:type="dxa"/>
            <w:noWrap w:val="0"/>
            <w:vAlign w:val="center"/>
          </w:tcPr>
          <w:p>
            <w:pPr>
              <w:snapToGrid w:val="0"/>
              <w:contextualSpacing/>
              <w:jc w:val="center"/>
              <w:rPr>
                <w:rFonts w:hint="eastAsia" w:ascii="宋体" w:hAnsi="宋体" w:cs="宋体"/>
                <w:color w:val="000000"/>
                <w:szCs w:val="21"/>
              </w:rPr>
            </w:pPr>
            <w:r>
              <w:rPr>
                <w:rFonts w:ascii="宋体" w:hAnsi="宋体" w:cs="宋体"/>
                <w:color w:val="000000"/>
                <w:szCs w:val="21"/>
              </w:rPr>
              <w:t>分值</w:t>
            </w:r>
          </w:p>
        </w:tc>
        <w:tc>
          <w:tcPr>
            <w:tcW w:w="7011" w:type="dxa"/>
            <w:noWrap w:val="0"/>
            <w:vAlign w:val="center"/>
          </w:tcPr>
          <w:p>
            <w:pPr>
              <w:snapToGrid w:val="0"/>
              <w:contextualSpacing/>
              <w:jc w:val="center"/>
              <w:rPr>
                <w:rFonts w:hint="eastAsia" w:ascii="宋体" w:hAnsi="宋体"/>
                <w:color w:val="000000"/>
                <w:szCs w:val="21"/>
              </w:rPr>
            </w:pPr>
            <w:r>
              <w:rPr>
                <w:rFonts w:ascii="宋体" w:hAnsi="宋体"/>
                <w:color w:val="000000"/>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技术商务(</w:t>
            </w:r>
            <w:r>
              <w:rPr>
                <w:rFonts w:hint="eastAsia" w:ascii="宋体" w:hAnsi="宋体"/>
                <w:b/>
                <w:color w:val="000000"/>
                <w:szCs w:val="21"/>
              </w:rPr>
              <w:t>70</w:t>
            </w:r>
            <w:r>
              <w:rPr>
                <w:rFonts w:ascii="宋体" w:hAnsi="宋体"/>
                <w:b/>
                <w:color w:val="000000"/>
                <w:szCs w:val="21"/>
              </w:rPr>
              <w:t>分)</w:t>
            </w: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▲参数响应情况评价</w:t>
            </w:r>
          </w:p>
        </w:tc>
        <w:tc>
          <w:tcPr>
            <w:tcW w:w="709" w:type="dxa"/>
            <w:noWrap w:val="0"/>
            <w:vAlign w:val="center"/>
          </w:tcPr>
          <w:p>
            <w:pPr>
              <w:snapToGrid w:val="0"/>
              <w:contextualSpacing/>
              <w:jc w:val="center"/>
              <w:rPr>
                <w:rFonts w:hint="default" w:ascii="宋体" w:hAnsi="宋体" w:eastAsia="宋体"/>
                <w:color w:val="000000"/>
                <w:szCs w:val="21"/>
                <w:lang w:val="en-US" w:eastAsia="zh-CN"/>
              </w:rPr>
            </w:pPr>
            <w:r>
              <w:rPr>
                <w:rFonts w:hint="eastAsia" w:ascii="宋体" w:hAnsi="宋体"/>
                <w:color w:val="000000"/>
                <w:szCs w:val="21"/>
                <w:lang w:val="en-US" w:eastAsia="zh-CN"/>
              </w:rPr>
              <w:t>40</w:t>
            </w:r>
          </w:p>
        </w:tc>
        <w:tc>
          <w:tcPr>
            <w:tcW w:w="7011" w:type="dxa"/>
            <w:noWrap w:val="0"/>
            <w:vAlign w:val="top"/>
          </w:tcPr>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bCs/>
                <w:color w:val="000000"/>
                <w:kern w:val="0"/>
                <w:szCs w:val="21"/>
              </w:rPr>
              <w:t>“▲”参数响应</w:t>
            </w:r>
            <w:r>
              <w:rPr>
                <w:rFonts w:hint="eastAsia" w:ascii="宋体" w:hAnsi="宋体" w:cs="宋体"/>
                <w:color w:val="000000"/>
                <w:kern w:val="0"/>
                <w:szCs w:val="21"/>
              </w:rPr>
              <w:t>情况。</w:t>
            </w:r>
          </w:p>
          <w:p>
            <w:pPr>
              <w:snapToGrid w:val="0"/>
              <w:contextualSpacing/>
              <w:rPr>
                <w:rFonts w:hint="eastAsia" w:ascii="宋体" w:hAnsi="宋体" w:cs="宋体"/>
                <w:color w:val="000000"/>
                <w:kern w:val="0"/>
                <w:szCs w:val="21"/>
              </w:rPr>
            </w:pPr>
            <w:r>
              <w:rPr>
                <w:rFonts w:hint="eastAsia" w:ascii="宋体" w:hAnsi="宋体" w:cs="宋体"/>
                <w:color w:val="000000"/>
                <w:kern w:val="0"/>
                <w:szCs w:val="21"/>
              </w:rPr>
              <w:t>评审依据：</w:t>
            </w:r>
          </w:p>
          <w:p>
            <w:pPr>
              <w:snapToGrid w:val="0"/>
              <w:contextualSpacing/>
              <w:rPr>
                <w:rFonts w:hint="eastAsia" w:ascii="宋体" w:hAnsi="宋体"/>
                <w:color w:val="000000"/>
                <w:szCs w:val="21"/>
                <w:lang w:val="zh-CN"/>
              </w:rPr>
            </w:pPr>
            <w:r>
              <w:rPr>
                <w:rFonts w:hint="eastAsia" w:ascii="宋体" w:hAnsi="宋体" w:cs="宋体"/>
                <w:color w:val="000000"/>
                <w:kern w:val="0"/>
                <w:szCs w:val="21"/>
              </w:rPr>
              <w:t>以投标文件《技术要求偏离表》为评审依据，完全符合招标要求的，得</w:t>
            </w:r>
            <w:r>
              <w:rPr>
                <w:rFonts w:hint="eastAsia" w:ascii="宋体" w:hAnsi="宋体" w:cs="宋体"/>
                <w:color w:val="000000"/>
                <w:kern w:val="0"/>
                <w:szCs w:val="21"/>
                <w:lang w:val="en-US" w:eastAsia="zh-CN"/>
              </w:rPr>
              <w:t>40</w:t>
            </w:r>
            <w:r>
              <w:rPr>
                <w:rFonts w:hint="eastAsia" w:ascii="宋体" w:hAnsi="宋体" w:cs="宋体"/>
                <w:color w:val="000000"/>
                <w:kern w:val="0"/>
                <w:szCs w:val="21"/>
              </w:rPr>
              <w:t>分。有1项“▲”参数不符合招标要求（或缺漏）的扣</w:t>
            </w:r>
            <w:r>
              <w:rPr>
                <w:rFonts w:hint="eastAsia" w:ascii="宋体" w:hAnsi="宋体" w:cs="宋体"/>
                <w:color w:val="000000"/>
                <w:kern w:val="0"/>
                <w:szCs w:val="21"/>
                <w:lang w:val="en-US" w:eastAsia="zh-CN"/>
              </w:rPr>
              <w:t>8</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bCs/>
                <w:color w:val="000000"/>
                <w:szCs w:val="21"/>
              </w:rPr>
              <w:t>非▲参数响应情况评价</w:t>
            </w:r>
          </w:p>
        </w:tc>
        <w:tc>
          <w:tcPr>
            <w:tcW w:w="709" w:type="dxa"/>
            <w:noWrap w:val="0"/>
            <w:vAlign w:val="center"/>
          </w:tcPr>
          <w:p>
            <w:pPr>
              <w:snapToGrid w:val="0"/>
              <w:contextualSpacing/>
              <w:jc w:val="center"/>
              <w:rPr>
                <w:rFonts w:hint="eastAsia" w:ascii="宋体" w:hAnsi="宋体"/>
                <w:color w:val="000000"/>
                <w:szCs w:val="21"/>
              </w:rPr>
            </w:pPr>
            <w:r>
              <w:rPr>
                <w:rFonts w:hint="eastAsia" w:ascii="宋体" w:hAnsi="宋体"/>
                <w:color w:val="000000"/>
                <w:szCs w:val="21"/>
              </w:rPr>
              <w:t>18</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考察投标人对招标文件</w:t>
            </w:r>
            <w:r>
              <w:rPr>
                <w:rFonts w:hint="eastAsia" w:ascii="宋体" w:hAnsi="宋体" w:cs="宋体"/>
                <w:b/>
                <w:bCs/>
                <w:color w:val="000000"/>
                <w:kern w:val="0"/>
                <w:szCs w:val="21"/>
              </w:rPr>
              <w:t>《用户需求书：技术要求》</w:t>
            </w:r>
            <w:r>
              <w:rPr>
                <w:rFonts w:hint="eastAsia" w:ascii="宋体" w:hAnsi="宋体" w:cs="宋体"/>
                <w:color w:val="000000"/>
                <w:kern w:val="0"/>
                <w:szCs w:val="21"/>
              </w:rPr>
              <w:t>内容中的</w:t>
            </w:r>
            <w:r>
              <w:rPr>
                <w:rFonts w:hint="eastAsia" w:ascii="宋体" w:hAnsi="宋体" w:cs="宋体"/>
                <w:b/>
                <w:color w:val="000000"/>
                <w:kern w:val="0"/>
                <w:szCs w:val="21"/>
              </w:rPr>
              <w:t>非“▲”参数响应</w:t>
            </w:r>
            <w:r>
              <w:rPr>
                <w:rFonts w:hint="eastAsia" w:ascii="宋体" w:hAnsi="宋体" w:cs="宋体"/>
                <w:color w:val="000000"/>
                <w:kern w:val="0"/>
                <w:szCs w:val="21"/>
              </w:rPr>
              <w:t>情况。</w:t>
            </w:r>
          </w:p>
          <w:p>
            <w:pPr>
              <w:snapToGrid w:val="0"/>
              <w:contextualSpacing/>
              <w:rPr>
                <w:rFonts w:hint="eastAsia" w:ascii="宋体" w:hAnsi="宋体" w:cs="宋体"/>
                <w:color w:val="000000"/>
                <w:szCs w:val="21"/>
              </w:rPr>
            </w:pPr>
            <w:r>
              <w:rPr>
                <w:rFonts w:hint="eastAsia" w:ascii="宋体" w:hAnsi="宋体" w:cs="宋体"/>
                <w:color w:val="000000"/>
                <w:szCs w:val="21"/>
              </w:rPr>
              <w:t>评审依据：</w:t>
            </w:r>
          </w:p>
          <w:p>
            <w:pPr>
              <w:snapToGrid w:val="0"/>
              <w:contextualSpacing/>
              <w:rPr>
                <w:rFonts w:hint="eastAsia" w:ascii="宋体" w:hAnsi="宋体"/>
                <w:b/>
                <w:bCs/>
                <w:color w:val="000000"/>
                <w:szCs w:val="21"/>
              </w:rPr>
            </w:pPr>
            <w:r>
              <w:rPr>
                <w:rFonts w:hint="eastAsia" w:ascii="宋体" w:hAnsi="宋体" w:cs="宋体"/>
                <w:color w:val="000000"/>
                <w:kern w:val="0"/>
                <w:szCs w:val="21"/>
              </w:rPr>
              <w:t>以投标文件《技术要求偏离表》为评审依据，完全符合招标要求的，得18分。有1项非“▲”参数不符合招标要求（或缺漏）的扣0.</w:t>
            </w:r>
            <w:r>
              <w:rPr>
                <w:rFonts w:hint="eastAsia" w:ascii="宋体" w:hAnsi="宋体" w:cs="宋体"/>
                <w:color w:val="000000"/>
                <w:kern w:val="0"/>
                <w:szCs w:val="21"/>
                <w:lang w:val="en-US" w:eastAsia="zh-CN"/>
              </w:rPr>
              <w:t>78</w:t>
            </w:r>
            <w:r>
              <w:rPr>
                <w:rFonts w:hint="eastAsia" w:ascii="宋体" w:hAnsi="宋体" w:cs="宋体"/>
                <w:color w:val="000000"/>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ascii="宋体" w:hAnsi="宋体"/>
                <w:color w:val="000000"/>
                <w:szCs w:val="21"/>
              </w:rPr>
              <w:t>投标人承诺的售后服务内容和工作方案</w:t>
            </w:r>
          </w:p>
        </w:tc>
        <w:tc>
          <w:tcPr>
            <w:tcW w:w="709" w:type="dxa"/>
            <w:noWrap w:val="0"/>
            <w:vAlign w:val="center"/>
          </w:tcPr>
          <w:p>
            <w:pPr>
              <w:snapToGrid w:val="0"/>
              <w:contextualSpacing/>
              <w:jc w:val="center"/>
              <w:rPr>
                <w:rFonts w:hint="eastAsia" w:ascii="宋体" w:hAnsi="宋体" w:eastAsia="宋体"/>
                <w:color w:val="000000"/>
                <w:szCs w:val="21"/>
                <w:lang w:val="zh-CN" w:eastAsia="zh-CN"/>
              </w:rPr>
            </w:pPr>
            <w:r>
              <w:rPr>
                <w:rFonts w:hint="eastAsia" w:ascii="宋体" w:hAnsi="宋体"/>
                <w:color w:val="000000"/>
                <w:szCs w:val="21"/>
                <w:lang w:val="en-US" w:eastAsia="zh-CN"/>
              </w:rPr>
              <w:t>7</w:t>
            </w:r>
          </w:p>
        </w:tc>
        <w:tc>
          <w:tcPr>
            <w:tcW w:w="7011" w:type="dxa"/>
            <w:noWrap w:val="0"/>
            <w:vAlign w:val="center"/>
          </w:tcPr>
          <w:p>
            <w:pPr>
              <w:snapToGrid w:val="0"/>
              <w:contextualSpacing/>
              <w:rPr>
                <w:rFonts w:hint="eastAsia" w:ascii="宋体" w:hAnsi="宋体" w:cs="宋体"/>
                <w:bCs/>
                <w:color w:val="000000"/>
                <w:szCs w:val="21"/>
              </w:rPr>
            </w:pPr>
            <w:r>
              <w:rPr>
                <w:rFonts w:hint="eastAsia" w:ascii="宋体" w:hAnsi="宋体" w:cs="宋体"/>
                <w:bCs/>
                <w:color w:val="000000"/>
                <w:szCs w:val="21"/>
              </w:rPr>
              <w:t>评审内容：</w:t>
            </w:r>
          </w:p>
          <w:p>
            <w:pPr>
              <w:snapToGrid w:val="0"/>
              <w:contextualSpacing/>
              <w:rPr>
                <w:rFonts w:hint="eastAsia" w:ascii="宋体" w:hAnsi="宋体" w:cs="宋体"/>
                <w:bCs/>
                <w:color w:val="000000"/>
                <w:szCs w:val="21"/>
              </w:rPr>
            </w:pPr>
            <w:r>
              <w:rPr>
                <w:rFonts w:hint="eastAsia" w:ascii="宋体" w:hAnsi="宋体" w:cs="宋体"/>
                <w:bCs/>
                <w:color w:val="000000"/>
                <w:szCs w:val="21"/>
              </w:rPr>
              <w:t>针对投标人的方案中的以下内容进行综合评价：</w:t>
            </w:r>
          </w:p>
          <w:p>
            <w:pPr>
              <w:snapToGrid w:val="0"/>
              <w:contextualSpacing/>
              <w:rPr>
                <w:rFonts w:hint="eastAsia" w:ascii="宋体" w:hAnsi="宋体" w:cs="宋体"/>
                <w:bCs/>
                <w:color w:val="000000"/>
                <w:szCs w:val="21"/>
              </w:rPr>
            </w:pPr>
            <w:r>
              <w:rPr>
                <w:rFonts w:hint="eastAsia" w:ascii="宋体" w:hAnsi="宋体" w:cs="宋体"/>
                <w:bCs/>
                <w:color w:val="000000"/>
                <w:szCs w:val="21"/>
              </w:rPr>
              <w:t>（1）</w:t>
            </w:r>
            <w:r>
              <w:rPr>
                <w:rFonts w:ascii="宋体" w:hAnsi="宋体"/>
                <w:color w:val="000000"/>
                <w:szCs w:val="21"/>
              </w:rPr>
              <w:t>售后人员配备情况</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（2）</w:t>
            </w:r>
            <w:r>
              <w:rPr>
                <w:rFonts w:ascii="宋体" w:hAnsi="宋体"/>
                <w:color w:val="000000"/>
                <w:szCs w:val="21"/>
              </w:rPr>
              <w:t>产品维护服务</w:t>
            </w:r>
            <w:r>
              <w:rPr>
                <w:rFonts w:hint="eastAsia" w:ascii="宋体" w:hAnsi="宋体"/>
                <w:color w:val="000000"/>
                <w:szCs w:val="21"/>
              </w:rPr>
              <w:t>及</w:t>
            </w:r>
            <w:r>
              <w:rPr>
                <w:rFonts w:ascii="宋体" w:hAnsi="宋体"/>
                <w:color w:val="000000"/>
                <w:szCs w:val="21"/>
              </w:rPr>
              <w:t>备品备件</w:t>
            </w:r>
            <w:r>
              <w:rPr>
                <w:rFonts w:hint="eastAsia" w:ascii="宋体" w:hAnsi="宋体"/>
                <w:color w:val="000000"/>
                <w:szCs w:val="21"/>
              </w:rPr>
              <w:t>和</w:t>
            </w:r>
            <w:r>
              <w:rPr>
                <w:rFonts w:ascii="宋体" w:hAnsi="宋体"/>
                <w:color w:val="000000"/>
                <w:szCs w:val="21"/>
              </w:rPr>
              <w:t>产品配件价格优惠</w:t>
            </w:r>
            <w:r>
              <w:rPr>
                <w:rFonts w:hint="eastAsia" w:ascii="宋体" w:hAnsi="宋体" w:cs="宋体"/>
                <w:bCs/>
                <w:color w:val="000000"/>
                <w:szCs w:val="21"/>
              </w:rPr>
              <w:t>；</w:t>
            </w:r>
          </w:p>
          <w:p>
            <w:pPr>
              <w:snapToGrid w:val="0"/>
              <w:contextualSpacing/>
              <w:rPr>
                <w:rFonts w:hint="eastAsia" w:ascii="宋体" w:hAnsi="宋体" w:cs="宋体"/>
                <w:bCs/>
                <w:color w:val="000000"/>
                <w:szCs w:val="21"/>
              </w:rPr>
            </w:pPr>
            <w:r>
              <w:rPr>
                <w:rFonts w:hint="eastAsia" w:ascii="宋体" w:hAnsi="宋体" w:cs="宋体"/>
                <w:bCs/>
                <w:color w:val="000000"/>
                <w:szCs w:val="21"/>
              </w:rPr>
              <w:t>（3）产品培训方案；</w:t>
            </w:r>
          </w:p>
          <w:p>
            <w:pPr>
              <w:snapToGrid w:val="0"/>
              <w:contextualSpacing/>
              <w:rPr>
                <w:rFonts w:hint="eastAsia" w:ascii="宋体" w:hAnsi="宋体" w:cs="宋体"/>
                <w:bCs/>
                <w:color w:val="000000"/>
                <w:szCs w:val="21"/>
              </w:rPr>
            </w:pPr>
            <w:r>
              <w:rPr>
                <w:rFonts w:hint="eastAsia" w:ascii="宋体" w:hAnsi="宋体" w:cs="宋体"/>
                <w:bCs/>
                <w:color w:val="000000"/>
                <w:szCs w:val="21"/>
              </w:rPr>
              <w:t>评审依据：</w:t>
            </w:r>
          </w:p>
          <w:p>
            <w:pPr>
              <w:snapToGrid w:val="0"/>
              <w:contextualSpacing/>
              <w:rPr>
                <w:rFonts w:hint="eastAsia" w:ascii="宋体" w:hAnsi="宋体" w:cs="宋体"/>
                <w:bCs/>
                <w:color w:val="000000"/>
                <w:szCs w:val="21"/>
              </w:rPr>
            </w:pPr>
            <w:r>
              <w:rPr>
                <w:rFonts w:hint="eastAsia" w:ascii="宋体" w:hAnsi="宋体"/>
                <w:color w:val="000000"/>
                <w:szCs w:val="21"/>
              </w:rPr>
              <w:t>1、</w:t>
            </w:r>
            <w:r>
              <w:rPr>
                <w:rFonts w:hint="eastAsia" w:ascii="宋体" w:hAnsi="宋体" w:cs="宋体"/>
                <w:bCs/>
                <w:color w:val="000000"/>
                <w:szCs w:val="21"/>
              </w:rPr>
              <w:t>满足任意一项得1分，满足任意两项得2分，满足三项得3分，其他情况不得分。</w:t>
            </w:r>
          </w:p>
          <w:p>
            <w:pPr>
              <w:snapToGrid w:val="0"/>
              <w:contextualSpacing/>
              <w:rPr>
                <w:rFonts w:hint="eastAsia" w:ascii="宋体" w:hAnsi="宋体"/>
                <w:color w:val="000000"/>
                <w:szCs w:val="21"/>
              </w:rPr>
            </w:pPr>
            <w:r>
              <w:rPr>
                <w:rFonts w:hint="eastAsia" w:ascii="宋体" w:hAnsi="宋体"/>
                <w:color w:val="000000"/>
                <w:szCs w:val="21"/>
              </w:rPr>
              <w:t>2、在此基础上，由评审委员会根据方案响应情况进一步评审：</w:t>
            </w:r>
          </w:p>
          <w:p>
            <w:pPr>
              <w:snapToGrid w:val="0"/>
              <w:contextualSpacing/>
              <w:rPr>
                <w:rFonts w:hint="eastAsia" w:ascii="宋体" w:hAnsi="宋体"/>
                <w:color w:val="000000"/>
                <w:szCs w:val="21"/>
              </w:rPr>
            </w:pPr>
            <w:r>
              <w:rPr>
                <w:rFonts w:hint="eastAsia" w:ascii="宋体" w:hAnsi="宋体"/>
                <w:color w:val="000000"/>
                <w:szCs w:val="21"/>
              </w:rPr>
              <w:t>①方案极合理、条理极清晰、可操作性极强的得</w:t>
            </w:r>
            <w:r>
              <w:rPr>
                <w:rFonts w:hint="eastAsia" w:ascii="宋体" w:hAnsi="宋体"/>
                <w:color w:val="000000"/>
                <w:szCs w:val="21"/>
                <w:lang w:val="en-US" w:eastAsia="zh-CN"/>
              </w:rPr>
              <w:t>4</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②方案合理、条理清晰、可操作强的得</w:t>
            </w:r>
            <w:r>
              <w:rPr>
                <w:rFonts w:hint="eastAsia" w:ascii="宋体" w:hAnsi="宋体"/>
                <w:color w:val="000000"/>
                <w:szCs w:val="21"/>
                <w:lang w:val="en-US" w:eastAsia="zh-CN"/>
              </w:rPr>
              <w:t>3</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③方案较合理、条理较清晰、可操作较强的得</w:t>
            </w:r>
            <w:r>
              <w:rPr>
                <w:rFonts w:hint="eastAsia" w:ascii="宋体" w:hAnsi="宋体"/>
                <w:color w:val="000000"/>
                <w:szCs w:val="21"/>
                <w:lang w:val="en-US" w:eastAsia="zh-CN"/>
              </w:rPr>
              <w:t>2</w:t>
            </w:r>
            <w:r>
              <w:rPr>
                <w:rFonts w:hint="eastAsia" w:ascii="宋体" w:hAnsi="宋体"/>
                <w:color w:val="000000"/>
                <w:szCs w:val="21"/>
              </w:rPr>
              <w:t>分；</w:t>
            </w:r>
          </w:p>
          <w:p>
            <w:pPr>
              <w:snapToGrid w:val="0"/>
              <w:contextualSpacing/>
              <w:rPr>
                <w:rFonts w:hint="eastAsia" w:ascii="宋体" w:hAnsi="宋体"/>
                <w:color w:val="000000"/>
                <w:szCs w:val="21"/>
              </w:rPr>
            </w:pPr>
            <w:r>
              <w:rPr>
                <w:rFonts w:hint="eastAsia" w:ascii="宋体" w:hAnsi="宋体"/>
                <w:color w:val="000000"/>
                <w:szCs w:val="21"/>
              </w:rPr>
              <w:t>④方案一般合理、条理一般、可操作一般的得</w:t>
            </w:r>
            <w:r>
              <w:rPr>
                <w:rFonts w:hint="eastAsia" w:ascii="宋体" w:hAnsi="宋体"/>
                <w:color w:val="000000"/>
                <w:szCs w:val="21"/>
                <w:lang w:val="en-US" w:eastAsia="zh-CN"/>
              </w:rPr>
              <w:t>1</w:t>
            </w:r>
            <w:r>
              <w:rPr>
                <w:rFonts w:hint="eastAsia" w:ascii="宋体" w:hAnsi="宋体"/>
                <w:color w:val="000000"/>
                <w:szCs w:val="21"/>
              </w:rPr>
              <w:t>分；</w:t>
            </w:r>
          </w:p>
          <w:p>
            <w:pPr>
              <w:pStyle w:val="17"/>
              <w:widowControl w:val="0"/>
              <w:snapToGrid w:val="0"/>
              <w:spacing w:before="0" w:beforeAutospacing="0" w:after="0" w:afterAutospacing="0"/>
              <w:contextualSpacing/>
              <w:rPr>
                <w:rFonts w:hint="eastAsia"/>
                <w:color w:val="000000"/>
                <w:sz w:val="21"/>
                <w:szCs w:val="21"/>
                <w:lang w:val="zh-CN"/>
              </w:rPr>
            </w:pPr>
            <w:r>
              <w:rPr>
                <w:rFonts w:hint="eastAsia"/>
                <w:color w:val="000000"/>
                <w:sz w:val="21"/>
                <w:szCs w:val="21"/>
              </w:rPr>
              <w:t>⑤方案极不合理、条理极不清晰、可操作极差的不得分。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绿色采购情况</w:t>
            </w:r>
          </w:p>
        </w:tc>
        <w:tc>
          <w:tcPr>
            <w:tcW w:w="709" w:type="dxa"/>
            <w:noWrap w:val="0"/>
            <w:vAlign w:val="center"/>
          </w:tcPr>
          <w:p>
            <w:pPr>
              <w:widowControl/>
              <w:snapToGrid w:val="0"/>
              <w:contextualSpacing/>
              <w:jc w:val="center"/>
              <w:rPr>
                <w:rFonts w:hint="eastAsia" w:ascii="宋体" w:hAnsi="宋体" w:cs="Arial"/>
                <w:color w:val="000000"/>
                <w:kern w:val="0"/>
                <w:szCs w:val="21"/>
              </w:rPr>
            </w:pPr>
            <w:r>
              <w:rPr>
                <w:rFonts w:hint="eastAsia" w:ascii="宋体" w:hAnsi="宋体"/>
                <w:color w:val="000000"/>
                <w:szCs w:val="21"/>
              </w:rPr>
              <w:t>1</w:t>
            </w:r>
          </w:p>
        </w:tc>
        <w:tc>
          <w:tcPr>
            <w:tcW w:w="7011" w:type="dxa"/>
            <w:noWrap w:val="0"/>
            <w:vAlign w:val="top"/>
          </w:tcPr>
          <w:p>
            <w:pPr>
              <w:widowControl/>
              <w:snapToGrid w:val="0"/>
              <w:contextualSpacing/>
              <w:jc w:val="left"/>
              <w:rPr>
                <w:rFonts w:hint="eastAsia" w:ascii="宋体" w:hAnsi="宋体" w:cs="宋体"/>
                <w:color w:val="000000"/>
                <w:kern w:val="0"/>
                <w:szCs w:val="21"/>
              </w:rPr>
            </w:pPr>
            <w:r>
              <w:rPr>
                <w:rFonts w:hint="eastAsia" w:ascii="宋体" w:hAnsi="宋体" w:cs="宋体"/>
                <w:color w:val="000000"/>
                <w:kern w:val="0"/>
                <w:szCs w:val="21"/>
              </w:rPr>
              <w:t>评审内容：</w:t>
            </w:r>
          </w:p>
          <w:p>
            <w:pPr>
              <w:snapToGrid w:val="0"/>
              <w:ind w:firstLine="420" w:firstLineChars="200"/>
              <w:contextualSpacing/>
              <w:rPr>
                <w:rFonts w:hint="eastAsia" w:ascii="宋体" w:hAnsi="宋体"/>
                <w:color w:val="000000"/>
                <w:szCs w:val="21"/>
              </w:rPr>
            </w:pPr>
            <w:r>
              <w:rPr>
                <w:rFonts w:hint="eastAsia" w:ascii="宋体" w:hAnsi="宋体"/>
                <w:color w:val="000000"/>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napToGrid w:val="0"/>
              <w:contextualSpacing/>
              <w:rPr>
                <w:rFonts w:hint="eastAsia" w:ascii="宋体" w:hAnsi="宋体" w:cs="宋体"/>
                <w:color w:val="000000"/>
                <w:kern w:val="0"/>
                <w:szCs w:val="21"/>
              </w:rPr>
            </w:pPr>
            <w:r>
              <w:rPr>
                <w:rFonts w:hint="eastAsia" w:ascii="宋体" w:hAnsi="宋体" w:cs="宋体"/>
                <w:color w:val="000000"/>
                <w:szCs w:val="21"/>
              </w:rPr>
              <w:t>评审依据：</w:t>
            </w:r>
          </w:p>
          <w:p>
            <w:pPr>
              <w:snapToGrid w:val="0"/>
              <w:contextualSpacing/>
              <w:rPr>
                <w:rStyle w:val="69"/>
                <w:rFonts w:hint="default"/>
              </w:rPr>
            </w:pPr>
            <w:r>
              <w:rPr>
                <w:rFonts w:hint="eastAsia" w:ascii="宋体" w:hAnsi="宋体" w:cs="宋体"/>
                <w:color w:val="000000"/>
                <w:szCs w:val="21"/>
              </w:rPr>
              <w:t>投标人提供符合相关要求的承诺函得1分（格式自定，应在《政府采购投标及履约承诺函》外另起承诺函）可视为符合规定，无需提供检测报告、认证报告。未提供或不符合的不得分。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rPr>
            </w:pPr>
            <w:r>
              <w:rPr>
                <w:rFonts w:hint="eastAsia" w:ascii="宋体" w:hAnsi="宋体" w:cs="宋体"/>
                <w:color w:val="000000"/>
                <w:szCs w:val="21"/>
              </w:rPr>
              <w:t>体系认证情况评价</w:t>
            </w:r>
          </w:p>
        </w:tc>
        <w:tc>
          <w:tcPr>
            <w:tcW w:w="709" w:type="dxa"/>
            <w:noWrap w:val="0"/>
            <w:vAlign w:val="center"/>
          </w:tcPr>
          <w:p>
            <w:pPr>
              <w:widowControl/>
              <w:snapToGrid w:val="0"/>
              <w:contextualSpacing/>
              <w:jc w:val="center"/>
              <w:rPr>
                <w:rFonts w:hint="eastAsia" w:ascii="宋体" w:hAnsi="宋体"/>
                <w:color w:val="000000"/>
                <w:szCs w:val="21"/>
              </w:rPr>
            </w:pPr>
            <w:r>
              <w:rPr>
                <w:rFonts w:hint="eastAsia" w:ascii="宋体" w:hAnsi="宋体" w:cs="宋体"/>
                <w:color w:val="000000"/>
                <w:szCs w:val="21"/>
              </w:rPr>
              <w:t>2</w:t>
            </w:r>
          </w:p>
        </w:tc>
        <w:tc>
          <w:tcPr>
            <w:tcW w:w="7011" w:type="dxa"/>
            <w:noWrap w:val="0"/>
            <w:vAlign w:val="top"/>
          </w:tcPr>
          <w:p>
            <w:pPr>
              <w:snapToGrid w:val="0"/>
              <w:contextualSpacing/>
              <w:rPr>
                <w:rFonts w:hint="eastAsia" w:ascii="宋体" w:hAnsi="宋体"/>
                <w:color w:val="000000"/>
                <w:szCs w:val="21"/>
              </w:rPr>
            </w:pPr>
            <w:r>
              <w:rPr>
                <w:rFonts w:ascii="宋体" w:hAnsi="宋体"/>
                <w:color w:val="000000"/>
                <w:szCs w:val="21"/>
              </w:rPr>
              <w:t>评审内容：</w:t>
            </w:r>
          </w:p>
          <w:p>
            <w:pPr>
              <w:pStyle w:val="2"/>
              <w:snapToGrid w:val="0"/>
              <w:spacing w:after="0"/>
              <w:contextualSpacing/>
              <w:rPr>
                <w:rFonts w:hint="eastAsia" w:ascii="宋体" w:hAnsi="宋体"/>
                <w:color w:val="000000"/>
                <w:szCs w:val="21"/>
              </w:rPr>
            </w:pPr>
            <w:r>
              <w:rPr>
                <w:rFonts w:ascii="宋体" w:hAnsi="宋体"/>
                <w:color w:val="000000"/>
                <w:szCs w:val="21"/>
              </w:rPr>
              <w:t>投标人</w:t>
            </w:r>
            <w:r>
              <w:rPr>
                <w:rFonts w:hint="eastAsia" w:ascii="宋体" w:hAnsi="宋体"/>
                <w:color w:val="000000"/>
                <w:szCs w:val="21"/>
              </w:rPr>
              <w:t>通过ISO9001质量管理体系认证证书得2分，最高得2分。</w:t>
            </w:r>
          </w:p>
          <w:p>
            <w:pPr>
              <w:pStyle w:val="2"/>
              <w:snapToGrid w:val="0"/>
              <w:spacing w:after="0"/>
              <w:contextualSpacing/>
              <w:rPr>
                <w:rFonts w:hint="eastAsia" w:ascii="宋体" w:hAnsi="宋体"/>
                <w:color w:val="000000"/>
                <w:szCs w:val="21"/>
              </w:rPr>
            </w:pPr>
            <w:r>
              <w:rPr>
                <w:rFonts w:hint="eastAsia" w:ascii="宋体" w:hAnsi="宋体"/>
                <w:color w:val="000000"/>
                <w:szCs w:val="21"/>
              </w:rPr>
              <w:t>评审依据：</w:t>
            </w:r>
          </w:p>
          <w:p>
            <w:pPr>
              <w:snapToGrid w:val="0"/>
              <w:contextualSpacing/>
              <w:rPr>
                <w:rFonts w:hint="eastAsia" w:ascii="宋体" w:hAnsi="宋体"/>
                <w:color w:val="000000"/>
                <w:szCs w:val="21"/>
              </w:rPr>
            </w:pPr>
            <w:r>
              <w:rPr>
                <w:rFonts w:hint="eastAsia" w:ascii="宋体" w:hAnsi="宋体"/>
                <w:color w:val="000000"/>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32"/>
              <w:snapToGrid w:val="0"/>
              <w:ind w:firstLine="0" w:firstLineChars="0"/>
              <w:contextualSpacing/>
              <w:rPr>
                <w:rFonts w:hint="eastAsia" w:ascii="宋体" w:hAnsi="宋体"/>
                <w:color w:val="000000"/>
                <w:szCs w:val="21"/>
              </w:rPr>
            </w:pPr>
            <w:r>
              <w:rPr>
                <w:rFonts w:hint="eastAsia" w:ascii="宋体" w:hAnsi="宋体"/>
                <w:color w:val="000000"/>
                <w:szCs w:val="21"/>
              </w:rPr>
              <w:t>2、</w:t>
            </w:r>
            <w:r>
              <w:rPr>
                <w:rFonts w:hint="eastAsia" w:ascii="宋体" w:hAnsi="宋体"/>
                <w:color w:val="000000"/>
                <w:kern w:val="0"/>
                <w:szCs w:val="21"/>
              </w:rPr>
              <w:t>未按要求提供证明材料（或证明材料无法判断是否符合评分要求）的不得分，原件备查。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color w:val="000000"/>
                <w:szCs w:val="21"/>
              </w:rPr>
              <w:t>项目经验评价</w:t>
            </w:r>
          </w:p>
        </w:tc>
        <w:tc>
          <w:tcPr>
            <w:tcW w:w="709" w:type="dxa"/>
            <w:noWrap w:val="0"/>
            <w:vAlign w:val="center"/>
          </w:tcPr>
          <w:p>
            <w:pPr>
              <w:snapToGrid w:val="0"/>
              <w:contextualSpacing/>
              <w:jc w:val="center"/>
              <w:rPr>
                <w:rFonts w:hint="eastAsia" w:ascii="宋体" w:hAnsi="宋体" w:eastAsia="宋体"/>
                <w:color w:val="000000"/>
                <w:szCs w:val="21"/>
                <w:lang w:eastAsia="zh-CN"/>
              </w:rPr>
            </w:pPr>
            <w:r>
              <w:rPr>
                <w:rFonts w:hint="eastAsia" w:ascii="宋体" w:hAnsi="宋体" w:cs="宋体"/>
                <w:color w:val="000000"/>
                <w:szCs w:val="21"/>
                <w:lang w:val="en-US" w:eastAsia="zh-CN"/>
              </w:rPr>
              <w:t>1</w:t>
            </w:r>
          </w:p>
        </w:tc>
        <w:tc>
          <w:tcPr>
            <w:tcW w:w="7011" w:type="dxa"/>
            <w:noWrap w:val="0"/>
            <w:vAlign w:val="top"/>
          </w:tcPr>
          <w:p>
            <w:pPr>
              <w:snapToGrid w:val="0"/>
              <w:contextualSpacing/>
              <w:rPr>
                <w:rFonts w:hint="eastAsia" w:ascii="宋体" w:hAnsi="宋体" w:eastAsia="宋体" w:cs="宋体"/>
                <w:color w:val="000000"/>
                <w:szCs w:val="21"/>
              </w:rPr>
            </w:pPr>
            <w:r>
              <w:rPr>
                <w:rFonts w:ascii="宋体" w:hAnsi="宋体" w:cs="宋体"/>
                <w:color w:val="000000"/>
                <w:szCs w:val="21"/>
              </w:rPr>
              <w:t>评审内</w:t>
            </w:r>
            <w:r>
              <w:rPr>
                <w:rFonts w:ascii="宋体" w:hAnsi="宋体" w:eastAsia="宋体" w:cs="宋体"/>
                <w:color w:val="000000"/>
                <w:szCs w:val="21"/>
              </w:rPr>
              <w:t>容：</w:t>
            </w:r>
          </w:p>
          <w:p>
            <w:pPr>
              <w:snapToGrid w:val="0"/>
              <w:contextualSpacing/>
              <w:rPr>
                <w:rFonts w:hint="eastAsia" w:ascii="宋体" w:hAnsi="宋体" w:cs="宋体"/>
                <w:color w:val="000000"/>
                <w:szCs w:val="21"/>
              </w:rPr>
            </w:pPr>
            <w:r>
              <w:rPr>
                <w:rFonts w:hint="eastAsia" w:ascii="宋体" w:hAnsi="宋体" w:eastAsia="宋体" w:cs="宋体"/>
                <w:color w:val="000000"/>
                <w:szCs w:val="21"/>
              </w:rPr>
              <w:t>自202</w:t>
            </w:r>
            <w:r>
              <w:rPr>
                <w:rFonts w:hint="eastAsia" w:ascii="宋体" w:hAnsi="宋体" w:eastAsia="宋体" w:cs="宋体"/>
                <w:color w:val="000000"/>
                <w:szCs w:val="21"/>
                <w:lang w:val="en-US" w:eastAsia="zh-CN"/>
              </w:rPr>
              <w:t>3</w:t>
            </w:r>
            <w:r>
              <w:rPr>
                <w:rFonts w:hint="eastAsia" w:ascii="宋体" w:hAnsi="宋体" w:eastAsia="宋体" w:cs="宋体"/>
                <w:color w:val="000000"/>
                <w:szCs w:val="21"/>
              </w:rPr>
              <w:t>年</w:t>
            </w:r>
            <w:r>
              <w:rPr>
                <w:rFonts w:hint="eastAsia" w:ascii="宋体" w:hAnsi="宋体" w:eastAsia="宋体" w:cs="宋体"/>
                <w:color w:val="000000"/>
                <w:szCs w:val="21"/>
                <w:lang w:val="en-US" w:eastAsia="zh-CN"/>
              </w:rPr>
              <w:t>1</w:t>
            </w:r>
            <w:r>
              <w:rPr>
                <w:rFonts w:hint="eastAsia" w:ascii="宋体" w:hAnsi="宋体" w:eastAsia="宋体" w:cs="宋体"/>
                <w:color w:val="000000"/>
                <w:szCs w:val="21"/>
              </w:rPr>
              <w:t>月1日以来（以合同签署日期为准），投标人具有同类（肺功能仪）项</w:t>
            </w:r>
            <w:r>
              <w:rPr>
                <w:rFonts w:ascii="宋体" w:hAnsi="宋体" w:cs="宋体"/>
                <w:color w:val="000000"/>
                <w:szCs w:val="21"/>
              </w:rPr>
              <w:t>目</w:t>
            </w:r>
            <w:r>
              <w:rPr>
                <w:rFonts w:hint="eastAsia" w:ascii="宋体" w:hAnsi="宋体" w:cs="宋体"/>
                <w:color w:val="000000"/>
                <w:szCs w:val="21"/>
              </w:rPr>
              <w:t>销售或供货</w:t>
            </w:r>
            <w:r>
              <w:rPr>
                <w:rFonts w:ascii="宋体" w:hAnsi="宋体" w:cs="宋体"/>
                <w:color w:val="000000"/>
                <w:szCs w:val="21"/>
              </w:rPr>
              <w:t>经验的，每提供一项得</w:t>
            </w:r>
            <w:r>
              <w:rPr>
                <w:rFonts w:hint="eastAsia" w:ascii="宋体" w:hAnsi="宋体" w:cs="宋体"/>
                <w:color w:val="000000"/>
                <w:szCs w:val="21"/>
                <w:lang w:val="en-US" w:eastAsia="zh-CN"/>
              </w:rPr>
              <w:t>0.2</w:t>
            </w:r>
            <w:r>
              <w:rPr>
                <w:rFonts w:hint="eastAsia" w:ascii="宋体" w:hAnsi="宋体" w:cs="宋体"/>
                <w:color w:val="000000"/>
                <w:szCs w:val="21"/>
              </w:rPr>
              <w:t>分</w:t>
            </w:r>
            <w:r>
              <w:rPr>
                <w:rFonts w:ascii="宋体" w:hAnsi="宋体" w:cs="宋体"/>
                <w:color w:val="000000"/>
                <w:szCs w:val="21"/>
              </w:rPr>
              <w:t>，本项最高得</w:t>
            </w:r>
            <w:r>
              <w:rPr>
                <w:rFonts w:hint="eastAsia" w:ascii="宋体" w:hAnsi="宋体" w:cs="宋体"/>
                <w:color w:val="000000"/>
                <w:szCs w:val="21"/>
                <w:lang w:val="en-US" w:eastAsia="zh-CN"/>
              </w:rPr>
              <w:t>1</w:t>
            </w:r>
            <w:r>
              <w:rPr>
                <w:rFonts w:hint="eastAsia" w:ascii="宋体" w:hAnsi="宋体" w:cs="宋体"/>
                <w:color w:val="000000"/>
                <w:szCs w:val="21"/>
              </w:rPr>
              <w:t>分。</w:t>
            </w:r>
          </w:p>
          <w:p>
            <w:pPr>
              <w:snapToGrid w:val="0"/>
              <w:contextualSpacing/>
              <w:rPr>
                <w:rFonts w:hint="eastAsia" w:ascii="宋体" w:hAnsi="宋体" w:cs="宋体"/>
                <w:color w:val="000000"/>
                <w:szCs w:val="21"/>
              </w:rPr>
            </w:pPr>
            <w:r>
              <w:rPr>
                <w:rFonts w:ascii="宋体" w:hAnsi="宋体" w:cs="宋体"/>
                <w:color w:val="000000"/>
                <w:szCs w:val="21"/>
              </w:rPr>
              <w:t>评审依据：</w:t>
            </w:r>
          </w:p>
          <w:p>
            <w:pPr>
              <w:pStyle w:val="6"/>
              <w:snapToGrid w:val="0"/>
              <w:spacing w:line="240" w:lineRule="auto"/>
              <w:contextualSpacing/>
              <w:rPr>
                <w:rFonts w:hint="eastAsia" w:hAnsi="宋体"/>
                <w:color w:val="000000"/>
                <w:sz w:val="21"/>
                <w:szCs w:val="21"/>
              </w:rPr>
            </w:pPr>
            <w:r>
              <w:rPr>
                <w:rFonts w:hint="eastAsia" w:hAnsi="宋体" w:cs="宋体"/>
                <w:color w:val="000000"/>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w:t>
            </w:r>
            <w:r>
              <w:rPr>
                <w:rFonts w:hint="eastAsia" w:hAnsi="宋体"/>
                <w:color w:val="000000"/>
                <w:sz w:val="21"/>
                <w:szCs w:val="21"/>
              </w:rPr>
              <w:t>（合同相对方）</w:t>
            </w:r>
            <w:r>
              <w:rPr>
                <w:rFonts w:hint="eastAsia" w:hAnsi="宋体" w:cs="宋体"/>
                <w:color w:val="000000"/>
                <w:sz w:val="21"/>
                <w:szCs w:val="21"/>
              </w:rPr>
              <w:t>出具的验收报告（加盖合同甲方</w:t>
            </w:r>
            <w:r>
              <w:rPr>
                <w:rFonts w:hint="eastAsia" w:hAnsi="宋体"/>
                <w:color w:val="000000"/>
                <w:sz w:val="21"/>
                <w:szCs w:val="21"/>
              </w:rPr>
              <w:t>（合同相对方）</w:t>
            </w:r>
            <w:r>
              <w:rPr>
                <w:rFonts w:hint="eastAsia" w:hAnsi="宋体" w:cs="宋体"/>
                <w:color w:val="000000"/>
                <w:sz w:val="21"/>
                <w:szCs w:val="21"/>
              </w:rPr>
              <w:t>公章（或甲方</w:t>
            </w:r>
            <w:r>
              <w:rPr>
                <w:rFonts w:hint="eastAsia" w:hAnsi="宋体"/>
                <w:color w:val="000000"/>
                <w:sz w:val="21"/>
                <w:szCs w:val="21"/>
              </w:rPr>
              <w:t>（合同相对方）</w:t>
            </w:r>
          </w:p>
          <w:p>
            <w:pPr>
              <w:pStyle w:val="6"/>
              <w:snapToGrid w:val="0"/>
              <w:spacing w:line="240" w:lineRule="auto"/>
              <w:contextualSpacing/>
              <w:rPr>
                <w:rFonts w:hint="eastAsia" w:hAnsi="宋体" w:cs="宋体"/>
                <w:color w:val="000000"/>
                <w:sz w:val="21"/>
                <w:szCs w:val="21"/>
              </w:rPr>
            </w:pPr>
            <w:r>
              <w:rPr>
                <w:rFonts w:hint="eastAsia" w:hAnsi="宋体" w:cs="宋体"/>
                <w:color w:val="000000"/>
                <w:sz w:val="21"/>
                <w:szCs w:val="21"/>
              </w:rPr>
              <w:t>业务章））；</w:t>
            </w:r>
          </w:p>
          <w:p>
            <w:pPr>
              <w:snapToGrid w:val="0"/>
              <w:contextualSpacing/>
              <w:rPr>
                <w:rFonts w:hint="eastAsia" w:ascii="宋体" w:hAnsi="宋体"/>
                <w:color w:val="000000"/>
                <w:szCs w:val="21"/>
              </w:rPr>
            </w:pPr>
            <w:r>
              <w:rPr>
                <w:rFonts w:hint="eastAsia" w:ascii="宋体" w:hAnsi="宋体" w:cs="宋体"/>
                <w:color w:val="000000"/>
                <w:szCs w:val="21"/>
              </w:rPr>
              <w:t>2、未按要求提供证明材料（或证明材料无法判断是否符合评分要求）的不得分，原件备查</w:t>
            </w:r>
            <w:r>
              <w:rPr>
                <w:rFonts w:hint="eastAsia" w:ascii="宋体" w:hAnsi="宋体" w:cs="宋体"/>
                <w:color w:val="000000"/>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noWrap w:val="0"/>
            <w:vAlign w:val="center"/>
          </w:tcPr>
          <w:p>
            <w:pPr>
              <w:snapToGrid w:val="0"/>
              <w:contextualSpacing/>
              <w:jc w:val="center"/>
              <w:rPr>
                <w:rFonts w:hint="eastAsia" w:ascii="宋体" w:hAnsi="宋体"/>
                <w:color w:val="000000"/>
                <w:szCs w:val="21"/>
                <w:lang w:val="zh-CN"/>
              </w:rPr>
            </w:pPr>
          </w:p>
        </w:tc>
        <w:tc>
          <w:tcPr>
            <w:tcW w:w="1060" w:type="dxa"/>
            <w:noWrap w:val="0"/>
            <w:vAlign w:val="center"/>
          </w:tcPr>
          <w:p>
            <w:pPr>
              <w:snapToGrid w:val="0"/>
              <w:contextualSpacing/>
              <w:rPr>
                <w:rFonts w:hint="eastAsia" w:ascii="宋体" w:hAnsi="宋体"/>
                <w:color w:val="000000"/>
                <w:szCs w:val="21"/>
                <w:lang w:val="zh-CN"/>
              </w:rPr>
            </w:pPr>
            <w:r>
              <w:rPr>
                <w:rFonts w:hint="eastAsia" w:ascii="宋体" w:hAnsi="宋体"/>
                <w:szCs w:val="21"/>
              </w:rPr>
              <w:t>诚信分</w:t>
            </w:r>
          </w:p>
        </w:tc>
        <w:tc>
          <w:tcPr>
            <w:tcW w:w="709" w:type="dxa"/>
            <w:noWrap w:val="0"/>
            <w:vAlign w:val="center"/>
          </w:tcPr>
          <w:p>
            <w:pPr>
              <w:snapToGrid w:val="0"/>
              <w:contextualSpacing/>
              <w:jc w:val="center"/>
              <w:rPr>
                <w:rFonts w:hint="eastAsia" w:ascii="宋体" w:hAnsi="宋体"/>
                <w:color w:val="000000"/>
                <w:szCs w:val="21"/>
                <w:lang w:val="zh-CN"/>
              </w:rPr>
            </w:pPr>
            <w:r>
              <w:rPr>
                <w:rFonts w:hint="eastAsia" w:ascii="宋体" w:hAnsi="宋体"/>
                <w:szCs w:val="21"/>
              </w:rPr>
              <w:t>1</w:t>
            </w:r>
          </w:p>
        </w:tc>
        <w:tc>
          <w:tcPr>
            <w:tcW w:w="7011" w:type="dxa"/>
            <w:noWrap w:val="0"/>
            <w:vAlign w:val="center"/>
          </w:tcPr>
          <w:p>
            <w:pPr>
              <w:jc w:val="left"/>
              <w:rPr>
                <w:rFonts w:hint="eastAsia" w:ascii="宋体" w:hAnsi="宋体"/>
                <w:szCs w:val="21"/>
              </w:rPr>
            </w:pPr>
            <w:r>
              <w:rPr>
                <w:rFonts w:hint="eastAsia" w:ascii="宋体" w:hAnsi="宋体"/>
                <w:szCs w:val="21"/>
              </w:rPr>
              <w:t>评审内容：</w:t>
            </w:r>
          </w:p>
          <w:p>
            <w:pPr>
              <w:jc w:val="left"/>
              <w:rPr>
                <w:rFonts w:hint="eastAsia" w:ascii="宋体" w:hAnsi="宋体"/>
                <w:szCs w:val="21"/>
              </w:rPr>
            </w:pPr>
            <w:r>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宋体" w:hAnsi="宋体" w:cs="宋体"/>
                <w:color w:val="000000"/>
                <w:kern w:val="0"/>
                <w:szCs w:val="21"/>
                <w:lang w:bidi="ar"/>
              </w:rPr>
              <w:t>1</w:t>
            </w:r>
            <w:r>
              <w:rPr>
                <w:rFonts w:ascii="宋体" w:hAnsi="宋体" w:cs="宋体"/>
                <w:color w:val="000000"/>
                <w:kern w:val="0"/>
                <w:szCs w:val="21"/>
                <w:lang w:bidi="ar"/>
              </w:rPr>
              <w:t>分。</w:t>
            </w:r>
            <w:r>
              <w:rPr>
                <w:rFonts w:ascii="宋体" w:hAnsi="宋体" w:cs="宋体"/>
                <w:color w:val="000000"/>
                <w:kern w:val="0"/>
                <w:szCs w:val="21"/>
                <w:lang w:bidi="ar"/>
              </w:rPr>
              <w:br w:type="textWrapping"/>
            </w:r>
            <w:r>
              <w:rPr>
                <w:rFonts w:hint="eastAsia" w:ascii="宋体" w:hAnsi="宋体"/>
                <w:szCs w:val="21"/>
              </w:rPr>
              <w:t>评审依据：</w:t>
            </w:r>
          </w:p>
          <w:p>
            <w:pPr>
              <w:snapToGrid w:val="0"/>
              <w:contextualSpacing/>
              <w:jc w:val="left"/>
              <w:rPr>
                <w:rFonts w:hint="eastAsia" w:ascii="宋体" w:hAnsi="宋体" w:cs="宋体"/>
                <w:color w:val="000000"/>
                <w:kern w:val="0"/>
                <w:szCs w:val="21"/>
                <w:lang w:bidi="ar"/>
              </w:rPr>
            </w:pPr>
            <w:r>
              <w:rPr>
                <w:rFonts w:hint="eastAsia" w:ascii="宋体" w:hAnsi="宋体" w:cs="宋体"/>
                <w:color w:val="000000"/>
                <w:kern w:val="0"/>
                <w:szCs w:val="21"/>
                <w:lang w:bidi="ar"/>
              </w:rPr>
              <w:t xml:space="preserve">1. </w:t>
            </w:r>
            <w:r>
              <w:rPr>
                <w:rFonts w:ascii="宋体" w:hAnsi="宋体" w:cs="宋体"/>
                <w:color w:val="000000"/>
                <w:kern w:val="0"/>
                <w:szCs w:val="21"/>
                <w:lang w:bidi="ar"/>
              </w:rPr>
              <w:t>提供“信用中国”、“中国政府采购网”、“深圳信用网”“深圳市政府采购监管网”等查询记录网络截图。</w:t>
            </w:r>
          </w:p>
          <w:p>
            <w:pPr>
              <w:snapToGrid w:val="0"/>
              <w:contextualSpacing/>
              <w:rPr>
                <w:rFonts w:hint="eastAsia" w:ascii="宋体" w:hAnsi="宋体"/>
                <w:color w:val="000000"/>
                <w:szCs w:val="21"/>
                <w:lang w:val="zh-CN"/>
              </w:rPr>
            </w:pPr>
            <w:r>
              <w:rPr>
                <w:rFonts w:hint="eastAsia" w:ascii="宋体" w:hAnsi="宋体" w:cs="宋体"/>
              </w:rPr>
              <w:t>2. 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jc w:val="center"/>
        </w:trPr>
        <w:tc>
          <w:tcPr>
            <w:tcW w:w="709" w:type="dxa"/>
            <w:noWrap w:val="0"/>
            <w:textDirection w:val="tbRlV"/>
            <w:vAlign w:val="center"/>
          </w:tcPr>
          <w:p>
            <w:pPr>
              <w:snapToGrid w:val="0"/>
              <w:contextualSpacing/>
              <w:jc w:val="center"/>
              <w:rPr>
                <w:rFonts w:hint="eastAsia" w:ascii="宋体" w:hAnsi="宋体"/>
                <w:color w:val="000000"/>
                <w:szCs w:val="21"/>
                <w:lang w:val="zh-CN"/>
              </w:rPr>
            </w:pPr>
            <w:r>
              <w:rPr>
                <w:rFonts w:ascii="宋体" w:hAnsi="宋体"/>
                <w:b/>
                <w:color w:val="000000"/>
                <w:szCs w:val="21"/>
              </w:rPr>
              <w:t>报价(3</w:t>
            </w:r>
            <w:r>
              <w:rPr>
                <w:rFonts w:hint="eastAsia" w:ascii="宋体" w:hAnsi="宋体"/>
                <w:b/>
                <w:color w:val="000000"/>
                <w:szCs w:val="21"/>
              </w:rPr>
              <w:t>0</w:t>
            </w:r>
            <w:r>
              <w:rPr>
                <w:rFonts w:ascii="宋体" w:hAnsi="宋体"/>
                <w:b/>
                <w:color w:val="000000"/>
                <w:szCs w:val="21"/>
              </w:rPr>
              <w:t>分)</w:t>
            </w:r>
          </w:p>
        </w:tc>
        <w:tc>
          <w:tcPr>
            <w:tcW w:w="8780" w:type="dxa"/>
            <w:gridSpan w:val="3"/>
            <w:noWrap w:val="0"/>
            <w:vAlign w:val="center"/>
          </w:tcPr>
          <w:p>
            <w:pPr>
              <w:snapToGrid w:val="0"/>
              <w:contextualSpacing/>
              <w:rPr>
                <w:rFonts w:hint="eastAsia" w:ascii="宋体" w:hAnsi="宋体"/>
                <w:color w:val="000000"/>
                <w:szCs w:val="21"/>
                <w:lang w:val="zh-CN"/>
              </w:rPr>
            </w:pPr>
            <w:r>
              <w:rPr>
                <w:rFonts w:ascii="宋体" w:hAnsi="宋体"/>
                <w:color w:val="000000"/>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color w:val="000000"/>
                <w:szCs w:val="21"/>
                <w:lang w:val="zh-CN"/>
              </w:rPr>
              <w:t>30</w:t>
            </w:r>
            <w:r>
              <w:rPr>
                <w:rFonts w:ascii="宋体" w:hAnsi="宋体"/>
                <w:color w:val="000000"/>
                <w:szCs w:val="21"/>
                <w:lang w:val="zh-CN"/>
              </w:rPr>
              <w:t>分)</w:t>
            </w:r>
            <w:r>
              <w:rPr>
                <w:rFonts w:hint="eastAsia" w:ascii="微软雅黑" w:hAnsi="微软雅黑" w:eastAsia="微软雅黑" w:cs="微软雅黑"/>
                <w:color w:val="000000"/>
                <w:szCs w:val="21"/>
                <w:lang w:val="zh-CN"/>
              </w:rPr>
              <w:t>｡</w:t>
            </w:r>
            <w:r>
              <w:rPr>
                <w:rFonts w:ascii="宋体" w:hAnsi="宋体" w:cs="宋体"/>
                <w:color w:val="000000"/>
                <w:szCs w:val="21"/>
                <w:lang w:val="zh-CN"/>
              </w:rPr>
              <w:t>其他投标人</w:t>
            </w:r>
            <w:r>
              <w:rPr>
                <w:rFonts w:ascii="宋体" w:hAnsi="宋体"/>
                <w:color w:val="000000"/>
                <w:szCs w:val="21"/>
                <w:lang w:val="zh-CN"/>
              </w:rPr>
              <w:t>的价格分按照下列公式计算:</w:t>
            </w:r>
            <w:r>
              <w:rPr>
                <w:rFonts w:ascii="宋体" w:hAnsi="宋体"/>
                <w:b/>
                <w:color w:val="000000"/>
                <w:szCs w:val="21"/>
                <w:lang w:val="zh-CN"/>
              </w:rPr>
              <w:t>投标报价得分=(评标基准价/投标报价)×3</w:t>
            </w:r>
            <w:r>
              <w:rPr>
                <w:rFonts w:hint="eastAsia" w:ascii="宋体" w:hAnsi="宋体"/>
                <w:b/>
                <w:color w:val="000000"/>
                <w:szCs w:val="21"/>
                <w:lang w:val="zh-CN"/>
              </w:rPr>
              <w:t>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pStyle w:val="9"/>
        <w:ind w:left="1060" w:hanging="64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jc w:val="center"/>
        <w:rPr>
          <w:b/>
          <w:bCs/>
          <w:sz w:val="30"/>
          <w:szCs w:val="30"/>
        </w:rPr>
      </w:pPr>
      <w:bookmarkStart w:id="4" w:name="_Hlk118359929"/>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518"/>
        <w:gridCol w:w="1843"/>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518" w:type="dxa"/>
            <w:vAlign w:val="center"/>
          </w:tcPr>
          <w:p>
            <w:pPr>
              <w:pStyle w:val="10"/>
              <w:jc w:val="center"/>
              <w:rPr>
                <w:rFonts w:hint="eastAsia" w:hAnsi="宋体"/>
                <w:b/>
                <w:kern w:val="0"/>
              </w:rPr>
            </w:pPr>
            <w:r>
              <w:rPr>
                <w:rFonts w:hint="eastAsia" w:hAnsi="宋体"/>
                <w:b/>
                <w:kern w:val="0"/>
              </w:rPr>
              <w:t>单位</w:t>
            </w:r>
          </w:p>
        </w:tc>
        <w:tc>
          <w:tcPr>
            <w:tcW w:w="1843" w:type="dxa"/>
            <w:vAlign w:val="center"/>
          </w:tcPr>
          <w:p>
            <w:pPr>
              <w:pStyle w:val="10"/>
              <w:jc w:val="center"/>
              <w:rPr>
                <w:rFonts w:hint="eastAsia" w:hAnsi="宋体"/>
                <w:b/>
                <w:kern w:val="0"/>
              </w:rPr>
            </w:pPr>
            <w:r>
              <w:rPr>
                <w:rFonts w:hint="eastAsia" w:hAnsi="宋体"/>
                <w:b/>
                <w:kern w:val="0"/>
              </w:rPr>
              <w:t>预算单价（元）</w:t>
            </w:r>
          </w:p>
        </w:tc>
        <w:tc>
          <w:tcPr>
            <w:tcW w:w="2118" w:type="dxa"/>
            <w:vAlign w:val="center"/>
          </w:tcPr>
          <w:p>
            <w:pPr>
              <w:pStyle w:val="10"/>
              <w:jc w:val="center"/>
              <w:rPr>
                <w:rFonts w:hint="eastAsia" w:hAnsi="宋体"/>
                <w:b/>
                <w:kern w:val="0"/>
              </w:rPr>
            </w:pPr>
            <w:r>
              <w:rPr>
                <w:rFonts w:hint="eastAsia" w:hAnsi="宋体"/>
                <w:b/>
                <w:kern w:val="0"/>
              </w:rPr>
              <w:t>最高限价（元</w:t>
            </w:r>
            <w:r>
              <w:rPr>
                <w:rFonts w:hint="eastAsia" w:hAnsi="宋体"/>
                <w:b/>
                <w:kern w:val="0"/>
                <w:lang w:val="en-US" w:eastAsia="zh-CN"/>
              </w:rPr>
              <w:t>/台</w:t>
            </w:r>
            <w:r>
              <w:rPr>
                <w:rFonts w:hint="eastAsia" w:hAnsi="宋体"/>
                <w:b/>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肺功能仪</w:t>
            </w:r>
          </w:p>
        </w:tc>
        <w:tc>
          <w:tcPr>
            <w:tcW w:w="878" w:type="dxa"/>
            <w:vAlign w:val="center"/>
          </w:tcPr>
          <w:p>
            <w:pPr>
              <w:pStyle w:val="10"/>
              <w:jc w:val="center"/>
              <w:rPr>
                <w:rFonts w:hint="eastAsia" w:hAnsi="宋体"/>
                <w:kern w:val="0"/>
              </w:rPr>
            </w:pPr>
            <w:r>
              <w:rPr>
                <w:rFonts w:hint="eastAsia" w:hAnsi="宋体"/>
                <w:kern w:val="0"/>
                <w:lang w:val="en-US" w:eastAsia="zh-CN"/>
              </w:rPr>
              <w:t>2</w:t>
            </w:r>
          </w:p>
        </w:tc>
        <w:tc>
          <w:tcPr>
            <w:tcW w:w="1518" w:type="dxa"/>
            <w:vAlign w:val="center"/>
          </w:tcPr>
          <w:p>
            <w:pPr>
              <w:pStyle w:val="10"/>
              <w:jc w:val="center"/>
              <w:rPr>
                <w:rFonts w:hint="eastAsia" w:hAnsi="宋体"/>
                <w:kern w:val="0"/>
              </w:rPr>
            </w:pPr>
            <w:r>
              <w:rPr>
                <w:rFonts w:hint="eastAsia" w:hAnsi="宋体"/>
                <w:kern w:val="0"/>
                <w:lang w:val="en-US" w:eastAsia="zh-CN"/>
              </w:rPr>
              <w:t>台</w:t>
            </w:r>
          </w:p>
        </w:tc>
        <w:tc>
          <w:tcPr>
            <w:tcW w:w="1843" w:type="dxa"/>
            <w:vAlign w:val="center"/>
          </w:tcPr>
          <w:p>
            <w:pPr>
              <w:pStyle w:val="10"/>
              <w:jc w:val="center"/>
              <w:rPr>
                <w:rFonts w:hint="eastAsia" w:hAnsi="宋体"/>
                <w:kern w:val="0"/>
              </w:rPr>
            </w:pPr>
            <w:r>
              <w:rPr>
                <w:rFonts w:hint="eastAsia" w:hAnsi="宋体"/>
                <w:kern w:val="0"/>
                <w:lang w:val="en-US" w:eastAsia="zh-CN"/>
              </w:rPr>
              <w:t>100000</w:t>
            </w:r>
          </w:p>
        </w:tc>
        <w:tc>
          <w:tcPr>
            <w:tcW w:w="2118" w:type="dxa"/>
            <w:vAlign w:val="center"/>
          </w:tcPr>
          <w:p>
            <w:pPr>
              <w:pStyle w:val="10"/>
              <w:jc w:val="center"/>
              <w:rPr>
                <w:rFonts w:hint="eastAsia" w:hAnsi="宋体"/>
                <w:kern w:val="0"/>
              </w:rPr>
            </w:pPr>
            <w:r>
              <w:rPr>
                <w:rFonts w:hint="eastAsia" w:hAnsi="宋体"/>
                <w:kern w:val="0"/>
                <w:lang w:val="en-US" w:eastAsia="zh-CN"/>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4" w:type="dxa"/>
            <w:gridSpan w:val="6"/>
            <w:vAlign w:val="center"/>
          </w:tcPr>
          <w:p>
            <w:pPr>
              <w:pStyle w:val="10"/>
              <w:jc w:val="center"/>
              <w:rPr>
                <w:rFonts w:hint="eastAsia" w:hAnsi="宋体"/>
                <w:kern w:val="0"/>
                <w:lang w:val="en-US" w:eastAsia="zh-CN"/>
              </w:rPr>
            </w:pPr>
            <w:r>
              <w:rPr>
                <w:rFonts w:hint="eastAsia" w:hAnsi="宋体"/>
                <w:kern w:val="0"/>
                <w:lang w:val="en-US" w:eastAsia="zh-CN"/>
              </w:rPr>
              <w:t>备注：此设备项目涉及配套耗材：</w:t>
            </w:r>
            <w:r>
              <w:rPr>
                <w:rFonts w:hint="eastAsia" w:ascii="宋体" w:hAnsi="宋体" w:eastAsia="宋体" w:cs="宋体"/>
                <w:i w:val="0"/>
                <w:iCs w:val="0"/>
                <w:snapToGrid w:val="0"/>
                <w:color w:val="000000"/>
                <w:kern w:val="0"/>
                <w:sz w:val="22"/>
                <w:szCs w:val="22"/>
                <w:u w:val="none"/>
                <w:lang w:val="en-US" w:eastAsia="zh-CN" w:bidi="ar"/>
              </w:rPr>
              <w:t>一次性使用肺功能仪过滤器</w:t>
            </w:r>
          </w:p>
        </w:tc>
      </w:tr>
    </w:tbl>
    <w:p>
      <w:pPr>
        <w:pStyle w:val="10"/>
        <w:ind w:firstLine="420" w:firstLineChars="200"/>
        <w:rPr>
          <w:rFonts w:hint="eastAsia" w:hAnsi="宋体"/>
          <w:bCs/>
          <w:kern w:val="0"/>
        </w:rPr>
      </w:pPr>
    </w:p>
    <w:p>
      <w:pPr>
        <w:pStyle w:val="10"/>
        <w:numPr>
          <w:ilvl w:val="0"/>
          <w:numId w:val="2"/>
        </w:numPr>
        <w:snapToGrid w:val="0"/>
        <w:ind w:firstLine="3373" w:firstLineChars="1200"/>
        <w:contextualSpacing/>
        <w:rPr>
          <w:rFonts w:hint="eastAsia" w:hAnsi="宋体"/>
          <w:b/>
          <w:sz w:val="28"/>
          <w:szCs w:val="28"/>
        </w:rPr>
      </w:pPr>
      <w:r>
        <w:rPr>
          <w:rFonts w:hint="eastAsia" w:hAnsi="宋体"/>
          <w:b/>
          <w:sz w:val="28"/>
          <w:szCs w:val="28"/>
        </w:rPr>
        <w:t>技术要求</w:t>
      </w:r>
    </w:p>
    <w:p>
      <w:pPr>
        <w:widowControl/>
        <w:numPr>
          <w:ilvl w:val="0"/>
          <w:numId w:val="0"/>
        </w:numPr>
        <w:jc w:val="left"/>
        <w:textAlignment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（一）配置清单（单台）：</w:t>
      </w:r>
    </w:p>
    <w:p>
      <w:pPr>
        <w:widowControl/>
        <w:numPr>
          <w:ilvl w:val="0"/>
          <w:numId w:val="0"/>
        </w:numPr>
        <w:jc w:val="left"/>
        <w:textAlignment w:val="center"/>
        <w:rPr>
          <w:rFonts w:hint="eastAsia" w:hAnsi="宋体"/>
          <w:b/>
          <w:sz w:val="28"/>
          <w:szCs w:val="28"/>
          <w:lang w:val="en-US" w:eastAsia="zh-CN"/>
        </w:rPr>
      </w:pPr>
      <w:r>
        <w:rPr>
          <w:rFonts w:hint="eastAsia" w:ascii="仿宋_GB2312" w:hAnsi="仿宋_GB2312" w:eastAsia="仿宋_GB2312" w:cs="仿宋_GB2312"/>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Style w:val="20"/>
        <w:tblW w:w="0" w:type="auto"/>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3150"/>
        <w:gridCol w:w="855"/>
        <w:gridCol w:w="855"/>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widowControl/>
              <w:jc w:val="center"/>
              <w:textAlignment w:val="center"/>
              <w:rPr>
                <w:rFonts w:ascii="宋体" w:hAnsi="宋体"/>
                <w:sz w:val="28"/>
                <w:szCs w:val="28"/>
                <w:vertAlign w:val="baseline"/>
              </w:rPr>
            </w:pPr>
            <w:r>
              <w:rPr>
                <w:rFonts w:hint="eastAsia" w:ascii="仿宋_GB2312" w:hAnsi="仿宋_GB2312" w:eastAsia="仿宋_GB2312" w:cs="仿宋_GB2312"/>
                <w:b/>
                <w:color w:val="auto"/>
                <w:kern w:val="0"/>
                <w:sz w:val="21"/>
                <w:szCs w:val="21"/>
              </w:rPr>
              <w:t>序号</w:t>
            </w:r>
          </w:p>
        </w:tc>
        <w:tc>
          <w:tcPr>
            <w:tcW w:w="3150" w:type="dxa"/>
            <w:noWrap w:val="0"/>
            <w:vAlign w:val="center"/>
          </w:tcPr>
          <w:p>
            <w:pPr>
              <w:widowControl/>
              <w:jc w:val="center"/>
              <w:textAlignment w:val="center"/>
              <w:rPr>
                <w:rFonts w:ascii="宋体" w:hAnsi="宋体"/>
                <w:sz w:val="28"/>
                <w:szCs w:val="28"/>
                <w:vertAlign w:val="baseline"/>
              </w:rPr>
            </w:pPr>
            <w:r>
              <w:rPr>
                <w:rFonts w:hint="eastAsia" w:ascii="仿宋_GB2312" w:hAnsi="仿宋_GB2312" w:eastAsia="仿宋_GB2312" w:cs="仿宋_GB2312"/>
                <w:b/>
                <w:color w:val="auto"/>
                <w:kern w:val="0"/>
                <w:sz w:val="21"/>
                <w:szCs w:val="21"/>
                <w:lang w:val="en-US" w:eastAsia="zh-CN"/>
              </w:rPr>
              <w:t>货物</w:t>
            </w:r>
            <w:r>
              <w:rPr>
                <w:rFonts w:hint="eastAsia" w:ascii="仿宋_GB2312" w:hAnsi="仿宋_GB2312" w:eastAsia="仿宋_GB2312" w:cs="仿宋_GB2312"/>
                <w:b/>
                <w:color w:val="auto"/>
                <w:kern w:val="0"/>
                <w:sz w:val="21"/>
                <w:szCs w:val="21"/>
              </w:rPr>
              <w:t>名称</w:t>
            </w:r>
          </w:p>
        </w:tc>
        <w:tc>
          <w:tcPr>
            <w:tcW w:w="855" w:type="dxa"/>
            <w:noWrap w:val="0"/>
            <w:vAlign w:val="center"/>
          </w:tcPr>
          <w:p>
            <w:pPr>
              <w:widowControl/>
              <w:jc w:val="center"/>
              <w:textAlignment w:val="center"/>
              <w:rPr>
                <w:rFonts w:ascii="宋体" w:hAnsi="宋体"/>
                <w:sz w:val="28"/>
                <w:szCs w:val="28"/>
                <w:vertAlign w:val="baseline"/>
              </w:rPr>
            </w:pPr>
            <w:r>
              <w:rPr>
                <w:rFonts w:hint="eastAsia" w:ascii="仿宋_GB2312" w:hAnsi="仿宋_GB2312" w:eastAsia="仿宋_GB2312" w:cs="仿宋_GB2312"/>
                <w:b/>
                <w:color w:val="auto"/>
                <w:kern w:val="0"/>
                <w:sz w:val="21"/>
                <w:szCs w:val="21"/>
              </w:rPr>
              <w:t>数量</w:t>
            </w:r>
          </w:p>
        </w:tc>
        <w:tc>
          <w:tcPr>
            <w:tcW w:w="855" w:type="dxa"/>
            <w:noWrap w:val="0"/>
            <w:vAlign w:val="center"/>
          </w:tcPr>
          <w:p>
            <w:pPr>
              <w:widowControl/>
              <w:jc w:val="center"/>
              <w:textAlignment w:val="center"/>
              <w:rPr>
                <w:rFonts w:ascii="宋体" w:hAnsi="宋体"/>
                <w:sz w:val="28"/>
                <w:szCs w:val="28"/>
                <w:vertAlign w:val="baseline"/>
              </w:rPr>
            </w:pPr>
            <w:r>
              <w:rPr>
                <w:rFonts w:hint="eastAsia" w:ascii="仿宋_GB2312" w:hAnsi="仿宋_GB2312" w:eastAsia="仿宋_GB2312" w:cs="仿宋_GB2312"/>
                <w:b/>
                <w:color w:val="auto"/>
                <w:kern w:val="0"/>
                <w:sz w:val="21"/>
                <w:szCs w:val="21"/>
              </w:rPr>
              <w:t>单位</w:t>
            </w:r>
          </w:p>
        </w:tc>
        <w:tc>
          <w:tcPr>
            <w:tcW w:w="4065" w:type="dxa"/>
            <w:noWrap w:val="0"/>
            <w:vAlign w:val="center"/>
          </w:tcPr>
          <w:p>
            <w:pPr>
              <w:widowControl/>
              <w:jc w:val="center"/>
              <w:textAlignment w:val="center"/>
              <w:rPr>
                <w:rFonts w:ascii="宋体" w:hAnsi="宋体"/>
                <w:sz w:val="28"/>
                <w:szCs w:val="28"/>
                <w:vertAlign w:val="baseline"/>
              </w:rPr>
            </w:pPr>
            <w:r>
              <w:rPr>
                <w:rFonts w:hint="eastAsia" w:ascii="仿宋_GB2312" w:hAnsi="仿宋_GB2312" w:eastAsia="仿宋_GB2312" w:cs="仿宋_GB2312"/>
                <w:b/>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50"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zh-CN" w:eastAsia="zh-CN" w:bidi="ar-SA"/>
              </w:rPr>
            </w:pPr>
            <w:r>
              <w:rPr>
                <w:rFonts w:hint="eastAsia" w:ascii="宋体" w:hAnsi="宋体" w:eastAsia="宋体" w:cs="宋体"/>
                <w:i w:val="0"/>
                <w:iCs w:val="0"/>
                <w:snapToGrid w:val="0"/>
                <w:color w:val="000000"/>
                <w:kern w:val="0"/>
                <w:sz w:val="22"/>
                <w:szCs w:val="22"/>
                <w:u w:val="none"/>
                <w:lang w:val="en-US" w:eastAsia="zh-CN" w:bidi="ar"/>
              </w:rPr>
              <w:t>主机(含LCD彩色触摸显示屏)</w:t>
            </w:r>
          </w:p>
        </w:tc>
        <w:tc>
          <w:tcPr>
            <w:tcW w:w="85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台</w:t>
            </w:r>
          </w:p>
        </w:tc>
        <w:tc>
          <w:tcPr>
            <w:tcW w:w="855" w:type="dxa"/>
            <w:noWrap w:val="0"/>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传感器手柄</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流量传感器探头</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3</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一次性使用肺功能仪过滤器</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50</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手柄电缆</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根</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手柄支架</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充电电缆</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根</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电源适配器</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内置后备锂电池</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打印纸</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卷</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3升定标筒</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电脑</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台</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显示器≥27寸，内存≥16G，CPUi7，固态硬盘≥1T，独立显卡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彩色</w:t>
            </w:r>
            <w:r>
              <w:rPr>
                <w:rFonts w:hint="eastAsia" w:eastAsia="宋体"/>
                <w:lang w:val="en-US" w:eastAsia="zh-CN"/>
              </w:rPr>
              <w:t>图文影印设备</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套</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含四色硒鼓共12个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WIFI无线网卡</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2</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路由器</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U盘</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r>
              <w:rPr>
                <w:rFonts w:hint="eastAsia"/>
                <w:lang w:val="en-US" w:eastAsia="zh-CN"/>
              </w:rPr>
              <w:t>内存≥8G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4"/>
                <w:szCs w:val="24"/>
                <w:u w:val="none"/>
                <w:lang w:val="en-US" w:eastAsia="zh-CN" w:bidi="ar"/>
              </w:rPr>
              <w:t>台车</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个</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产品使用说明书</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本</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合格证</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张</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3150" w:type="dxa"/>
            <w:noWrap w:val="0"/>
            <w:vAlign w:val="center"/>
          </w:tcPr>
          <w:p>
            <w:pPr>
              <w:keepNext w:val="0"/>
              <w:keepLines w:val="0"/>
              <w:widowControl/>
              <w:suppressLineNumbers w:val="0"/>
              <w:jc w:val="center"/>
              <w:textAlignment w:val="center"/>
              <w:rPr>
                <w:rFonts w:hint="eastAsia" w:ascii="宋体" w:hAnsi="宋体" w:eastAsia="宋体"/>
                <w:kern w:val="2"/>
                <w:sz w:val="24"/>
                <w:szCs w:val="24"/>
                <w:lang w:val="en-US" w:eastAsia="zh-CN" w:bidi="ar-SA"/>
              </w:rPr>
            </w:pPr>
            <w:r>
              <w:rPr>
                <w:rFonts w:hint="eastAsia" w:ascii="宋体" w:hAnsi="宋体" w:eastAsia="宋体" w:cs="宋体"/>
                <w:i w:val="0"/>
                <w:iCs w:val="0"/>
                <w:snapToGrid w:val="0"/>
                <w:color w:val="000000"/>
                <w:kern w:val="0"/>
                <w:sz w:val="22"/>
                <w:szCs w:val="22"/>
                <w:u w:val="none"/>
                <w:lang w:val="en-US" w:eastAsia="zh-CN" w:bidi="ar"/>
              </w:rPr>
              <w:t>保修卡</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张</w:t>
            </w:r>
          </w:p>
        </w:tc>
        <w:tc>
          <w:tcPr>
            <w:tcW w:w="855" w:type="dxa"/>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1"/>
                <w:szCs w:val="21"/>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1</w:t>
            </w:r>
          </w:p>
        </w:tc>
        <w:tc>
          <w:tcPr>
            <w:tcW w:w="4065" w:type="dxa"/>
            <w:noWrap w:val="0"/>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lang w:val="en-US" w:eastAsia="zh-CN" w:bidi="ar-SA"/>
              </w:rPr>
            </w:pPr>
          </w:p>
        </w:tc>
      </w:tr>
    </w:tbl>
    <w:p>
      <w:pPr>
        <w:pStyle w:val="10"/>
        <w:numPr>
          <w:ilvl w:val="0"/>
          <w:numId w:val="0"/>
        </w:numPr>
        <w:snapToGrid w:val="0"/>
        <w:contextualSpacing/>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（二）参数要求：</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91" w:type="dxa"/>
            <w:noWrap w:val="0"/>
            <w:vAlign w:val="center"/>
          </w:tcPr>
          <w:p>
            <w:pPr>
              <w:pStyle w:val="6"/>
              <w:rPr>
                <w:rFonts w:hint="eastAsia" w:ascii="宋体" w:hAnsi="宋体" w:eastAsia="宋体" w:cs="宋体"/>
                <w:b/>
                <w:bCs/>
                <w:color w:val="000000"/>
                <w:kern w:val="2"/>
                <w:sz w:val="24"/>
                <w:szCs w:val="24"/>
                <w:lang w:val="en-US" w:eastAsia="zh-CN" w:bidi="ar-SA"/>
              </w:rPr>
            </w:pPr>
            <w:bookmarkStart w:id="5" w:name="_Toc128884461"/>
            <w:r>
              <w:rPr>
                <w:rFonts w:hint="eastAsia" w:ascii="宋体" w:hAnsi="宋体" w:eastAsia="宋体" w:cs="宋体"/>
                <w:i w:val="0"/>
                <w:iCs w:val="0"/>
                <w:color w:val="000000"/>
                <w:kern w:val="0"/>
                <w:sz w:val="24"/>
                <w:szCs w:val="24"/>
                <w:u w:val="none"/>
                <w:lang w:val="en-US" w:eastAsia="zh-CN" w:bidi="ar"/>
              </w:rPr>
              <w:t>1.▲肺功能仪主机显示屏：显示屏尺寸≥8.4英寸，高清LCD触摸显示屏，中英文界面</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pStyle w:val="6"/>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2.▲传感器：采用高精度双向压差式流量传感器，同时配有3个传感器探头。</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3.支持慢肺活量(SVC)的测量。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4.支持用力肺活量(FVC)的测量。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5.支持最大自主通气量(MVV)的测量。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6.支持静息分钟通气量(MV)的测量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7.支持支气管舒张试验。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8.支持流速容量环和时间肺活量检查。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9.体积检测：流量积分法。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pStyle w:val="6"/>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10.▲流量范围：±16L/S。</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11.流速精度：±5%或±200ml/s,取大者。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pStyle w:val="6"/>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12.▲容量范围：0-16L。</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 xml:space="preserve">13.容量精度：±3%或±0.05L,取大者。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14.时间范围：0-30S。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15.时间精度：±3%或±0.1S,取大者。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16.频率范围：0-120次/分钟。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17.频率精度：±3%或±1次/分钟，取大者。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18.分钟通气量范围：0-250L/min。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19.分钟通气量精度：±3%或±15L/min。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20.流量探头呼气阻力：在0~16 L/s范围内，小于0.15kPa/1/s。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21.打印机：内置热敏打印机，热敏打印卷纸宽度为112mm,最大直径45mm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 xml:space="preserve">22.存储病例：可扩展TF存储卡，≥9000份病人数据存储。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pStyle w:val="6"/>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23.▲数据接口：肺功能仪主机提供4个USB接口，可外接鼠标、键盘操作，可连接打印机建立工作站。</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24.整机功率：≤75VA。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25.整机尺寸：长*宽*高≥325mm*252mm*90mm。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26.整机重量：≤3kg。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27.具备用于BTPS校正的外置环境参数传感器，检测参数要求：大气压：400-1200KPa;温度：0-50℃;相对湿度：0-100%。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1" w:type="dxa"/>
            <w:noWrap w:val="0"/>
            <w:vAlign w:val="center"/>
          </w:tcPr>
          <w:p>
            <w:pPr>
              <w:keepNext w:val="0"/>
              <w:keepLines w:val="0"/>
              <w:widowControl/>
              <w:suppressLineNumbers w:val="0"/>
              <w:jc w:val="left"/>
              <w:textAlignment w:val="center"/>
              <w:rPr>
                <w:rFonts w:hint="eastAsia" w:ascii="宋体" w:hAnsi="宋体" w:eastAsia="宋体" w:cs="宋体"/>
                <w:b/>
                <w:bCs/>
                <w:color w:val="00000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28.使用环境要求：工作温度：4℃-40℃;气压：800-1100hPa;工作相对湿度：不大于95%(无结露);70kPa-106kPa。</w:t>
            </w:r>
          </w:p>
        </w:tc>
      </w:tr>
    </w:tbl>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p>
      <w:pPr>
        <w:pStyle w:val="32"/>
        <w:ind w:firstLine="0" w:firstLineChars="0"/>
      </w:pPr>
    </w:p>
    <w:tbl>
      <w:tblPr>
        <w:tblStyle w:val="20"/>
        <w:tblW w:w="9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457"/>
        <w:gridCol w:w="7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b/>
                <w:highlight w:val="none"/>
              </w:rPr>
              <w:t>序号</w:t>
            </w:r>
          </w:p>
        </w:tc>
        <w:tc>
          <w:tcPr>
            <w:tcW w:w="1457" w:type="dxa"/>
            <w:noWrap w:val="0"/>
            <w:vAlign w:val="center"/>
          </w:tcPr>
          <w:p>
            <w:pPr>
              <w:jc w:val="center"/>
              <w:rPr>
                <w:rFonts w:hint="eastAsia"/>
                <w:b/>
                <w:kern w:val="2"/>
                <w:sz w:val="21"/>
                <w:szCs w:val="24"/>
                <w:highlight w:val="none"/>
                <w:lang w:val="en-US" w:eastAsia="zh-CN" w:bidi="ar-SA"/>
              </w:rPr>
            </w:pPr>
            <w:r>
              <w:rPr>
                <w:rFonts w:hint="eastAsia"/>
                <w:b/>
                <w:highlight w:val="none"/>
              </w:rPr>
              <w:t>商务需求项</w:t>
            </w:r>
          </w:p>
        </w:tc>
        <w:tc>
          <w:tcPr>
            <w:tcW w:w="7656" w:type="dxa"/>
            <w:noWrap w:val="0"/>
            <w:vAlign w:val="center"/>
          </w:tcPr>
          <w:p>
            <w:pPr>
              <w:jc w:val="center"/>
              <w:rPr>
                <w:rFonts w:hint="eastAsia"/>
                <w:b/>
                <w:kern w:val="2"/>
                <w:sz w:val="21"/>
                <w:szCs w:val="24"/>
                <w:highlight w:val="none"/>
                <w:lang w:val="en-US" w:eastAsia="zh-CN" w:bidi="ar-SA"/>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2" w:type="dxa"/>
            <w:gridSpan w:val="3"/>
            <w:noWrap w:val="0"/>
            <w:vAlign w:val="top"/>
          </w:tcPr>
          <w:p>
            <w:pPr>
              <w:rPr>
                <w:rFonts w:hint="eastAsia"/>
                <w:b/>
                <w:kern w:val="2"/>
                <w:sz w:val="21"/>
                <w:szCs w:val="24"/>
                <w:highlight w:val="none"/>
                <w:lang w:val="en-US" w:eastAsia="zh-CN" w:bidi="ar-SA"/>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1</w:t>
            </w:r>
          </w:p>
        </w:tc>
        <w:tc>
          <w:tcPr>
            <w:tcW w:w="1457" w:type="dxa"/>
            <w:noWrap w:val="0"/>
            <w:vAlign w:val="center"/>
          </w:tcPr>
          <w:p>
            <w:pPr>
              <w:jc w:val="center"/>
              <w:rPr>
                <w:rFonts w:hint="eastAsia"/>
                <w:kern w:val="2"/>
                <w:sz w:val="21"/>
                <w:szCs w:val="24"/>
                <w:highlight w:val="none"/>
                <w:lang w:val="en-US" w:eastAsia="zh-CN" w:bidi="ar-SA"/>
              </w:rPr>
            </w:pPr>
            <w:r>
              <w:rPr>
                <w:rFonts w:hint="eastAsia"/>
                <w:highlight w:val="none"/>
              </w:rPr>
              <w:t>维修响应及故障解决时间</w:t>
            </w:r>
          </w:p>
        </w:tc>
        <w:tc>
          <w:tcPr>
            <w:tcW w:w="7656" w:type="dxa"/>
            <w:noWrap w:val="0"/>
            <w:vAlign w:val="top"/>
          </w:tcPr>
          <w:p>
            <w:pPr>
              <w:rPr>
                <w:rFonts w:hint="eastAsia" w:eastAsia="宋体"/>
                <w:b/>
                <w:kern w:val="2"/>
                <w:sz w:val="21"/>
                <w:szCs w:val="24"/>
                <w:highlight w:val="none"/>
                <w:lang w:val="en-US" w:eastAsia="zh-CN" w:bidi="ar-SA"/>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2</w:t>
            </w:r>
          </w:p>
        </w:tc>
        <w:tc>
          <w:tcPr>
            <w:tcW w:w="1457" w:type="dxa"/>
            <w:vMerge w:val="restart"/>
            <w:noWrap w:val="0"/>
            <w:vAlign w:val="center"/>
          </w:tcPr>
          <w:p>
            <w:pPr>
              <w:jc w:val="center"/>
              <w:rPr>
                <w:rFonts w:hint="eastAsia"/>
                <w:kern w:val="2"/>
                <w:sz w:val="21"/>
                <w:szCs w:val="21"/>
                <w:highlight w:val="none"/>
                <w:lang w:val="en-US" w:eastAsia="zh-CN" w:bidi="ar-SA"/>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656" w:type="dxa"/>
            <w:noWrap w:val="0"/>
            <w:vAlign w:val="top"/>
          </w:tcPr>
          <w:p>
            <w:pPr>
              <w:rPr>
                <w:rFonts w:hint="eastAsia" w:eastAsia="宋体"/>
                <w:b/>
                <w:kern w:val="2"/>
                <w:sz w:val="21"/>
                <w:szCs w:val="21"/>
                <w:highlight w:val="none"/>
                <w:lang w:val="en-US" w:eastAsia="zh-CN" w:bidi="ar-SA"/>
              </w:rPr>
            </w:pPr>
            <w:r>
              <w:rPr>
                <w:rFonts w:hint="eastAsia" w:ascii="宋体" w:hAnsi="宋体" w:eastAsia="宋体" w:cs="宋体"/>
                <w:b w:val="0"/>
                <w:bCs/>
                <w:highlight w:val="none"/>
                <w:lang w:val="en-US" w:eastAsia="zh-CN"/>
              </w:rPr>
              <w:t xml:space="preserve">2.1 </w:t>
            </w:r>
            <w:r>
              <w:rPr>
                <w:rFonts w:hint="eastAsia" w:ascii="宋体" w:hAnsi="宋体" w:eastAsia="宋体" w:cs="宋体"/>
                <w:color w:val="0000FF"/>
                <w:sz w:val="21"/>
                <w:szCs w:val="21"/>
              </w:rPr>
              <w:t>设备安装调试验收合格后，原厂免费全保期</w:t>
            </w:r>
            <w:r>
              <w:rPr>
                <w:rFonts w:hint="eastAsia" w:ascii="宋体" w:hAnsi="宋体" w:eastAsia="宋体" w:cs="宋体"/>
                <w:color w:val="0000FF"/>
                <w:sz w:val="21"/>
                <w:szCs w:val="21"/>
                <w:lang w:val="en-US" w:eastAsia="zh-CN"/>
              </w:rPr>
              <w:t>6</w:t>
            </w:r>
            <w:r>
              <w:rPr>
                <w:rFonts w:hint="eastAsia" w:ascii="宋体" w:hAnsi="宋体" w:eastAsia="宋体" w:cs="宋体"/>
                <w:color w:val="0000FF"/>
                <w:sz w:val="21"/>
                <w:szCs w:val="21"/>
              </w:rPr>
              <w:t>年</w:t>
            </w:r>
            <w:r>
              <w:rPr>
                <w:rFonts w:hint="eastAsia" w:ascii="宋体" w:hAnsi="宋体" w:eastAsia="宋体" w:cs="宋体"/>
                <w:color w:val="0000FF"/>
                <w:sz w:val="21"/>
                <w:szCs w:val="21"/>
                <w:highlight w:val="none"/>
              </w:rPr>
              <w:t>（含配置清单内所有项目及其配件、易耗品</w:t>
            </w:r>
            <w:r>
              <w:rPr>
                <w:rFonts w:hint="eastAsia" w:ascii="宋体" w:hAnsi="宋体" w:eastAsia="宋体" w:cs="宋体"/>
                <w:color w:val="0000FF"/>
                <w:sz w:val="21"/>
                <w:szCs w:val="21"/>
                <w:highlight w:val="none"/>
                <w:lang w:eastAsia="zh-CN"/>
              </w:rPr>
              <w:t>、</w:t>
            </w:r>
            <w:r>
              <w:rPr>
                <w:rFonts w:hint="eastAsia" w:ascii="宋体" w:hAnsi="宋体" w:eastAsia="宋体" w:cs="宋体"/>
                <w:color w:val="0000FF"/>
                <w:sz w:val="21"/>
                <w:szCs w:val="21"/>
                <w:highlight w:val="none"/>
                <w:lang w:val="en-US" w:eastAsia="zh-CN"/>
              </w:rPr>
              <w:t>软硬件系统等，全部</w:t>
            </w:r>
            <w:r>
              <w:rPr>
                <w:rFonts w:hint="eastAsia" w:ascii="宋体" w:hAnsi="宋体" w:eastAsia="宋体" w:cs="宋体"/>
                <w:color w:val="0000FF"/>
                <w:sz w:val="21"/>
                <w:szCs w:val="21"/>
                <w:highlight w:val="none"/>
              </w:rPr>
              <w:t>免费原厂保修）</w:t>
            </w:r>
            <w:r>
              <w:rPr>
                <w:rFonts w:hint="eastAsia" w:ascii="宋体" w:hAnsi="宋体" w:eastAsia="宋体" w:cs="宋体"/>
                <w:color w:val="0000FF"/>
                <w:sz w:val="21"/>
                <w:szCs w:val="21"/>
              </w:rPr>
              <w:t>，在全保期内，全部免费提供原装的零配件及其维修，终身负责维修</w:t>
            </w:r>
            <w:r>
              <w:rPr>
                <w:rFonts w:hint="eastAsia" w:ascii="宋体" w:hAnsi="宋体" w:eastAsia="宋体" w:cs="宋体"/>
                <w:color w:val="0000FF"/>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kern w:val="2"/>
                <w:sz w:val="21"/>
                <w:szCs w:val="21"/>
                <w:highlight w:val="none"/>
                <w:lang w:val="en-US" w:eastAsia="zh-CN" w:bidi="ar-SA"/>
              </w:rPr>
            </w:pPr>
          </w:p>
        </w:tc>
        <w:tc>
          <w:tcPr>
            <w:tcW w:w="1457" w:type="dxa"/>
            <w:vMerge w:val="continue"/>
            <w:noWrap w:val="0"/>
            <w:vAlign w:val="center"/>
          </w:tcPr>
          <w:p>
            <w:pPr>
              <w:jc w:val="center"/>
              <w:rPr>
                <w:rFonts w:hint="eastAsia"/>
                <w:kern w:val="2"/>
                <w:sz w:val="21"/>
                <w:szCs w:val="21"/>
                <w:highlight w:val="none"/>
                <w:lang w:val="en-US" w:eastAsia="zh-CN" w:bidi="ar-SA"/>
              </w:rPr>
            </w:pPr>
          </w:p>
        </w:tc>
        <w:tc>
          <w:tcPr>
            <w:tcW w:w="7656"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kern w:val="2"/>
                <w:sz w:val="21"/>
                <w:szCs w:val="24"/>
                <w:highlight w:val="none"/>
                <w:lang w:val="en-US" w:eastAsia="zh-CN" w:bidi="ar-SA"/>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jc w:val="center"/>
              <w:rPr>
                <w:rFonts w:hint="eastAsia"/>
                <w:b/>
                <w:kern w:val="2"/>
                <w:sz w:val="21"/>
                <w:szCs w:val="24"/>
                <w:highlight w:val="none"/>
                <w:lang w:val="en-US" w:eastAsia="zh-CN" w:bidi="ar-SA"/>
              </w:rPr>
            </w:pPr>
          </w:p>
        </w:tc>
        <w:tc>
          <w:tcPr>
            <w:tcW w:w="1457" w:type="dxa"/>
            <w:vMerge w:val="continue"/>
            <w:noWrap w:val="0"/>
            <w:vAlign w:val="center"/>
          </w:tcPr>
          <w:p>
            <w:pPr>
              <w:rPr>
                <w:rFonts w:hint="eastAsia"/>
                <w:kern w:val="2"/>
                <w:sz w:val="21"/>
                <w:szCs w:val="24"/>
                <w:highlight w:val="none"/>
                <w:lang w:val="en-US" w:eastAsia="zh-CN" w:bidi="ar-SA"/>
              </w:rPr>
            </w:pPr>
          </w:p>
        </w:tc>
        <w:tc>
          <w:tcPr>
            <w:tcW w:w="7656"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
                <w:kern w:val="2"/>
                <w:sz w:val="21"/>
                <w:szCs w:val="24"/>
                <w:highlight w:val="none"/>
                <w:lang w:val="en-US" w:eastAsia="zh-CN" w:bidi="ar-SA"/>
              </w:rPr>
            </w:pPr>
            <w:r>
              <w:rPr>
                <w:rFonts w:hint="eastAsia"/>
                <w:szCs w:val="21"/>
                <w:highlight w:val="none"/>
              </w:rPr>
              <w:t>3</w:t>
            </w:r>
          </w:p>
        </w:tc>
        <w:tc>
          <w:tcPr>
            <w:tcW w:w="1457" w:type="dxa"/>
            <w:noWrap w:val="0"/>
            <w:vAlign w:val="center"/>
          </w:tcPr>
          <w:p>
            <w:pPr>
              <w:jc w:val="center"/>
              <w:rPr>
                <w:rFonts w:hint="eastAsia"/>
                <w:b/>
                <w:kern w:val="2"/>
                <w:sz w:val="21"/>
                <w:szCs w:val="24"/>
                <w:highlight w:val="none"/>
                <w:lang w:val="en-US" w:eastAsia="zh-CN" w:bidi="ar-SA"/>
              </w:rPr>
            </w:pPr>
            <w:r>
              <w:rPr>
                <w:rFonts w:hint="eastAsia"/>
                <w:szCs w:val="21"/>
                <w:highlight w:val="none"/>
              </w:rPr>
              <w:t>技术文件</w:t>
            </w:r>
          </w:p>
        </w:tc>
        <w:tc>
          <w:tcPr>
            <w:tcW w:w="7656" w:type="dxa"/>
            <w:noWrap w:val="0"/>
            <w:vAlign w:val="center"/>
          </w:tcPr>
          <w:p>
            <w:pPr>
              <w:rPr>
                <w:rFonts w:hint="eastAsia"/>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jc w:val="center"/>
              <w:rPr>
                <w:rFonts w:hint="eastAsia"/>
                <w:bCs/>
                <w:kern w:val="2"/>
                <w:sz w:val="21"/>
                <w:szCs w:val="24"/>
                <w:highlight w:val="none"/>
                <w:lang w:val="en-US" w:eastAsia="zh-CN" w:bidi="ar-SA"/>
              </w:rPr>
            </w:pPr>
            <w:r>
              <w:rPr>
                <w:rFonts w:hint="eastAsia"/>
                <w:bCs/>
                <w:highlight w:val="none"/>
              </w:rPr>
              <w:t>4</w:t>
            </w:r>
          </w:p>
        </w:tc>
        <w:tc>
          <w:tcPr>
            <w:tcW w:w="1457" w:type="dxa"/>
            <w:noWrap w:val="0"/>
            <w:vAlign w:val="center"/>
          </w:tcPr>
          <w:p>
            <w:pPr>
              <w:jc w:val="center"/>
              <w:rPr>
                <w:rFonts w:hint="eastAsia"/>
                <w:bCs/>
                <w:kern w:val="2"/>
                <w:sz w:val="21"/>
                <w:szCs w:val="24"/>
                <w:highlight w:val="none"/>
                <w:lang w:val="en-US" w:eastAsia="zh-CN" w:bidi="ar-SA"/>
              </w:rPr>
            </w:pPr>
            <w:r>
              <w:rPr>
                <w:rFonts w:hint="eastAsia"/>
                <w:szCs w:val="21"/>
                <w:highlight w:val="none"/>
              </w:rPr>
              <w:t>安装调试</w:t>
            </w:r>
          </w:p>
        </w:tc>
        <w:tc>
          <w:tcPr>
            <w:tcW w:w="7656" w:type="dxa"/>
            <w:noWrap w:val="0"/>
            <w:vAlign w:val="center"/>
          </w:tcPr>
          <w:p>
            <w:pPr>
              <w:rPr>
                <w:rFonts w:hint="eastAsia"/>
                <w:bCs/>
                <w:kern w:val="2"/>
                <w:sz w:val="21"/>
                <w:szCs w:val="21"/>
                <w:highlight w:val="none"/>
                <w:lang w:val="en-US" w:eastAsia="zh-CN" w:bidi="ar-SA"/>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2" w:type="dxa"/>
            <w:gridSpan w:val="3"/>
            <w:noWrap w:val="0"/>
            <w:vAlign w:val="center"/>
          </w:tcPr>
          <w:p>
            <w:pPr>
              <w:spacing w:line="360" w:lineRule="exact"/>
              <w:rPr>
                <w:rFonts w:hint="eastAsia" w:ascii="宋体" w:hAnsi="宋体"/>
                <w:b/>
                <w:kern w:val="2"/>
                <w:sz w:val="21"/>
                <w:szCs w:val="24"/>
                <w:highlight w:val="none"/>
                <w:lang w:val="en-US" w:eastAsia="zh-CN" w:bidi="ar-SA"/>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kern w:val="2"/>
                <w:sz w:val="20"/>
                <w:szCs w:val="20"/>
                <w:highlight w:val="none"/>
                <w:lang w:val="en-US" w:eastAsia="zh-CN" w:bidi="ar-SA"/>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hint="eastAsia" w:ascii="宋体" w:hAnsi="宋体"/>
                <w:b/>
                <w:color w:val="000000"/>
                <w:kern w:val="2"/>
                <w:sz w:val="20"/>
                <w:szCs w:val="20"/>
                <w:highlight w:val="none"/>
                <w:lang w:val="en-US" w:eastAsia="zh-CN" w:bidi="ar-SA"/>
              </w:rPr>
            </w:pPr>
            <w:r>
              <w:rPr>
                <w:rStyle w:val="22"/>
                <w:rFonts w:hint="eastAsia" w:ascii="宋体" w:hAnsi="宋体" w:cs="宋体"/>
                <w:b w:val="0"/>
                <w:bCs w:val="0"/>
                <w:color w:val="000000"/>
                <w:sz w:val="20"/>
                <w:szCs w:val="20"/>
                <w:highlight w:val="none"/>
              </w:rPr>
              <w:t>维修零配件、消耗品和延续保修合同的报价</w:t>
            </w:r>
          </w:p>
        </w:tc>
        <w:tc>
          <w:tcPr>
            <w:tcW w:w="7656" w:type="dxa"/>
            <w:noWrap w:val="0"/>
            <w:vAlign w:val="center"/>
          </w:tcPr>
          <w:p>
            <w:pPr>
              <w:rPr>
                <w:rFonts w:hint="eastAsia" w:ascii="宋体" w:hAnsi="宋体" w:eastAsia="宋体" w:cs="宋体"/>
                <w:b w:val="0"/>
                <w:bCs/>
                <w:kern w:val="2"/>
                <w:sz w:val="21"/>
                <w:szCs w:val="24"/>
                <w:highlight w:val="none"/>
                <w:lang w:val="en-US" w:eastAsia="zh-CN" w:bidi="ar-SA"/>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457" w:type="dxa"/>
            <w:vMerge w:val="continue"/>
            <w:noWrap w:val="0"/>
            <w:vAlign w:val="center"/>
          </w:tcPr>
          <w:p>
            <w:pPr>
              <w:spacing w:line="360" w:lineRule="exact"/>
              <w:rPr>
                <w:rFonts w:hint="eastAsia" w:ascii="宋体" w:hAnsi="宋体" w:eastAsia="宋体" w:cs="宋体"/>
                <w:b/>
                <w:bCs/>
                <w:color w:val="000000"/>
                <w:kern w:val="2"/>
                <w:sz w:val="20"/>
                <w:szCs w:val="20"/>
                <w:lang w:val="en-US" w:eastAsia="zh-CN" w:bidi="ar-SA"/>
              </w:rPr>
            </w:pPr>
          </w:p>
        </w:tc>
        <w:tc>
          <w:tcPr>
            <w:tcW w:w="7656" w:type="dxa"/>
            <w:noWrap w:val="0"/>
            <w:vAlign w:val="center"/>
          </w:tcPr>
          <w:p>
            <w:pPr>
              <w:rPr>
                <w:rFonts w:hint="eastAsia" w:ascii="宋体" w:hAnsi="宋体" w:eastAsia="宋体" w:cs="宋体"/>
                <w:b w:val="0"/>
                <w:bCs/>
                <w:kern w:val="2"/>
                <w:sz w:val="21"/>
                <w:szCs w:val="24"/>
                <w:lang w:val="en-US" w:eastAsia="zh-CN" w:bidi="ar-SA"/>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52" w:type="dxa"/>
            <w:gridSpan w:val="3"/>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val="en-US" w:eastAsia="zh-CN"/>
              </w:rPr>
              <w:t>1</w:t>
            </w:r>
          </w:p>
        </w:tc>
        <w:tc>
          <w:tcPr>
            <w:tcW w:w="1457" w:type="dxa"/>
            <w:noWrap w:val="0"/>
            <w:vAlign w:val="center"/>
          </w:tcPr>
          <w:p>
            <w:pPr>
              <w:spacing w:line="360" w:lineRule="exact"/>
              <w:rPr>
                <w:rFonts w:hint="eastAsia" w:ascii="宋体" w:hAnsi="宋体" w:eastAsia="宋体"/>
                <w:b/>
                <w:kern w:val="2"/>
                <w:sz w:val="21"/>
                <w:szCs w:val="24"/>
                <w:lang w:val="en-US" w:eastAsia="zh-CN" w:bidi="ar-SA"/>
              </w:rPr>
            </w:pPr>
            <w:r>
              <w:rPr>
                <w:rFonts w:hint="eastAsia" w:ascii="宋体" w:hAnsi="宋体"/>
                <w:b/>
                <w:lang w:val="en-US" w:eastAsia="zh-CN"/>
              </w:rPr>
              <w:t>报价要求</w:t>
            </w:r>
          </w:p>
        </w:tc>
        <w:tc>
          <w:tcPr>
            <w:tcW w:w="7656" w:type="dxa"/>
            <w:noWrap w:val="0"/>
            <w:vAlign w:val="center"/>
          </w:tcPr>
          <w:p>
            <w:pPr>
              <w:spacing w:line="360" w:lineRule="exact"/>
              <w:rPr>
                <w:rFonts w:hint="eastAsia" w:ascii="宋体" w:hAnsi="宋体"/>
                <w:b/>
                <w:kern w:val="2"/>
                <w:sz w:val="21"/>
                <w:szCs w:val="24"/>
                <w:lang w:val="en-US" w:eastAsia="zh-CN" w:bidi="ar-SA"/>
              </w:rPr>
            </w:pPr>
            <w:r>
              <w:rPr>
                <w:rFonts w:hint="eastAsia" w:ascii="宋体" w:hAnsi="宋体" w:eastAsia="宋体" w:cs="宋体"/>
                <w:bCs/>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52" w:type="dxa"/>
            <w:gridSpan w:val="3"/>
            <w:noWrap w:val="0"/>
            <w:vAlign w:val="center"/>
          </w:tcPr>
          <w:p>
            <w:pPr>
              <w:spacing w:line="360" w:lineRule="exact"/>
              <w:rPr>
                <w:rFonts w:hint="eastAsia" w:ascii="宋体" w:hAnsi="宋体"/>
                <w:b/>
                <w:kern w:val="2"/>
                <w:sz w:val="21"/>
                <w:szCs w:val="24"/>
                <w:lang w:val="en-US" w:eastAsia="zh-CN" w:bidi="ar-SA"/>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kern w:val="2"/>
                <w:sz w:val="20"/>
                <w:szCs w:val="20"/>
                <w:lang w:val="en-US" w:eastAsia="zh-CN" w:bidi="ar-SA"/>
              </w:rPr>
            </w:pPr>
            <w:r>
              <w:rPr>
                <w:rFonts w:hint="eastAsia" w:ascii="宋体" w:hAnsi="宋体"/>
                <w:b w:val="0"/>
                <w:bCs/>
                <w:sz w:val="20"/>
                <w:szCs w:val="20"/>
              </w:rPr>
              <w:t>违约责任</w:t>
            </w:r>
          </w:p>
        </w:tc>
        <w:tc>
          <w:tcPr>
            <w:tcW w:w="7656"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7656" w:type="dxa"/>
            <w:noWrap w:val="0"/>
            <w:vAlign w:val="top"/>
          </w:tcPr>
          <w:p>
            <w:pPr>
              <w:spacing w:line="360" w:lineRule="exact"/>
              <w:rPr>
                <w:rFonts w:hint="eastAsia" w:ascii="宋体" w:hAnsi="宋体" w:cs="宋体"/>
                <w:color w:val="000000"/>
                <w:kern w:val="2"/>
                <w:sz w:val="20"/>
                <w:szCs w:val="20"/>
                <w:lang w:val="en-US" w:eastAsia="zh-CN" w:bidi="ar-SA"/>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eastAsia" w:ascii="宋体" w:hAnsi="宋体" w:eastAsia="宋体"/>
                <w:b/>
                <w:bCs w:val="0"/>
                <w:kern w:val="2"/>
                <w:sz w:val="20"/>
                <w:szCs w:val="20"/>
                <w:lang w:val="en-US" w:eastAsia="zh-CN" w:bidi="ar-SA"/>
              </w:rPr>
            </w:pPr>
            <w:r>
              <w:rPr>
                <w:rFonts w:hint="eastAsia" w:ascii="宋体" w:hAnsi="宋体"/>
                <w:b w:val="0"/>
                <w:bCs/>
                <w:sz w:val="20"/>
                <w:szCs w:val="20"/>
              </w:rPr>
              <w:t>交货</w:t>
            </w:r>
            <w:r>
              <w:rPr>
                <w:rFonts w:hint="eastAsia" w:ascii="宋体" w:hAnsi="宋体"/>
                <w:b w:val="0"/>
                <w:bCs/>
                <w:sz w:val="20"/>
                <w:szCs w:val="20"/>
                <w:lang w:val="en-US" w:eastAsia="zh-CN"/>
              </w:rPr>
              <w:t>及付款要求</w:t>
            </w:r>
          </w:p>
        </w:tc>
        <w:tc>
          <w:tcPr>
            <w:tcW w:w="7656" w:type="dxa"/>
            <w:noWrap w:val="0"/>
            <w:vAlign w:val="center"/>
          </w:tcPr>
          <w:p>
            <w:pPr>
              <w:pStyle w:val="2"/>
              <w:rPr>
                <w:rFonts w:hint="eastAsia" w:ascii="Times New Roman" w:hAnsi="Times New Roman" w:eastAsia="宋体"/>
                <w:kern w:val="2"/>
                <w:sz w:val="21"/>
                <w:szCs w:val="24"/>
                <w:lang w:val="en-US" w:eastAsia="zh-CN" w:bidi="ar-SA"/>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656" w:type="dxa"/>
            <w:noWrap w:val="0"/>
            <w:vAlign w:val="center"/>
          </w:tcPr>
          <w:p>
            <w:pPr>
              <w:pStyle w:val="2"/>
              <w:rPr>
                <w:rFonts w:hint="eastAsia" w:ascii="宋体" w:hAnsi="宋体" w:eastAsia="宋体" w:cs="Arial"/>
                <w:color w:val="FF0000"/>
                <w:kern w:val="2"/>
                <w:sz w:val="21"/>
                <w:szCs w:val="21"/>
                <w:lang w:val="en-US" w:eastAsia="zh-CN" w:bidi="ar-SA"/>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7656" w:type="dxa"/>
            <w:noWrap w:val="0"/>
            <w:vAlign w:val="center"/>
          </w:tcPr>
          <w:p>
            <w:pPr>
              <w:pStyle w:val="2"/>
              <w:rPr>
                <w:rFonts w:hint="eastAsia" w:ascii="Times New Roman" w:hAnsi="Times New Roman" w:eastAsia="宋体"/>
                <w:kern w:val="2"/>
                <w:sz w:val="21"/>
                <w:szCs w:val="24"/>
                <w:lang w:val="en-US" w:eastAsia="zh-CN" w:bidi="ar-SA"/>
              </w:rPr>
            </w:pPr>
            <w:r>
              <w:rPr>
                <w:rFonts w:hint="eastAsia" w:ascii="宋体" w:hAnsi="宋体" w:eastAsia="宋体" w:cs="宋体"/>
                <w:szCs w:val="21"/>
                <w:lang w:val="en-US" w:eastAsia="zh-CN"/>
              </w:rPr>
              <w:t>2.3 （1）本合同签订后，采购人按当年财政资金情况支付50%预付款，若资金不足，不足部分待新预算下达后支付；剩余50%货款的支付与当年政府资金状况挂钩：政府资金下达后，若全部设备到达指定地点，采购人根据本项目当年财政资金支付剩余40%货款，若资金不足，不足部分待新预算下达后支付；剩余10%货款，待设备验收合格并提供完整的验收资料后，采购人根据本项目当年财政资金支付剩余10%货款，如剩余财政资金不足以支付10%货款，则不足部分将于项目新的财政资金下达后支付；</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（2）政府资金下达后，若全部设备到达指定地点并同步完成设备安装调试验收合格提供完整的验收资料后，政府资金充足的情况下可以一起支付剩余50%货款。</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（3）如果采购人对中标人提供的产品有质量异议的，可以视具体情况暂时中止支付争议款项或其他相关款项，直到争议解除，采购人不因此承担延期付款的违约责任。</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（5）中标人提供的产品不合格，或产品存在瑕疵、缺陷，采购人有权暂停支付中标人项下相应到期应付货款，且不视为采购人违约，直到双方正式处理完不合格产品为止。</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r>
              <w:rPr>
                <w:rFonts w:hint="eastAsia" w:ascii="宋体" w:hAnsi="宋体" w:eastAsia="宋体" w:cs="宋体"/>
                <w:szCs w:val="21"/>
                <w:lang w:val="en-US" w:eastAsia="zh-CN"/>
              </w:rPr>
              <w:br w:type="textWrapping"/>
            </w:r>
            <w:r>
              <w:rPr>
                <w:rFonts w:hint="eastAsia" w:ascii="宋体" w:hAnsi="宋体" w:eastAsia="宋体" w:cs="宋体"/>
                <w:szCs w:val="21"/>
                <w:lang w:val="en-US" w:eastAsia="zh-CN"/>
              </w:rPr>
              <w:t>（7）若本产品采购项目付款涉及财政审批迟延的特殊情况，甲方未能保证按约付款的，采购人应向中标人进行说明并明确新的付款期限，采购人不因此承担延期付款的违约责任。设备款，如剩余财政资金不足以支付该部分款项，则不足部分将于项目新的财政资金下达后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Fonts w:hint="eastAsia" w:ascii="宋体" w:hAnsi="宋体" w:eastAsia="宋体" w:cs="宋体"/>
                <w:b w:val="0"/>
                <w:bCs/>
                <w:color w:val="000000"/>
                <w:kern w:val="2"/>
                <w:sz w:val="20"/>
                <w:szCs w:val="20"/>
                <w:lang w:val="en-US" w:eastAsia="zh-CN" w:bidi="ar-SA"/>
              </w:rPr>
            </w:pPr>
            <w:r>
              <w:rPr>
                <w:rFonts w:hint="eastAsia" w:ascii="宋体" w:hAnsi="宋体" w:cs="宋体"/>
                <w:b w:val="0"/>
                <w:bCs/>
                <w:color w:val="000000"/>
                <w:sz w:val="20"/>
                <w:szCs w:val="20"/>
              </w:rPr>
              <w:t>验收条件</w:t>
            </w:r>
          </w:p>
        </w:tc>
        <w:tc>
          <w:tcPr>
            <w:tcW w:w="7656"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kern w:val="2"/>
                <w:sz w:val="20"/>
                <w:szCs w:val="20"/>
                <w:lang w:val="en-US" w:eastAsia="zh-CN" w:bidi="ar-SA"/>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b/>
                <w:bCs w:val="0"/>
                <w:kern w:val="2"/>
                <w:sz w:val="20"/>
                <w:szCs w:val="20"/>
                <w:lang w:val="en-US" w:eastAsia="zh-CN" w:bidi="ar-SA"/>
              </w:rPr>
            </w:pPr>
            <w:r>
              <w:rPr>
                <w:rFonts w:hint="eastAsia" w:ascii="宋体" w:hAnsi="宋体"/>
                <w:b/>
                <w:bCs w:val="0"/>
                <w:sz w:val="20"/>
                <w:szCs w:val="20"/>
                <w:lang w:val="en-US" w:eastAsia="zh-CN"/>
              </w:rPr>
              <w:t>4</w:t>
            </w:r>
          </w:p>
        </w:tc>
        <w:tc>
          <w:tcPr>
            <w:tcW w:w="1457" w:type="dxa"/>
            <w:vMerge w:val="restart"/>
            <w:noWrap w:val="0"/>
            <w:vAlign w:val="center"/>
          </w:tcPr>
          <w:p>
            <w:pPr>
              <w:spacing w:line="360" w:lineRule="exact"/>
              <w:jc w:val="center"/>
              <w:rPr>
                <w:rFonts w:hint="eastAsia" w:ascii="宋体" w:hAnsi="宋体" w:eastAsia="宋体" w:cs="宋体"/>
                <w:b w:val="0"/>
                <w:bCs/>
                <w:color w:val="000000"/>
                <w:kern w:val="2"/>
                <w:sz w:val="20"/>
                <w:szCs w:val="20"/>
                <w:lang w:val="en-US" w:eastAsia="zh-CN" w:bidi="ar-SA"/>
              </w:rPr>
            </w:pPr>
            <w:r>
              <w:rPr>
                <w:rFonts w:hint="eastAsia" w:ascii="宋体" w:hAnsi="宋体" w:cs="宋体"/>
                <w:b w:val="0"/>
                <w:bCs/>
                <w:color w:val="000000"/>
                <w:sz w:val="20"/>
                <w:szCs w:val="20"/>
              </w:rPr>
              <w:t>争议解决方法</w:t>
            </w:r>
          </w:p>
        </w:tc>
        <w:tc>
          <w:tcPr>
            <w:tcW w:w="7656"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bCs w:val="0"/>
                <w:kern w:val="2"/>
                <w:sz w:val="20"/>
                <w:szCs w:val="20"/>
                <w:lang w:val="en-US" w:eastAsia="zh-CN" w:bidi="ar-SA"/>
              </w:rPr>
            </w:pPr>
          </w:p>
        </w:tc>
        <w:tc>
          <w:tcPr>
            <w:tcW w:w="1457" w:type="dxa"/>
            <w:vMerge w:val="continue"/>
            <w:noWrap w:val="0"/>
            <w:vAlign w:val="center"/>
          </w:tcPr>
          <w:p>
            <w:pPr>
              <w:spacing w:line="360" w:lineRule="exact"/>
              <w:jc w:val="center"/>
              <w:rPr>
                <w:rFonts w:hint="eastAsia" w:ascii="宋体" w:hAnsi="宋体" w:cs="宋体"/>
                <w:b/>
                <w:bCs w:val="0"/>
                <w:color w:val="000000"/>
                <w:kern w:val="2"/>
                <w:sz w:val="20"/>
                <w:szCs w:val="20"/>
                <w:lang w:val="en-US" w:eastAsia="zh-CN" w:bidi="ar-SA"/>
              </w:rPr>
            </w:pPr>
          </w:p>
        </w:tc>
        <w:tc>
          <w:tcPr>
            <w:tcW w:w="7656"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5</w:t>
            </w:r>
          </w:p>
        </w:tc>
        <w:tc>
          <w:tcPr>
            <w:tcW w:w="1457" w:type="dxa"/>
            <w:noWrap w:val="0"/>
            <w:vAlign w:val="center"/>
          </w:tcPr>
          <w:p>
            <w:pPr>
              <w:spacing w:line="360" w:lineRule="exact"/>
              <w:jc w:val="center"/>
              <w:rPr>
                <w:rFonts w:hint="eastAsia" w:ascii="宋体" w:hAnsi="宋体"/>
                <w:b w:val="0"/>
                <w:bCs w:val="0"/>
                <w:color w:val="000000"/>
                <w:kern w:val="2"/>
                <w:sz w:val="20"/>
                <w:szCs w:val="20"/>
                <w:lang w:val="en-US" w:eastAsia="zh-CN" w:bidi="ar-SA"/>
              </w:rPr>
            </w:pPr>
            <w:r>
              <w:rPr>
                <w:rStyle w:val="22"/>
                <w:rFonts w:hint="eastAsia" w:ascii="宋体" w:hAnsi="宋体" w:cs="宋体"/>
                <w:b w:val="0"/>
                <w:bCs w:val="0"/>
                <w:color w:val="000000"/>
                <w:sz w:val="20"/>
                <w:szCs w:val="20"/>
              </w:rPr>
              <w:t>运输、安装条件</w:t>
            </w:r>
          </w:p>
        </w:tc>
        <w:tc>
          <w:tcPr>
            <w:tcW w:w="7656"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.1 中标人</w:t>
            </w:r>
            <w:r>
              <w:rPr>
                <w:rFonts w:ascii="宋体" w:hAnsi="宋体"/>
                <w:bCs/>
                <w:color w:val="000000"/>
                <w:szCs w:val="21"/>
              </w:rPr>
              <w:t>提供的货物必须为全新（</w:t>
            </w:r>
            <w:r>
              <w:rPr>
                <w:rFonts w:ascii="宋体" w:hAnsi="宋体"/>
                <w:bCs/>
                <w:color w:val="auto"/>
                <w:szCs w:val="21"/>
              </w:rPr>
              <w:t>要求</w:t>
            </w:r>
            <w:r>
              <w:rPr>
                <w:rFonts w:hint="eastAsia" w:ascii="宋体" w:hAnsi="宋体"/>
                <w:bCs/>
                <w:color w:val="auto"/>
                <w:szCs w:val="21"/>
              </w:rPr>
              <w:t>货架有效期</w:t>
            </w:r>
            <w:r>
              <w:rPr>
                <w:rFonts w:ascii="宋体" w:hAnsi="宋体"/>
                <w:bCs/>
                <w:color w:val="auto"/>
                <w:szCs w:val="21"/>
              </w:rPr>
              <w:t>为一年以内</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lang w:val="en-US" w:eastAsia="zh-CN"/>
              </w:rPr>
              <w:t>5</w:t>
            </w:r>
            <w:r>
              <w:rPr>
                <w:rFonts w:hint="eastAsia" w:ascii="宋体" w:hAnsi="宋体"/>
                <w:bCs/>
                <w:color w:val="000000"/>
                <w:szCs w:val="21"/>
              </w:rPr>
              <w:t>.2投标人负责将货物安全无损运抵采购人指定地点,并承担设备可能产生的包装、运输、保险、装卸、安装调试、培训、商检、进口关税及计量检测、增值税等所有费用。</w:t>
            </w:r>
          </w:p>
          <w:p>
            <w:pPr>
              <w:spacing w:line="360" w:lineRule="exact"/>
              <w:rPr>
                <w:rFonts w:hint="eastAsia" w:ascii="宋体" w:hAnsi="宋体"/>
                <w:bCs/>
                <w:color w:val="000000"/>
                <w:kern w:val="2"/>
                <w:sz w:val="21"/>
                <w:szCs w:val="21"/>
                <w:lang w:val="en-US" w:eastAsia="zh-CN" w:bidi="ar-SA"/>
              </w:rPr>
            </w:pPr>
            <w:r>
              <w:rPr>
                <w:rFonts w:hint="eastAsia" w:ascii="宋体" w:hAnsi="宋体"/>
                <w:bCs/>
                <w:color w:val="000000"/>
                <w:szCs w:val="21"/>
                <w:lang w:val="en-US" w:eastAsia="zh-CN"/>
              </w:rPr>
              <w:t>5</w:t>
            </w:r>
            <w:r>
              <w:rPr>
                <w:rFonts w:hint="eastAsia" w:ascii="宋体" w:hAnsi="宋体"/>
                <w:bCs/>
                <w:color w:val="000000"/>
                <w:szCs w:val="21"/>
              </w:rPr>
              <w:t>.3如若需要场地迁移，投标人需免费迁移（含拆装）1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hint="eastAsia" w:ascii="宋体" w:hAnsi="宋体"/>
                <w:b w:val="0"/>
                <w:bCs w:val="0"/>
                <w:kern w:val="2"/>
                <w:sz w:val="20"/>
                <w:szCs w:val="20"/>
                <w:lang w:val="en-US" w:eastAsia="zh-CN" w:bidi="ar-SA"/>
              </w:rPr>
            </w:pPr>
            <w:r>
              <w:rPr>
                <w:rFonts w:ascii="宋体" w:hAnsi="宋体"/>
                <w:b w:val="0"/>
                <w:bCs w:val="0"/>
                <w:sz w:val="20"/>
                <w:szCs w:val="20"/>
              </w:rPr>
              <w:t>培训</w:t>
            </w:r>
          </w:p>
        </w:tc>
        <w:tc>
          <w:tcPr>
            <w:tcW w:w="765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6</w:t>
            </w:r>
            <w:r>
              <w:rPr>
                <w:rFonts w:hint="eastAsia" w:ascii="宋体" w:hAnsi="宋体" w:eastAsia="宋体" w:cs="宋体"/>
                <w:bCs/>
              </w:rPr>
              <w:t>.1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0"/>
                <w:szCs w:val="20"/>
                <w:lang w:val="en-US" w:eastAsia="zh-CN" w:bidi="ar-SA"/>
              </w:rPr>
            </w:pPr>
          </w:p>
        </w:tc>
        <w:tc>
          <w:tcPr>
            <w:tcW w:w="1457" w:type="dxa"/>
            <w:vMerge w:val="continue"/>
            <w:noWrap w:val="0"/>
            <w:vAlign w:val="center"/>
          </w:tcPr>
          <w:p>
            <w:pPr>
              <w:spacing w:line="360" w:lineRule="exact"/>
              <w:rPr>
                <w:rFonts w:hint="eastAsia" w:ascii="宋体" w:hAnsi="宋体"/>
                <w:b w:val="0"/>
                <w:bCs w:val="0"/>
                <w:kern w:val="2"/>
                <w:sz w:val="20"/>
                <w:szCs w:val="20"/>
                <w:lang w:val="en-US" w:eastAsia="zh-CN" w:bidi="ar-SA"/>
              </w:rPr>
            </w:pPr>
          </w:p>
        </w:tc>
        <w:tc>
          <w:tcPr>
            <w:tcW w:w="765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szCs w:val="21"/>
                <w:lang w:val="en-US" w:eastAsia="zh-CN"/>
              </w:rPr>
              <w:t>6</w:t>
            </w:r>
            <w:r>
              <w:rPr>
                <w:rFonts w:hint="eastAsia" w:ascii="宋体" w:hAnsi="宋体" w:eastAsia="宋体" w:cs="宋体"/>
                <w:bCs/>
                <w:szCs w:val="21"/>
              </w:rPr>
              <w:t>.2 现场培训：</w:t>
            </w:r>
            <w:r>
              <w:rPr>
                <w:rFonts w:hint="eastAsia" w:ascii="宋体" w:hAnsi="宋体" w:cs="宋体"/>
                <w:bCs/>
                <w:color w:val="000000"/>
                <w:szCs w:val="21"/>
                <w:lang w:val="en-US" w:eastAsia="zh-CN"/>
              </w:rPr>
              <w:t>中标人</w:t>
            </w:r>
            <w:r>
              <w:rPr>
                <w:rFonts w:hint="eastAsia" w:ascii="宋体" w:hAnsi="宋体" w:eastAsia="宋体" w:cs="宋体"/>
                <w:bCs/>
                <w:szCs w:val="21"/>
              </w:rPr>
              <w:t>应提供现场技术培训，保证使用人员正常操作设备的各种功能</w:t>
            </w:r>
            <w:r>
              <w:rPr>
                <w:rFonts w:hint="eastAsia" w:ascii="宋体" w:hAnsi="宋体" w:cs="宋体"/>
                <w:bCs/>
                <w:szCs w:val="21"/>
                <w:lang w:eastAsia="zh-CN"/>
              </w:rPr>
              <w:t>，</w:t>
            </w:r>
            <w:r>
              <w:rPr>
                <w:rFonts w:hint="eastAsia" w:ascii="宋体" w:hAnsi="宋体" w:eastAsia="宋体" w:cs="宋体"/>
                <w:bCs/>
                <w:szCs w:val="21"/>
                <w:lang w:val="en-US" w:eastAsia="zh-CN"/>
              </w:rPr>
              <w:t>培训至工作人员能熟练出具报告。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0"/>
                <w:szCs w:val="20"/>
                <w:lang w:val="en-US" w:eastAsia="zh-CN" w:bidi="ar-SA"/>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ascii="宋体" w:hAnsi="宋体"/>
                <w:b w:val="0"/>
                <w:bCs w:val="0"/>
                <w:kern w:val="2"/>
                <w:sz w:val="20"/>
                <w:szCs w:val="20"/>
                <w:lang w:val="en-US" w:eastAsia="zh-CN" w:bidi="ar-SA"/>
              </w:rPr>
            </w:pPr>
            <w:r>
              <w:rPr>
                <w:rFonts w:ascii="宋体" w:hAnsi="宋体"/>
                <w:b w:val="0"/>
                <w:bCs w:val="0"/>
                <w:sz w:val="20"/>
                <w:szCs w:val="20"/>
              </w:rPr>
              <w:t>知识产权</w:t>
            </w:r>
          </w:p>
        </w:tc>
        <w:tc>
          <w:tcPr>
            <w:tcW w:w="7656"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ascii="宋体" w:hAnsi="宋体"/>
                <w:b/>
                <w:kern w:val="2"/>
                <w:sz w:val="21"/>
                <w:szCs w:val="24"/>
                <w:lang w:val="en-US" w:eastAsia="zh-CN" w:bidi="ar-SA"/>
              </w:rPr>
            </w:pPr>
          </w:p>
        </w:tc>
        <w:tc>
          <w:tcPr>
            <w:tcW w:w="1457" w:type="dxa"/>
            <w:vMerge w:val="continue"/>
            <w:noWrap w:val="0"/>
            <w:vAlign w:val="center"/>
          </w:tcPr>
          <w:p>
            <w:pPr>
              <w:spacing w:line="360" w:lineRule="exact"/>
              <w:rPr>
                <w:rFonts w:hint="eastAsia" w:ascii="宋体" w:hAnsi="宋体"/>
                <w:b/>
                <w:kern w:val="2"/>
                <w:sz w:val="21"/>
                <w:szCs w:val="24"/>
                <w:lang w:val="en-US" w:eastAsia="zh-CN" w:bidi="ar-SA"/>
              </w:rPr>
            </w:pPr>
          </w:p>
        </w:tc>
        <w:tc>
          <w:tcPr>
            <w:tcW w:w="7656" w:type="dxa"/>
            <w:noWrap w:val="0"/>
            <w:vAlign w:val="top"/>
          </w:tcPr>
          <w:p>
            <w:pPr>
              <w:spacing w:line="360" w:lineRule="exact"/>
              <w:rPr>
                <w:rFonts w:hint="eastAsia" w:ascii="宋体" w:hAnsi="宋体" w:eastAsia="宋体" w:cs="宋体"/>
                <w:bCs/>
                <w:kern w:val="2"/>
                <w:sz w:val="21"/>
                <w:szCs w:val="24"/>
                <w:lang w:val="en-US" w:eastAsia="zh-CN" w:bidi="ar-SA"/>
              </w:rPr>
            </w:pPr>
            <w:r>
              <w:rPr>
                <w:rFonts w:hint="eastAsia" w:ascii="宋体" w:hAnsi="宋体" w:eastAsia="宋体" w:cs="宋体"/>
                <w:bCs/>
                <w:lang w:val="en-US" w:eastAsia="zh-CN"/>
              </w:rPr>
              <w:t>7</w:t>
            </w:r>
            <w:r>
              <w:rPr>
                <w:rFonts w:hint="eastAsia" w:ascii="宋体" w:hAnsi="宋体" w:eastAsia="宋体" w:cs="宋体"/>
                <w:bCs/>
              </w:rPr>
              <w:t>.2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ascii="宋体" w:hAnsi="宋体" w:eastAsia="宋体"/>
                <w:b/>
                <w:kern w:val="2"/>
                <w:sz w:val="21"/>
                <w:szCs w:val="24"/>
                <w:lang w:val="en-US" w:eastAsia="zh-CN" w:bidi="ar-SA"/>
              </w:rPr>
            </w:pPr>
            <w:r>
              <w:rPr>
                <w:rFonts w:hint="eastAsia"/>
                <w:b/>
                <w:lang w:val="en-US" w:eastAsia="zh-CN"/>
              </w:rPr>
              <w:t>8</w:t>
            </w:r>
          </w:p>
        </w:tc>
        <w:tc>
          <w:tcPr>
            <w:tcW w:w="1457" w:type="dxa"/>
            <w:vMerge w:val="restart"/>
            <w:noWrap w:val="0"/>
            <w:vAlign w:val="center"/>
          </w:tcPr>
          <w:p>
            <w:pPr>
              <w:spacing w:line="360" w:lineRule="exact"/>
              <w:jc w:val="center"/>
              <w:rPr>
                <w:rFonts w:hint="eastAsia" w:ascii="宋体" w:hAnsi="宋体"/>
                <w:b/>
                <w:kern w:val="2"/>
                <w:sz w:val="21"/>
                <w:szCs w:val="24"/>
                <w:lang w:val="en-US" w:eastAsia="zh-CN" w:bidi="ar-SA"/>
              </w:rPr>
            </w:pPr>
            <w:r>
              <w:rPr>
                <w:rFonts w:ascii="宋体" w:hAnsi="宋体"/>
                <w:b/>
                <w:color w:val="0000FF"/>
                <w:sz w:val="20"/>
                <w:szCs w:val="20"/>
              </w:rPr>
              <w:t>其他</w:t>
            </w:r>
          </w:p>
        </w:tc>
        <w:tc>
          <w:tcPr>
            <w:tcW w:w="7656" w:type="dxa"/>
            <w:noWrap w:val="0"/>
            <w:vAlign w:val="top"/>
          </w:tcPr>
          <w:p>
            <w:pPr>
              <w:widowControl/>
              <w:jc w:val="left"/>
              <w:rPr>
                <w:rFonts w:hint="eastAsia" w:ascii="宋体" w:hAnsi="宋体" w:cs="宋体"/>
                <w:color w:val="000000"/>
                <w:kern w:val="2"/>
                <w:sz w:val="20"/>
                <w:szCs w:val="20"/>
                <w:lang w:val="en-US" w:eastAsia="zh-CN" w:bidi="ar-SA"/>
              </w:rPr>
            </w:pPr>
            <w:r>
              <w:rPr>
                <w:rFonts w:hint="eastAsia" w:ascii="宋体" w:hAnsi="宋体" w:cs="宋体"/>
                <w:color w:val="000000"/>
                <w:sz w:val="20"/>
                <w:szCs w:val="20"/>
                <w:lang w:val="en-US" w:eastAsia="zh-CN"/>
              </w:rPr>
              <w:t xml:space="preserve">8.1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65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65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65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8.4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b/>
                <w:color w:val="0000FF"/>
                <w:kern w:val="2"/>
                <w:sz w:val="20"/>
                <w:szCs w:val="20"/>
                <w:lang w:val="en-US" w:eastAsia="zh-CN" w:bidi="ar-SA"/>
              </w:rPr>
            </w:pPr>
          </w:p>
        </w:tc>
        <w:tc>
          <w:tcPr>
            <w:tcW w:w="7656"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lang w:val="en-US" w:eastAsia="zh-CN"/>
              </w:rPr>
              <w:t>8</w:t>
            </w:r>
            <w:r>
              <w:rPr>
                <w:rFonts w:hint="eastAsia" w:ascii="宋体" w:hAnsi="宋体" w:eastAsia="宋体" w:cs="宋体"/>
                <w:bCs/>
              </w:rPr>
              <w:t>.5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noWrap w:val="0"/>
            <w:vAlign w:val="center"/>
          </w:tcPr>
          <w:p>
            <w:pPr>
              <w:spacing w:line="360" w:lineRule="exact"/>
              <w:jc w:val="center"/>
              <w:rPr>
                <w:rFonts w:hint="eastAsia"/>
                <w:b/>
                <w:kern w:val="2"/>
                <w:sz w:val="21"/>
                <w:szCs w:val="24"/>
                <w:lang w:val="en-US" w:eastAsia="zh-CN" w:bidi="ar-SA"/>
              </w:rPr>
            </w:pPr>
            <w:r>
              <w:rPr>
                <w:rFonts w:hint="eastAsia"/>
                <w:b/>
                <w:lang w:val="en-US" w:eastAsia="zh-CN"/>
              </w:rPr>
              <w:t>9</w:t>
            </w:r>
          </w:p>
        </w:tc>
        <w:tc>
          <w:tcPr>
            <w:tcW w:w="1457" w:type="dxa"/>
            <w:vMerge w:val="restart"/>
            <w:noWrap w:val="0"/>
            <w:vAlign w:val="center"/>
          </w:tcPr>
          <w:p>
            <w:pPr>
              <w:spacing w:line="360" w:lineRule="exact"/>
              <w:jc w:val="center"/>
              <w:rPr>
                <w:rFonts w:hint="eastAsia"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656"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Times New Roman" w:hAnsi="Times New Roman" w:eastAsia="宋体" w:cs="Times New Roman"/>
                <w:color w:val="auto"/>
                <w:lang w:val="en-US" w:eastAsia="zh-CN"/>
              </w:rPr>
              <w:t>9</w:t>
            </w:r>
            <w:r>
              <w:rPr>
                <w:rFonts w:hint="eastAsia" w:ascii="Times New Roman" w:hAnsi="Times New Roman" w:eastAsia="宋体" w:cs="Times New Roman"/>
                <w:color w:val="auto"/>
              </w:rPr>
              <w:t>.1本招标采购项目属于医疗器械管理，投标商所投产品需提供《医疗器械备案凭证》或《医疗器械注册证》(有效期内)扫描件。所投产品为第一类医疗器械的，提供监督管理部门签发的有效的《医疗器械备案凭证》扫描件；所投产品为第二、三类医疗器械的，提供监督管理部门签发的涵盖所投产品的《医疗器械注册证》(有效期内)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noWrap w:val="0"/>
            <w:vAlign w:val="center"/>
          </w:tcPr>
          <w:p>
            <w:pPr>
              <w:spacing w:line="360" w:lineRule="exact"/>
              <w:jc w:val="center"/>
              <w:rPr>
                <w:rFonts w:hint="eastAsia"/>
                <w:b/>
                <w:kern w:val="2"/>
                <w:sz w:val="21"/>
                <w:szCs w:val="24"/>
                <w:lang w:val="en-US" w:eastAsia="zh-CN" w:bidi="ar-SA"/>
              </w:rPr>
            </w:pPr>
          </w:p>
        </w:tc>
        <w:tc>
          <w:tcPr>
            <w:tcW w:w="1457" w:type="dxa"/>
            <w:vMerge w:val="continue"/>
            <w:noWrap w:val="0"/>
            <w:vAlign w:val="center"/>
          </w:tcPr>
          <w:p>
            <w:pPr>
              <w:spacing w:line="360" w:lineRule="exact"/>
              <w:jc w:val="center"/>
              <w:rPr>
                <w:rFonts w:hint="eastAsia" w:ascii="宋体" w:hAnsi="宋体" w:eastAsia="宋体" w:cs="宋体"/>
                <w:b/>
                <w:color w:val="FF0000"/>
                <w:kern w:val="2"/>
                <w:sz w:val="21"/>
                <w:szCs w:val="21"/>
                <w:lang w:val="en-US" w:eastAsia="zh-CN" w:bidi="ar-SA"/>
              </w:rPr>
            </w:pPr>
          </w:p>
        </w:tc>
        <w:tc>
          <w:tcPr>
            <w:tcW w:w="7656" w:type="dxa"/>
            <w:noWrap w:val="0"/>
            <w:vAlign w:val="top"/>
          </w:tcPr>
          <w:p>
            <w:pPr>
              <w:spacing w:after="0" w:afterLines="25" w:line="300" w:lineRule="exact"/>
              <w:rPr>
                <w:rFonts w:hint="eastAsia" w:ascii="宋体" w:hAnsi="宋体" w:cs="宋体"/>
                <w:b/>
                <w:color w:val="FF0000"/>
                <w:kern w:val="2"/>
                <w:sz w:val="21"/>
                <w:szCs w:val="21"/>
                <w:highlight w:val="yellow"/>
                <w:lang w:val="en-US" w:eastAsia="zh-CN" w:bidi="ar-SA"/>
              </w:rPr>
            </w:pPr>
            <w:r>
              <w:rPr>
                <w:rFonts w:hint="eastAsia"/>
                <w:color w:val="auto"/>
                <w:lang w:val="en-US" w:eastAsia="zh-CN"/>
              </w:rPr>
              <w:t>9.2</w:t>
            </w:r>
            <w:r>
              <w:rPr>
                <w:rFonts w:hint="eastAsia"/>
                <w:color w:val="auto"/>
              </w:rPr>
              <w:t>如供应商提供的相关货物（标的），属于按整套（成套）设备进行申请医疗器械注册证情形的，则投标人针对前述相关货物（标的）在投标时可提供整套（成套）设备的医疗器械注册证。</w:t>
            </w:r>
          </w:p>
        </w:tc>
      </w:tr>
    </w:tbl>
    <w:p/>
    <w:p>
      <w:pPr>
        <w:pStyle w:val="56"/>
      </w:pPr>
    </w:p>
    <w:p>
      <w:pPr>
        <w:rPr>
          <w:rFonts w:hint="eastAsia" w:ascii="宋体" w:hAnsi="宋体" w:cs="Arial"/>
          <w:b/>
          <w:color w:val="000000"/>
          <w:kern w:val="0"/>
          <w:sz w:val="32"/>
          <w:szCs w:val="32"/>
        </w:rPr>
      </w:pPr>
      <w:r>
        <w:rPr>
          <w:rFonts w:hint="eastAsia" w:ascii="宋体" w:hAnsi="宋体" w:cs="Arial"/>
          <w:b/>
          <w:color w:val="000000"/>
          <w:kern w:val="0"/>
          <w:sz w:val="32"/>
          <w:szCs w:val="32"/>
        </w:rPr>
        <w:br w:type="page"/>
      </w: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2336;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深圳市宝安区人民医院2026</w:t>
      </w:r>
      <w:r>
        <w:rPr>
          <w:rFonts w:hint="eastAsia" w:ascii="宋体" w:hAnsi="宋体"/>
          <w:b/>
          <w:bCs/>
          <w:color w:val="000000"/>
          <w:sz w:val="24"/>
        </w:rPr>
        <w:t>年第</w:t>
      </w:r>
      <w:r>
        <w:rPr>
          <w:rFonts w:hint="eastAsia" w:ascii="宋体" w:hAnsi="宋体"/>
          <w:b/>
          <w:bCs/>
          <w:color w:val="000000"/>
          <w:sz w:val="24"/>
          <w:lang w:val="en-US" w:eastAsia="zh-CN"/>
        </w:rPr>
        <w:t>19</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项目编号：BYZBCG2026-</w:t>
      </w:r>
      <w:r>
        <w:rPr>
          <w:rFonts w:hint="eastAsia" w:ascii="宋体" w:hAnsi="宋体"/>
          <w:b/>
          <w:bCs/>
          <w:color w:val="000000"/>
          <w:sz w:val="28"/>
          <w:szCs w:val="28"/>
          <w:lang w:val="en-US" w:eastAsia="zh-CN"/>
        </w:rPr>
        <w:t>19</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b w:val="0"/>
          <w:bCs w:val="0"/>
          <w:color w:val="000000"/>
          <w:szCs w:val="28"/>
          <w:u w:val="single"/>
        </w:rPr>
        <w:t xml:space="preserve"> </w:t>
      </w:r>
      <w:r>
        <w:rPr>
          <w:rStyle w:val="26"/>
          <w:rFonts w:hint="eastAsia" w:eastAsia="宋体"/>
          <w:color w:val="000000" w:themeColor="text1"/>
          <w:szCs w:val="28"/>
          <w:u w:val="single"/>
          <w14:textFill>
            <w14:solidFill>
              <w14:schemeClr w14:val="tx1"/>
            </w14:solidFill>
          </w14:textFill>
        </w:rPr>
        <w:t xml:space="preserve">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pStyle w:val="4"/>
        <w:numPr>
          <w:ilvl w:val="0"/>
          <w:numId w:val="0"/>
        </w:numPr>
        <w:rPr>
          <w:b/>
          <w:bCs/>
          <w:u w:val="single"/>
        </w:rPr>
      </w:pPr>
      <w:r>
        <w:rPr>
          <w:rFonts w:hint="eastAsia"/>
        </w:rPr>
        <w:t xml:space="preserve">      </w:t>
      </w:r>
      <w:r>
        <w:rPr>
          <w:rFonts w:hint="eastAsia"/>
          <w:b/>
          <w:bCs/>
        </w:rPr>
        <w:t xml:space="preserve"> 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宋体" w:hAnsi="宋体" w:cs="宋体"/>
          <w:color w:val="000000"/>
          <w:kern w:val="44"/>
          <w:sz w:val="28"/>
          <w:szCs w:val="28"/>
        </w:rPr>
      </w:pPr>
      <w:r>
        <w:rPr>
          <w:rStyle w:val="26"/>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ascii="微软雅黑" w:hAnsi="微软雅黑" w:eastAsia="微软雅黑" w:cs="微软雅黑"/>
          <w:color w:val="000000"/>
          <w:szCs w:val="28"/>
        </w:rPr>
        <w:t>二､</w:t>
      </w:r>
      <w:r>
        <w:rPr>
          <w:rStyle w:val="26"/>
          <w:rFonts w:hint="eastAsia" w:ascii="黑体" w:hAnsi="黑体" w:cs="黑体"/>
          <w:color w:val="000000"/>
          <w:szCs w:val="28"/>
        </w:rPr>
        <w:t>开标现场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pStyle w:val="75"/>
        <w:ind w:left="0" w:leftChars="0" w:firstLine="0" w:firstLineChars="0"/>
        <w:rPr>
          <w:highlight w:val="yellow"/>
        </w:rPr>
      </w:pPr>
    </w:p>
    <w:p>
      <w:pPr>
        <w:rPr>
          <w:rFonts w:hint="eastAsia" w:ascii="宋体" w:hAnsi="宋体"/>
          <w:b/>
          <w:bCs/>
          <w:sz w:val="48"/>
          <w:szCs w:val="48"/>
          <w:highlight w:val="yellow"/>
        </w:rPr>
      </w:pPr>
      <w:r>
        <w:rPr>
          <w:rFonts w:hint="eastAsia" w:ascii="宋体" w:hAnsi="宋体"/>
          <w:b/>
          <w:bCs/>
          <w:sz w:val="48"/>
          <w:szCs w:val="48"/>
          <w:highlight w:val="yellow"/>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9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六、</w:t>
      </w:r>
      <w:r>
        <w:rPr>
          <w:rStyle w:val="72"/>
          <w:rFonts w:hint="eastAsia" w:hAnsi="宋体"/>
          <w:color w:val="000000" w:themeColor="text1"/>
          <w14:textFill>
            <w14:solidFill>
              <w14:schemeClr w14:val="tx1"/>
            </w14:solidFill>
          </w14:textFill>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pStyle w:val="10"/>
      </w:pPr>
    </w:p>
    <w:p>
      <w:pPr>
        <w:pStyle w:val="10"/>
      </w:pPr>
      <w:r>
        <w:rPr>
          <w:rFonts w:hint="eastAsia"/>
        </w:rPr>
        <w:t xml:space="preserve">                                                             </w:t>
      </w:r>
      <w:r>
        <w:rPr>
          <w:rFonts w:hint="eastAsia" w:hAnsi="宋体"/>
          <w:b/>
          <w:bCs/>
        </w:rPr>
        <w:t>投标人单位名称（单位盖公章）：</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r>
        <w:br w:type="page"/>
      </w:r>
    </w:p>
    <w:p>
      <w:pPr>
        <w:pStyle w:val="1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3"/>
        </w:numPr>
        <w:snapToGrid w:val="0"/>
        <w:ind w:firstLineChars="0"/>
        <w:contextualSpacing/>
        <w:rPr>
          <w:rFonts w:hint="eastAsia" w:ascii="宋体" w:hAnsi="宋体"/>
          <w:szCs w:val="21"/>
        </w:rPr>
      </w:pPr>
      <w:bookmarkStart w:id="6" w:name="OLE_LINK1"/>
      <w:r>
        <w:rPr>
          <w:rFonts w:hint="eastAsia" w:ascii="宋体" w:hAnsi="宋体"/>
          <w:szCs w:val="21"/>
        </w:rPr>
        <w:t>评标指引表</w:t>
      </w:r>
    </w:p>
    <w:p>
      <w:pPr>
        <w:numPr>
          <w:ilvl w:val="0"/>
          <w:numId w:val="3"/>
        </w:numPr>
        <w:snapToGrid w:val="0"/>
        <w:ind w:left="0" w:firstLine="0"/>
        <w:contextualSpacing/>
        <w:rPr>
          <w:rFonts w:hint="eastAsia" w:ascii="宋体" w:hAnsi="宋体"/>
          <w:bCs/>
          <w:szCs w:val="21"/>
        </w:rPr>
      </w:pPr>
      <w:r>
        <w:rPr>
          <w:rFonts w:hint="eastAsia" w:ascii="宋体" w:hAnsi="宋体"/>
          <w:bCs/>
          <w:szCs w:val="21"/>
        </w:rPr>
        <w:t>投标商自查表</w:t>
      </w:r>
    </w:p>
    <w:p>
      <w:pPr>
        <w:numPr>
          <w:ilvl w:val="0"/>
          <w:numId w:val="3"/>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（3.1.</w:t>
      </w:r>
      <w:r>
        <w:rPr>
          <w:rFonts w:hint="eastAsia" w:ascii="宋体" w:hAnsi="宋体" w:cs="宋体-18030"/>
          <w:color w:val="000000"/>
          <w:szCs w:val="21"/>
        </w:rPr>
        <w:t>设备配置清单偏离表</w:t>
      </w:r>
      <w:r>
        <w:rPr>
          <w:rFonts w:hint="eastAsia" w:ascii="宋体" w:hAnsi="宋体"/>
          <w:szCs w:val="21"/>
        </w:rPr>
        <w:t xml:space="preserve"> 3.2.</w:t>
      </w:r>
      <w:r>
        <w:rPr>
          <w:rFonts w:hint="eastAsia" w:cs="宋体"/>
          <w:bCs/>
          <w:color w:val="000000"/>
          <w:szCs w:val="21"/>
        </w:rPr>
        <w:t>技术参数偏离表</w:t>
      </w:r>
      <w:r>
        <w:rPr>
          <w:rFonts w:hint="eastAsia" w:ascii="宋体" w:hAnsi="宋体" w:cs="宋体"/>
          <w:bCs/>
          <w:color w:val="000000"/>
          <w:szCs w:val="21"/>
        </w:rPr>
        <w:t xml:space="preserve">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napToGrid w:val="0"/>
        <w:contextualSpacing/>
        <w:rPr>
          <w:rFonts w:hint="eastAsia" w:ascii="宋体" w:hAnsi="宋体"/>
          <w:szCs w:val="21"/>
        </w:rPr>
      </w:pPr>
      <w:r>
        <w:rPr>
          <w:rFonts w:hint="eastAsia" w:ascii="宋体" w:hAnsi="宋体"/>
          <w:szCs w:val="21"/>
        </w:rPr>
        <w:t>投标函</w:t>
      </w:r>
    </w:p>
    <w:p>
      <w:pPr>
        <w:numPr>
          <w:ilvl w:val="0"/>
          <w:numId w:val="3"/>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3"/>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3"/>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3"/>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pStyle w:val="16"/>
        <w:numPr>
          <w:ilvl w:val="0"/>
          <w:numId w:val="3"/>
        </w:numPr>
        <w:snapToGrid w:val="0"/>
        <w:spacing w:after="0" w:line="240" w:lineRule="auto"/>
        <w:contextualSpacing/>
      </w:pPr>
      <w:r>
        <w:rPr>
          <w:rFonts w:hint="eastAsia"/>
        </w:rPr>
        <w:t>投标供应商资格证明文件</w:t>
      </w:r>
    </w:p>
    <w:p>
      <w:pPr>
        <w:numPr>
          <w:ilvl w:val="0"/>
          <w:numId w:val="3"/>
        </w:num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采购违法行为风险知悉确认书</w:t>
      </w:r>
    </w:p>
    <w:p>
      <w:pPr>
        <w:pStyle w:val="43"/>
        <w:numPr>
          <w:ilvl w:val="0"/>
          <w:numId w:val="3"/>
        </w:numPr>
        <w:snapToGrid w:val="0"/>
        <w:ind w:firstLineChars="0"/>
        <w:contextualSpacing/>
        <w:rPr>
          <w:rFonts w:hint="eastAsia" w:ascii="宋体" w:hAnsi="宋体" w:cs="微软雅黑"/>
          <w:szCs w:val="21"/>
        </w:rPr>
      </w:pPr>
      <w:r>
        <w:rPr>
          <w:rFonts w:hint="eastAsia" w:ascii="宋体" w:hAnsi="宋体"/>
          <w:szCs w:val="21"/>
        </w:rPr>
        <w:t>提供通过11.1“信用中国”网（</w:t>
      </w:r>
      <w:r>
        <w:rPr>
          <w:rFonts w:ascii="宋体" w:hAnsi="宋体"/>
          <w:szCs w:val="21"/>
        </w:rPr>
        <w:t>www.creditchina.gov.cn)</w:t>
      </w:r>
    </w:p>
    <w:p>
      <w:pPr>
        <w:pStyle w:val="43"/>
        <w:numPr>
          <w:ilvl w:val="1"/>
          <w:numId w:val="4"/>
        </w:numPr>
        <w:snapToGrid w:val="0"/>
        <w:ind w:firstLineChars="0"/>
        <w:contextualSpacing/>
        <w:rPr>
          <w:rFonts w:hint="eastAsia" w:ascii="宋体" w:hAnsi="宋体"/>
          <w:szCs w:val="21"/>
        </w:rPr>
      </w:pP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5"/>
          <w:rFonts w:ascii="宋体" w:hAnsi="宋体"/>
          <w:szCs w:val="21"/>
        </w:rPr>
        <w:t>www.ccgp.gov.cn</w:t>
      </w:r>
      <w:r>
        <w:rPr>
          <w:rStyle w:val="25"/>
          <w:rFonts w:hint="eastAsia" w:ascii="宋体" w:hAnsi="宋体"/>
          <w:szCs w:val="21"/>
        </w:rPr>
        <w:t>)</w:t>
      </w:r>
      <w:r>
        <w:rPr>
          <w:rStyle w:val="25"/>
          <w:rFonts w:hint="eastAsia" w:ascii="宋体" w:hAnsi="宋体"/>
          <w:szCs w:val="21"/>
        </w:rPr>
        <w:fldChar w:fldCharType="end"/>
      </w:r>
      <w:r>
        <w:rPr>
          <w:rFonts w:ascii="宋体" w:hAnsi="宋体"/>
          <w:szCs w:val="21"/>
        </w:rPr>
        <w:t xml:space="preserve"> </w:t>
      </w:r>
    </w:p>
    <w:p>
      <w:pPr>
        <w:pStyle w:val="43"/>
        <w:snapToGrid w:val="0"/>
        <w:ind w:left="440" w:firstLine="840" w:firstLineChars="400"/>
        <w:contextualSpacing/>
        <w:rPr>
          <w:rFonts w:hint="eastAsia" w:ascii="宋体" w:hAnsi="宋体"/>
          <w:szCs w:val="21"/>
        </w:rPr>
      </w:pPr>
      <w:r>
        <w:rPr>
          <w:rFonts w:hint="eastAsia" w:ascii="宋体" w:hAnsi="宋体"/>
          <w:szCs w:val="21"/>
        </w:rPr>
        <w:t>11.3深圳市政府采购监管网(http:/zfcg.sz.gov. cn/cgjg/cxda.</w:t>
      </w:r>
      <w:r>
        <w:rPr>
          <w:rFonts w:ascii="宋体" w:hAnsi="宋体"/>
          <w:szCs w:val="21"/>
        </w:rPr>
        <w:t xml:space="preserve">index.html) </w:t>
      </w:r>
    </w:p>
    <w:p>
      <w:pPr>
        <w:pStyle w:val="43"/>
        <w:snapToGrid w:val="0"/>
        <w:ind w:left="440" w:firstLine="840" w:firstLineChars="400"/>
        <w:contextualSpacing/>
        <w:rPr>
          <w:rStyle w:val="69"/>
          <w:rFonts w:hint="default"/>
        </w:rPr>
      </w:pPr>
      <w:r>
        <w:rPr>
          <w:rFonts w:hint="eastAsia" w:ascii="宋体" w:hAnsi="宋体"/>
          <w:szCs w:val="21"/>
        </w:rPr>
        <w:t>11.4</w:t>
      </w:r>
      <w:r>
        <w:rPr>
          <w:rStyle w:val="69"/>
          <w:rFonts w:hint="default"/>
        </w:rPr>
        <w:t>深圳信用网（</w:t>
      </w:r>
      <w:r>
        <w:fldChar w:fldCharType="begin"/>
      </w:r>
      <w:r>
        <w:instrText xml:space="preserve"> HYPERLINK "https://www.szcredit.org.cn/?cdType=sgsl&amp;type=XZXK" \l "/xyfw" </w:instrText>
      </w:r>
      <w:r>
        <w:fldChar w:fldCharType="separate"/>
      </w:r>
      <w:r>
        <w:rPr>
          <w:rStyle w:val="25"/>
          <w:rFonts w:ascii="宋体" w:hAnsi="宋体" w:cs="宋体"/>
          <w:szCs w:val="21"/>
        </w:rPr>
        <w:t>https://www.szcredit.org.cn/?cdType=sgsl&amp;type=XZXK#/xyfw</w:t>
      </w:r>
      <w:r>
        <w:rPr>
          <w:rStyle w:val="25"/>
          <w:rFonts w:ascii="宋体" w:hAnsi="宋体" w:cs="宋体"/>
          <w:szCs w:val="21"/>
        </w:rPr>
        <w:fldChar w:fldCharType="end"/>
      </w:r>
      <w:r>
        <w:rPr>
          <w:rStyle w:val="69"/>
          <w:rFonts w:hint="default"/>
        </w:rPr>
        <w:t>）</w:t>
      </w:r>
    </w:p>
    <w:p>
      <w:pPr>
        <w:pStyle w:val="43"/>
        <w:snapToGrid w:val="0"/>
        <w:ind w:left="440" w:firstLine="840" w:firstLineChars="400"/>
        <w:contextualSpacing/>
        <w:rPr>
          <w:rFonts w:hint="eastAsia" w:ascii="宋体" w:hAnsi="宋体"/>
          <w:szCs w:val="21"/>
        </w:rPr>
      </w:pPr>
      <w:r>
        <w:rPr>
          <w:rStyle w:val="69"/>
          <w:rFonts w:hint="default"/>
        </w:rPr>
        <w:t>11.5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5"/>
          <w:rFonts w:ascii="宋体" w:hAnsi="宋体"/>
          <w:szCs w:val="21"/>
        </w:rPr>
        <w:t>https://www.gsxt.gov.cnindex.html</w:t>
      </w:r>
      <w:r>
        <w:rPr>
          <w:rStyle w:val="25"/>
          <w:rFonts w:ascii="宋体" w:hAnsi="宋体"/>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12. 技术部分评分项格式及佐证材料</w:t>
      </w:r>
    </w:p>
    <w:p>
      <w:pPr>
        <w:pStyle w:val="9"/>
        <w:snapToGrid w:val="0"/>
        <w:spacing w:line="240" w:lineRule="auto"/>
        <w:ind w:left="840" w:leftChars="0" w:hanging="840" w:hangingChars="400"/>
        <w:contextualSpacing/>
        <w:rPr>
          <w:rFonts w:hint="eastAsia" w:ascii="宋体" w:hAnsi="宋体" w:eastAsia="宋体"/>
          <w:sz w:val="21"/>
          <w:szCs w:val="21"/>
        </w:rPr>
      </w:pPr>
      <w:r>
        <w:rPr>
          <w:rFonts w:hint="eastAsia" w:ascii="宋体" w:hAnsi="宋体" w:eastAsia="宋体"/>
          <w:sz w:val="21"/>
          <w:szCs w:val="21"/>
        </w:rPr>
        <w:t>13. 商务部分评分项格式及佐证材料</w:t>
      </w:r>
    </w:p>
    <w:p>
      <w:pPr>
        <w:snapToGrid w:val="0"/>
        <w:contextualSpacing/>
        <w:rPr>
          <w:rFonts w:hint="eastAsia" w:ascii="宋体" w:hAnsi="宋体"/>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9"/>
        <w:snapToGrid w:val="0"/>
        <w:spacing w:line="240" w:lineRule="auto"/>
        <w:ind w:left="146" w:leftChars="23" w:hanging="98" w:hangingChars="47"/>
        <w:contextualSpacing/>
        <w:rPr>
          <w:rFonts w:hint="eastAsia" w:ascii="宋体" w:hAnsi="宋体" w:eastAsia="宋体"/>
          <w:sz w:val="21"/>
          <w:szCs w:val="21"/>
        </w:rPr>
      </w:pPr>
      <w:r>
        <w:rPr>
          <w:rFonts w:hint="eastAsia" w:ascii="宋体" w:hAnsi="宋体" w:eastAsia="宋体"/>
          <w:sz w:val="21"/>
          <w:szCs w:val="21"/>
        </w:rPr>
        <w:t>15. 其他:投标供应商认为必要提供的其他内容</w:t>
      </w:r>
    </w:p>
    <w:p>
      <w:pPr>
        <w:pStyle w:val="16"/>
        <w:snapToGrid w:val="0"/>
        <w:spacing w:after="0" w:line="240" w:lineRule="auto"/>
        <w:ind w:firstLine="48"/>
        <w:contextualSpacing/>
      </w:pPr>
      <w:r>
        <w:rPr>
          <w:rFonts w:hint="eastAsia" w:ascii="宋体" w:hAnsi="宋体"/>
          <w:szCs w:val="21"/>
        </w:rPr>
        <w:t>16. 报价</w:t>
      </w:r>
      <w:r>
        <w:rPr>
          <w:rFonts w:ascii="宋体" w:hAnsi="宋体"/>
          <w:szCs w:val="21"/>
        </w:rPr>
        <w:t>表</w:t>
      </w:r>
    </w:p>
    <w:p>
      <w:pPr>
        <w:pStyle w:val="16"/>
        <w:snapToGrid w:val="0"/>
        <w:spacing w:after="0" w:line="240" w:lineRule="auto"/>
        <w:contextualSpacing/>
      </w:pPr>
    </w:p>
    <w:p>
      <w:pPr>
        <w:pStyle w:val="16"/>
        <w:snapToGrid w:val="0"/>
        <w:spacing w:after="0" w:line="240" w:lineRule="auto"/>
        <w:contextualSpacing/>
      </w:pPr>
    </w:p>
    <w:p>
      <w:pPr>
        <w:pStyle w:val="16"/>
        <w:snapToGrid w:val="0"/>
        <w:spacing w:after="0" w:line="240" w:lineRule="auto"/>
        <w:contextualSpacing/>
      </w:pPr>
    </w:p>
    <w:p>
      <w:pPr>
        <w:snapToGrid w:val="0"/>
        <w:contextualSpacing/>
      </w:pPr>
    </w:p>
    <w:p/>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bookmarkEnd w:id="6"/>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ascii="宋体" w:hAnsi="宋体"/>
                <w:kern w:val="0"/>
                <w:szCs w:val="21"/>
              </w:rPr>
              <w:t>投标截止日</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r>
        <w:rPr>
          <w:rFonts w:hint="eastAsia" w:cs="Arial"/>
          <w:bCs/>
          <w:sz w:val="24"/>
        </w:rPr>
        <w:t xml:space="preserve">                                   </w:t>
      </w:r>
      <w:r>
        <w:rPr>
          <w:rFonts w:hint="eastAsia" w:hAnsi="宋体"/>
          <w:b/>
          <w:bCs/>
        </w:rPr>
        <w:t>投标人单位名称（单位盖公章）：</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6"/>
        <w:snapToGrid w:val="0"/>
        <w:spacing w:line="240" w:lineRule="auto"/>
        <w:ind w:left="-283" w:leftChars="-135" w:firstLine="422" w:firstLineChars="200"/>
        <w:contextualSpacing/>
        <w:rPr>
          <w:color w:val="EE0000"/>
        </w:rPr>
      </w:pPr>
      <w:r>
        <w:rPr>
          <w:rFonts w:hint="eastAsia"/>
          <w:b/>
          <w:bCs/>
          <w:color w:val="EE0000"/>
        </w:rPr>
        <w:t>备注：</w:t>
      </w:r>
      <w:r>
        <w:rPr>
          <w:rStyle w:val="22"/>
          <w:rFonts w:hint="eastAsia"/>
          <w:color w:val="EE0000"/>
        </w:rPr>
        <w:t>请在</w:t>
      </w:r>
      <w:r>
        <w:rPr>
          <w:rStyle w:val="22"/>
          <w:color w:val="EE0000"/>
        </w:rPr>
        <w:t>自查结论</w:t>
      </w:r>
      <w:r>
        <w:rPr>
          <w:rStyle w:val="22"/>
          <w:rFonts w:hint="eastAsia"/>
          <w:color w:val="EE0000"/>
        </w:rPr>
        <w:t>表格中</w:t>
      </w:r>
      <w:r>
        <w:rPr>
          <w:rFonts w:hint="eastAsia"/>
          <w:b/>
          <w:bCs/>
          <w:color w:val="EE0000"/>
        </w:rPr>
        <w:t>审查通过的内容打 “√”，不通过的打 “×”</w:t>
      </w:r>
      <w:r>
        <w:rPr>
          <w:rStyle w:val="22"/>
          <w:rFonts w:hint="eastAsia"/>
          <w:color w:val="EE0000"/>
        </w:rPr>
        <w:t>,投标人必须严格按照《投标商自查表》的评审内容的要求如实提供证明材料并加盖投标人公章,对缺漏或不符合项将直接导致无效投标。</w:t>
      </w:r>
    </w:p>
    <w:tbl>
      <w:tblPr>
        <w:tblStyle w:val="19"/>
        <w:tblW w:w="5186"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37"/>
        <w:gridCol w:w="7397"/>
        <w:gridCol w:w="752"/>
        <w:gridCol w:w="1559"/>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39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2"/>
                <w:rFonts w:hint="eastAsia"/>
                <w:szCs w:val="21"/>
              </w:rPr>
              <w:t>招标</w:t>
            </w:r>
            <w:r>
              <w:rPr>
                <w:rStyle w:val="22"/>
                <w:szCs w:val="21"/>
              </w:rPr>
              <w:t>文件要求</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2"/>
              </w:rPr>
            </w:pPr>
            <w:r>
              <w:rPr>
                <w:rStyle w:val="22"/>
              </w:rPr>
              <w:t>自查</w:t>
            </w:r>
          </w:p>
          <w:p>
            <w:pPr>
              <w:spacing w:line="20" w:lineRule="atLeast"/>
              <w:jc w:val="center"/>
              <w:rPr>
                <w:rFonts w:hint="eastAsia" w:ascii="宋体" w:hAnsi="宋体" w:cs="宋体"/>
                <w:sz w:val="18"/>
                <w:szCs w:val="18"/>
              </w:rPr>
            </w:pPr>
            <w:r>
              <w:rPr>
                <w:rStyle w:val="22"/>
              </w:rPr>
              <w:t>结论</w:t>
            </w:r>
          </w:p>
        </w:tc>
        <w:tc>
          <w:tcPr>
            <w:tcW w:w="1559"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2"/>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114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ascii="宋体" w:hAnsi="宋体" w:cs="宋体"/>
                <w:szCs w:val="21"/>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68"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若所投产品为进口产品，经销商必须取得产品制造商或该产品在中华人民共和国境内总经销商的有效授权，并提供有效授权文件，必须提供进口医疗器械注册证。须提供相关资料复印件或扫描件加盖投标人公章，原件备查)。</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0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2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PrEx>
        <w:trPr>
          <w:trHeight w:val="587"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72"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11</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12</w:t>
            </w:r>
          </w:p>
        </w:tc>
        <w:tc>
          <w:tcPr>
            <w:tcW w:w="7397"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49"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bookmarkStart w:id="7" w:name="OLE_LINK3"/>
            <w:r>
              <w:rPr>
                <w:rFonts w:hint="eastAsia" w:ascii="宋体" w:hAnsi="宋体" w:cs="宋体"/>
                <w:bCs/>
                <w:kern w:val="0"/>
                <w:szCs w:val="21"/>
              </w:rPr>
              <w:t>《供应商基本情况表》中相关人员投标截止日前最近一个月内社保缴纳证明</w:t>
            </w:r>
            <w:bookmarkEnd w:id="7"/>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14</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3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15</w:t>
            </w:r>
          </w:p>
        </w:tc>
        <w:tc>
          <w:tcPr>
            <w:tcW w:w="739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5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559"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75"/>
        <w:ind w:firstLine="4337" w:firstLineChars="1800"/>
      </w:pPr>
      <w:r>
        <w:rPr>
          <w:rFonts w:hint="eastAsia" w:hAnsi="宋体"/>
          <w:b/>
          <w:bCs/>
        </w:rPr>
        <w:t>投标人单位名称（单位盖公章）：</w:t>
      </w: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3.2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3.3 实质性条款偏离表</w:t>
      </w:r>
    </w:p>
    <w:p>
      <w:pPr>
        <w:pStyle w:val="75"/>
        <w:ind w:firstLine="480"/>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3.4商务条款偏离表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8"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Arial" w:hAnsi="Arial" w:cs="Arial"/>
          <w:szCs w:val="21"/>
        </w:rPr>
        <w:t>3、</w:t>
      </w:r>
      <w:r>
        <w:rPr>
          <w:rFonts w:hint="eastAsia" w:ascii="宋体" w:hAnsi="宋体" w:cs="Arial"/>
          <w:szCs w:val="21"/>
        </w:rPr>
        <w:t>如果我单位中标，我单位将履行招标文件中规定的每一项要求，按期、按质、按量完成任务。</w:t>
      </w:r>
    </w:p>
    <w:p>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8"/>
    <w:p>
      <w:pPr>
        <w:snapToGrid w:val="0"/>
        <w:spacing w:line="360" w:lineRule="auto"/>
        <w:rPr>
          <w:rFonts w:ascii="Arial" w:hAnsi="Arial" w:cs="Arial"/>
          <w:bCs/>
          <w:szCs w:val="21"/>
        </w:rPr>
      </w:pPr>
      <w:r>
        <w:rPr>
          <w:rFonts w:hint="eastAsia" w:ascii="宋体" w:hAnsi="宋体" w:cs="Arial"/>
          <w:bCs/>
          <w:szCs w:val="21"/>
        </w:rPr>
        <w:t>6</w:t>
      </w:r>
      <w:r>
        <w:rPr>
          <w:rFonts w:ascii="宋体" w:hAnsi="宋体" w:cs="Arial"/>
          <w:bCs/>
          <w:szCs w:val="21"/>
        </w:rPr>
        <w:t>、如我单位提交样品，</w:t>
      </w:r>
      <w:r>
        <w:rPr>
          <w:rFonts w:ascii="Arial" w:hAnsi="Arial" w:cs="Arial"/>
          <w:bCs/>
          <w:szCs w:val="21"/>
        </w:rPr>
        <w:t>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hAnsi="宋体"/>
          <w:b/>
          <w:bCs/>
        </w:rPr>
      </w:pPr>
      <w:r>
        <w:rPr>
          <w:rFonts w:hint="eastAsia" w:hAnsi="宋体"/>
          <w:b/>
          <w:bCs/>
        </w:rPr>
        <w:t>投标人单位名称（单位盖公章）：</w:t>
      </w:r>
    </w:p>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840" w:leftChars="400" w:firstLine="4849" w:firstLineChars="2300"/>
        <w:rPr>
          <w:rFonts w:hint="eastAsia" w:ascii="宋体" w:hAnsi="宋体" w:eastAsia="宋体"/>
          <w:sz w:val="21"/>
          <w:szCs w:val="21"/>
        </w:rPr>
      </w:pPr>
      <w:r>
        <w:rPr>
          <w:rFonts w:hint="eastAsia" w:ascii="宋体" w:hAnsi="宋体" w:eastAsia="宋体"/>
          <w:b/>
          <w:bCs/>
          <w:sz w:val="21"/>
          <w:szCs w:val="21"/>
        </w:rPr>
        <w:t>投标人单位名称（单位盖公章）：</w:t>
      </w:r>
    </w:p>
    <w:p>
      <w:pPr>
        <w:jc w:val="center"/>
        <w:rPr>
          <w:rFonts w:hint="eastAsia" w:ascii="宋体" w:hAnsi="宋体" w:cs="宋体"/>
          <w:b/>
          <w:sz w:val="24"/>
        </w:rPr>
      </w:pPr>
      <w:r>
        <w:rPr>
          <w:rFonts w:hint="eastAsia" w:ascii="宋体" w:hAnsi="宋体" w:cs="Arial"/>
          <w:b/>
          <w:color w:val="000000"/>
          <w:sz w:val="28"/>
          <w:szCs w:val="28"/>
        </w:rPr>
        <w:t>六</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七、法定代表人授权书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1312" behindDoc="0" locked="0" layoutInCell="1" allowOverlap="1">
                <wp:simplePos x="0" y="0"/>
                <wp:positionH relativeFrom="column">
                  <wp:posOffset>246380</wp:posOffset>
                </wp:positionH>
                <wp:positionV relativeFrom="paragraph">
                  <wp:posOffset>17780</wp:posOffset>
                </wp:positionV>
                <wp:extent cx="2595880" cy="1567180"/>
                <wp:effectExtent l="0" t="0" r="13970" b="13970"/>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59588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19.4pt;margin-top:1.4pt;height:123.4pt;width:204.4pt;z-index:251661312;mso-width-relative:page;mso-height-relative:page;" fillcolor="#FFFFFF" filled="t" stroked="t" coordsize="21600,21600" o:gfxdata="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AHqW1wAAAAgBAAAPAAAAAAAAAAEAIAAAACIAAABkcnMv&#10;ZG93bnJldi54bWxQSwECFAAUAAAACACHTuJAKq3BXD0CAACKBAAADgAAAAAAAAABACAAAAAm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3345180</wp:posOffset>
                </wp:positionH>
                <wp:positionV relativeFrom="paragraph">
                  <wp:posOffset>26670</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63.4pt;margin-top:2.1pt;height:126.4pt;width:202.5pt;z-index:251659264;mso-width-relative:page;mso-height-relative:page;" fillcolor="#FFFFFF" filled="t" stroked="t" coordsize="21600,21600" o:gfxdata="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Ntkki1wAAAAkBAAAPAAAAAAAAAAEAIAAAACIAAABk&#10;cnMvZG93bnJldi54bWxQSwECFAAUAAAACACHTuJAsnA2IEACAACKBAAADgAAAAAAAAABACAAAAAm&#10;AQAAZHJzL2Uyb0RvYy54bWxQSwUGAAAAAAYABgBZAQAA2A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3360" behindDoc="0" locked="0" layoutInCell="1" allowOverlap="1">
                <wp:simplePos x="0" y="0"/>
                <wp:positionH relativeFrom="column">
                  <wp:posOffset>303530</wp:posOffset>
                </wp:positionH>
                <wp:positionV relativeFrom="paragraph">
                  <wp:posOffset>114300</wp:posOffset>
                </wp:positionV>
                <wp:extent cx="2500630" cy="1523365"/>
                <wp:effectExtent l="0" t="0" r="13970" b="1968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50063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23.9pt;margin-top:9pt;height:119.95pt;width:196.9pt;z-index:251663360;mso-width-relative:page;mso-height-relative:page;" fillcolor="#FFFFFF" filled="t" stroked="t" coordsize="21600,21600" o:gfxdata="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07OKzYAAAACQEAAA8AAAAAAAAAAQAgAAAAIgAAAGRy&#10;cy9kb3ducmV2LnhtbFBLAQIUABQAAAAIAIdO4kDUdcSMPgIAAIkEAAAOAAAAAAAAAAEAIAAAACc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3307080</wp:posOffset>
                </wp:positionH>
                <wp:positionV relativeFrom="paragraph">
                  <wp:posOffset>115570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60.4pt;margin-top:9.1pt;height:117.7pt;width:207pt;z-index:251660288;mso-width-relative:page;mso-height-relative:page;" fillcolor="#FFFFFF" filled="t" stroked="t" coordsize="21600,21600" o:gfxdata="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j5WUN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rPr>
          <w:sz w:val="28"/>
          <w:szCs w:val="28"/>
        </w:rPr>
      </w:pPr>
    </w:p>
    <w:p>
      <w:pPr>
        <w:rPr>
          <w:sz w:val="28"/>
          <w:szCs w:val="28"/>
        </w:rPr>
      </w:pPr>
    </w:p>
    <w:p/>
    <w:p>
      <w:r>
        <w:rPr>
          <w:rFonts w:hint="eastAsia"/>
        </w:rPr>
        <w:t xml:space="preserve">                                                </w:t>
      </w:r>
      <w:r>
        <w:rPr>
          <w:rFonts w:hint="eastAsia" w:hAnsi="宋体"/>
          <w:b/>
          <w:bCs/>
        </w:rPr>
        <w:t>投标人单位名称（单位盖公章）：</w:t>
      </w: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八、供应商基本情况表</w:t>
      </w:r>
    </w:p>
    <w:p>
      <w:pPr>
        <w:pStyle w:val="2"/>
        <w:tabs>
          <w:tab w:val="left" w:pos="673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bCs/>
          <w:color w:val="000000"/>
          <w:szCs w:val="21"/>
        </w:rPr>
      </w:pPr>
    </w:p>
    <w:p>
      <w:pPr>
        <w:pStyle w:val="10"/>
        <w:rPr>
          <w:b/>
          <w:sz w:val="24"/>
          <w:szCs w:val="24"/>
        </w:rPr>
      </w:pPr>
      <w:bookmarkStart w:id="9" w:name="_Hlk224300151"/>
      <w:r>
        <w:rPr>
          <w:rFonts w:hint="eastAsia"/>
          <w:b/>
          <w:sz w:val="24"/>
          <w:szCs w:val="24"/>
        </w:rPr>
        <w:t>备注：只要填写在《供应商基本情况表》的人员都要提供</w:t>
      </w:r>
      <w:r>
        <w:rPr>
          <w:b/>
          <w:sz w:val="24"/>
          <w:szCs w:val="24"/>
        </w:rPr>
        <w:t>投标截止日</w:t>
      </w:r>
      <w:r>
        <w:rPr>
          <w:rFonts w:hint="eastAsia"/>
          <w:b/>
          <w:sz w:val="24"/>
          <w:szCs w:val="24"/>
        </w:rPr>
        <w:t>最近一个月社保缴交凭证证明，未提供按招标文件资格审查处理，视为投标无效。</w:t>
      </w:r>
    </w:p>
    <w:p>
      <w:pPr>
        <w:pStyle w:val="75"/>
        <w:spacing w:before="0" w:after="0" w:line="240" w:lineRule="auto"/>
        <w:ind w:firstLine="480"/>
        <w:contextualSpacing/>
        <w:rPr>
          <w:rFonts w:hint="eastAsia" w:ascii="宋体" w:hAnsi="宋体"/>
        </w:rPr>
      </w:pPr>
    </w:p>
    <w:p>
      <w:pPr>
        <w:pStyle w:val="75"/>
        <w:spacing w:before="0" w:after="0" w:line="240" w:lineRule="auto"/>
        <w:ind w:firstLine="480"/>
        <w:contextualSpacing/>
        <w:rPr>
          <w:rFonts w:hint="eastAsia" w:ascii="宋体" w:hAnsi="宋体"/>
        </w:rPr>
      </w:pPr>
      <w:r>
        <w:rPr>
          <w:rFonts w:hint="eastAsia" w:ascii="宋体" w:hAnsi="宋体"/>
        </w:rPr>
        <w:t>1. 投标人为新成立企业且成立时间不足一个月可提供加盖投标人公章的情况说明或者证明材料亦视为符合。</w:t>
      </w:r>
    </w:p>
    <w:p>
      <w:pPr>
        <w:pStyle w:val="75"/>
        <w:spacing w:before="0" w:after="0" w:line="240" w:lineRule="auto"/>
        <w:ind w:firstLine="480"/>
        <w:contextualSpacing/>
        <w:rPr>
          <w:rFonts w:hint="eastAsia" w:ascii="宋体" w:hAnsi="宋体"/>
        </w:rPr>
      </w:pPr>
      <w:r>
        <w:rPr>
          <w:rFonts w:hint="eastAsia" w:ascii="宋体" w:hAnsi="宋体"/>
        </w:rPr>
        <w:t>2. 若为退休人员，提供退休证明并提供与劳动合同或返聘协议，无需提供相关人员社保，亦视为符合。</w:t>
      </w:r>
    </w:p>
    <w:p>
      <w:pPr>
        <w:pStyle w:val="75"/>
        <w:spacing w:before="0" w:after="0" w:line="240" w:lineRule="auto"/>
        <w:ind w:firstLine="480"/>
        <w:contextualSpacing/>
        <w:rPr>
          <w:rFonts w:hint="eastAsia" w:ascii="宋体" w:hAnsi="宋体"/>
        </w:rPr>
      </w:pPr>
      <w:r>
        <w:rPr>
          <w:rFonts w:hint="eastAsia" w:ascii="宋体" w:hAnsi="宋体"/>
        </w:rPr>
        <w:t>3. 如依法不需要缴纳社会保险的，提供相应文件证明。</w:t>
      </w:r>
    </w:p>
    <w:p>
      <w:pPr>
        <w:pStyle w:val="75"/>
        <w:spacing w:before="0" w:after="0" w:line="240" w:lineRule="auto"/>
        <w:ind w:firstLine="480"/>
        <w:contextualSpacing/>
        <w:rPr>
          <w:rFonts w:hint="eastAsia" w:ascii="宋体" w:hAnsi="宋体"/>
        </w:rPr>
      </w:pPr>
      <w:r>
        <w:rPr>
          <w:rFonts w:hint="eastAsia" w:ascii="宋体" w:hAnsi="宋体"/>
        </w:rPr>
        <w:t>4. 若因为社保部门或税务部门原因无法提供的，需提供劳动合同及社保部门或税务部门官方通知证明（或官网公告截图）。</w:t>
      </w:r>
    </w:p>
    <w:p>
      <w:pPr>
        <w:pStyle w:val="75"/>
        <w:spacing w:before="0" w:after="0" w:line="240" w:lineRule="auto"/>
        <w:ind w:firstLine="480"/>
        <w:contextualSpacing/>
        <w:rPr>
          <w:rFonts w:hint="eastAsia" w:ascii="宋体" w:hAnsi="宋体"/>
        </w:rPr>
      </w:pPr>
      <w:r>
        <w:rPr>
          <w:rFonts w:hint="eastAsia" w:ascii="宋体" w:hAnsi="宋体"/>
        </w:rPr>
        <w:t>5. 如本项目未安排项目投标授权代表人、项目负责人、主要技术人员的，无需提供投标授权代表人、项目负责人、主要技术人员的社保。</w:t>
      </w:r>
    </w:p>
    <w:p>
      <w:pPr>
        <w:pStyle w:val="75"/>
        <w:spacing w:before="0" w:after="0" w:line="240" w:lineRule="auto"/>
        <w:ind w:firstLine="480"/>
        <w:contextualSpacing/>
        <w:rPr>
          <w:rFonts w:hint="eastAsia" w:ascii="宋体" w:hAnsi="宋体"/>
        </w:rPr>
      </w:pPr>
      <w:r>
        <w:rPr>
          <w:rFonts w:hint="eastAsia" w:ascii="宋体" w:hAnsi="宋体"/>
        </w:rPr>
        <w:t>6. 主要经营负责人即实际控制人，是指通过投资关系、协议或者其他安排，能够实际支配公司行为的人。如投标人无主要经营负责人的，无需提供主要经营负责人的社保。</w:t>
      </w:r>
    </w:p>
    <w:p>
      <w:pPr>
        <w:pStyle w:val="75"/>
        <w:spacing w:before="0" w:after="0" w:line="240" w:lineRule="auto"/>
        <w:ind w:firstLine="480"/>
        <w:contextualSpacing/>
        <w:rPr>
          <w:rFonts w:hint="eastAsia" w:ascii="宋体" w:hAnsi="宋体"/>
        </w:rPr>
      </w:pPr>
      <w:r>
        <w:rPr>
          <w:rFonts w:hint="eastAsia" w:ascii="宋体" w:hAnsi="宋体"/>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pPr>
        <w:pStyle w:val="9"/>
        <w:ind w:left="900" w:hanging="480"/>
        <w:rPr>
          <w:rFonts w:hint="eastAsia" w:ascii="宋体" w:hAnsi="宋体" w:eastAsia="宋体"/>
          <w:sz w:val="24"/>
          <w:szCs w:val="24"/>
        </w:rPr>
      </w:pPr>
    </w:p>
    <w:p>
      <w:pPr>
        <w:widowControl/>
        <w:jc w:val="left"/>
        <w:rPr>
          <w:rFonts w:hint="eastAsia" w:ascii="宋体" w:hAnsi="宋体"/>
          <w:b/>
          <w:bCs/>
          <w:sz w:val="24"/>
          <w:highlight w:val="yellow"/>
        </w:rPr>
      </w:pPr>
      <w:r>
        <w:rPr>
          <w:rFonts w:ascii="宋体" w:hAnsi="宋体"/>
          <w:b/>
          <w:bCs/>
          <w:sz w:val="24"/>
          <w:highlight w:val="yellow"/>
        </w:rPr>
        <w:t>如存在上述情形，供应商资格审查不通过，不得参与本次</w:t>
      </w:r>
      <w:r>
        <w:rPr>
          <w:rFonts w:hint="eastAsia" w:ascii="宋体" w:hAnsi="宋体"/>
          <w:b/>
          <w:bCs/>
          <w:sz w:val="24"/>
          <w:highlight w:val="yellow"/>
        </w:rPr>
        <w:t>项目</w:t>
      </w:r>
      <w:r>
        <w:rPr>
          <w:rFonts w:ascii="宋体" w:hAnsi="宋体"/>
          <w:b/>
          <w:bCs/>
          <w:sz w:val="24"/>
          <w:highlight w:val="yellow"/>
        </w:rPr>
        <w:t>采购活动。</w:t>
      </w:r>
    </w:p>
    <w:p>
      <w:pPr>
        <w:pStyle w:val="9"/>
        <w:ind w:left="900" w:hanging="480"/>
        <w:rPr>
          <w:rFonts w:hint="eastAsia" w:ascii="宋体" w:hAnsi="宋体" w:eastAsia="宋体"/>
          <w:sz w:val="24"/>
          <w:szCs w:val="24"/>
        </w:rPr>
      </w:pPr>
    </w:p>
    <w:p>
      <w:pPr>
        <w:pStyle w:val="9"/>
        <w:ind w:left="902" w:hanging="482"/>
        <w:rPr>
          <w:rFonts w:hint="eastAsia" w:ascii="宋体" w:hAnsi="宋体" w:eastAsia="宋体"/>
          <w:b/>
          <w:bCs/>
          <w:sz w:val="24"/>
          <w:szCs w:val="24"/>
        </w:rPr>
      </w:pPr>
      <w:r>
        <w:rPr>
          <w:rFonts w:hint="eastAsia" w:ascii="宋体" w:hAnsi="宋体" w:eastAsia="宋体"/>
          <w:b/>
          <w:bCs/>
          <w:sz w:val="24"/>
          <w:szCs w:val="24"/>
        </w:rPr>
        <w:t>社保缴纳情况证明材料：</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r>
        <w:rPr>
          <w:rFonts w:hint="eastAsia"/>
        </w:rPr>
        <w:t xml:space="preserve">                                               </w:t>
      </w:r>
      <w:r>
        <w:rPr>
          <w:rFonts w:hint="eastAsia" w:hAnsi="宋体"/>
          <w:b/>
          <w:bCs/>
        </w:rPr>
        <w:t>投标人单位名称（单位盖公章）：</w:t>
      </w:r>
    </w:p>
    <w:p>
      <w:pPr>
        <w:rPr>
          <w:rFonts w:cs="Arial"/>
          <w:b/>
          <w:color w:val="000000"/>
          <w:sz w:val="28"/>
          <w:szCs w:val="28"/>
        </w:rPr>
      </w:pPr>
      <w:r>
        <w:rPr>
          <w:rFonts w:hint="eastAsia" w:cs="Arial"/>
          <w:b/>
          <w:color w:val="000000"/>
          <w:sz w:val="28"/>
          <w:szCs w:val="28"/>
        </w:rPr>
        <w:br w:type="page"/>
      </w:r>
    </w:p>
    <w:p>
      <w:pPr>
        <w:pStyle w:val="43"/>
        <w:numPr>
          <w:ilvl w:val="0"/>
          <w:numId w:val="5"/>
        </w:numPr>
        <w:spacing w:after="60"/>
        <w:ind w:left="420" w:firstLineChars="0"/>
        <w:contextualSpacing/>
        <w:jc w:val="center"/>
        <w:rPr>
          <w:rFonts w:hint="eastAsia" w:ascii="宋体" w:hAnsi="宋体"/>
          <w:szCs w:val="21"/>
        </w:rPr>
      </w:pPr>
      <w:r>
        <w:rPr>
          <w:rFonts w:hint="eastAsia" w:ascii="宋体" w:hAnsi="宋体"/>
          <w:b/>
          <w:color w:val="000000"/>
          <w:sz w:val="28"/>
          <w:szCs w:val="28"/>
        </w:rPr>
        <w:t>投标供应商资格证明文件</w:t>
      </w:r>
    </w:p>
    <w:p>
      <w:pPr>
        <w:snapToGrid w:val="0"/>
        <w:ind w:firstLine="562" w:firstLineChars="200"/>
        <w:contextualSpacing/>
        <w:rPr>
          <w:rFonts w:cs="Arial"/>
          <w:b/>
          <w:color w:val="000000"/>
          <w:sz w:val="28"/>
          <w:szCs w:val="28"/>
        </w:rPr>
      </w:pPr>
    </w:p>
    <w:p>
      <w:pPr>
        <w:pStyle w:val="9"/>
        <w:numPr>
          <w:ilvl w:val="3"/>
          <w:numId w:val="3"/>
        </w:numPr>
        <w:ind w:leftChars="0" w:firstLineChars="0"/>
        <w:rPr>
          <w:rFonts w:hint="eastAsia" w:ascii="宋体" w:hAnsi="宋体" w:eastAsia="宋体"/>
          <w:sz w:val="24"/>
          <w:szCs w:val="24"/>
        </w:rPr>
      </w:pPr>
      <w:r>
        <w:rPr>
          <w:rFonts w:hint="eastAsia" w:ascii="宋体" w:hAnsi="宋体" w:eastAsia="宋体"/>
          <w:sz w:val="24"/>
          <w:szCs w:val="24"/>
        </w:rPr>
        <w:t>营业证照(扫描件或复印件加盖公章)</w:t>
      </w:r>
    </w:p>
    <w:p>
      <w:pPr>
        <w:pStyle w:val="10"/>
      </w:pPr>
    </w:p>
    <w:p>
      <w:pPr>
        <w:pStyle w:val="9"/>
        <w:numPr>
          <w:ilvl w:val="3"/>
          <w:numId w:val="3"/>
        </w:numPr>
        <w:ind w:leftChars="0" w:firstLineChars="0"/>
        <w:rPr>
          <w:rFonts w:hint="eastAsia" w:ascii="宋体" w:hAnsi="宋体" w:eastAsia="宋体"/>
          <w:sz w:val="24"/>
          <w:szCs w:val="24"/>
        </w:rPr>
      </w:pPr>
      <w:r>
        <w:rPr>
          <w:rFonts w:hint="eastAsia" w:ascii="宋体" w:hAnsi="宋体" w:eastAsia="宋体"/>
          <w:sz w:val="24"/>
          <w:szCs w:val="24"/>
        </w:rPr>
        <w:t>“投标人资格要求”要求的其他资质证明文件</w:t>
      </w:r>
    </w:p>
    <w:p>
      <w:pPr>
        <w:pStyle w:val="9"/>
        <w:ind w:left="900" w:hanging="480"/>
        <w:rPr>
          <w:rFonts w:hint="eastAsia" w:ascii="宋体" w:hAnsi="宋体" w:eastAsia="宋体"/>
          <w:sz w:val="24"/>
          <w:szCs w:val="24"/>
        </w:rPr>
      </w:pPr>
    </w:p>
    <w:p>
      <w:pPr>
        <w:pStyle w:val="9"/>
        <w:numPr>
          <w:ilvl w:val="3"/>
          <w:numId w:val="3"/>
        </w:numPr>
        <w:ind w:leftChars="0" w:firstLineChars="0"/>
        <w:rPr>
          <w:rFonts w:hint="eastAsia" w:ascii="宋体" w:hAnsi="宋体" w:eastAsia="宋体"/>
          <w:sz w:val="24"/>
          <w:szCs w:val="24"/>
        </w:rPr>
      </w:pPr>
      <w:r>
        <w:rPr>
          <w:rFonts w:ascii="宋体" w:hAnsi="宋体" w:eastAsia="宋体"/>
          <w:sz w:val="24"/>
          <w:szCs w:val="24"/>
        </w:rPr>
        <w:t>《营业执照》扫描件（制造商）</w:t>
      </w:r>
      <w:r>
        <w:rPr>
          <w:rFonts w:hint="eastAsia" w:ascii="宋体" w:hAnsi="宋体" w:eastAsia="宋体"/>
          <w:sz w:val="24"/>
          <w:szCs w:val="24"/>
        </w:rPr>
        <w:t>、</w:t>
      </w:r>
      <w:r>
        <w:rPr>
          <w:rFonts w:ascii="宋体" w:hAnsi="宋体" w:eastAsia="宋体"/>
          <w:sz w:val="24"/>
          <w:szCs w:val="24"/>
        </w:rPr>
        <w:t> 医疗器械经营企业许可证扫描件（制造商）（除医疗器械注册人或备案人以外），经销商必须提供《医疗器械经营企业许可证》</w:t>
      </w:r>
      <w:r>
        <w:rPr>
          <w:rFonts w:hint="eastAsia" w:ascii="宋体" w:hAnsi="宋体" w:eastAsia="宋体"/>
          <w:sz w:val="24"/>
          <w:szCs w:val="24"/>
        </w:rPr>
        <w:t>、</w:t>
      </w:r>
      <w:r>
        <w:rPr>
          <w:rFonts w:ascii="宋体" w:hAnsi="宋体" w:eastAsia="宋体"/>
          <w:sz w:val="24"/>
          <w:szCs w:val="24"/>
        </w:rPr>
        <w:t>医疗器械生产企业许可证扫描件（制造商）</w:t>
      </w:r>
      <w:r>
        <w:rPr>
          <w:rFonts w:hint="eastAsia" w:ascii="宋体" w:hAnsi="宋体" w:eastAsia="宋体"/>
          <w:sz w:val="24"/>
          <w:szCs w:val="24"/>
        </w:rPr>
        <w:t>、</w:t>
      </w:r>
      <w:r>
        <w:rPr>
          <w:rFonts w:ascii="宋体" w:hAnsi="宋体" w:eastAsia="宋体"/>
          <w:sz w:val="24"/>
          <w:szCs w:val="24"/>
        </w:rPr>
        <w:t>医疗器械注册登记证(有效期</w:t>
      </w:r>
      <w:r>
        <w:rPr>
          <w:rFonts w:hint="eastAsia" w:ascii="宋体" w:hAnsi="宋体" w:eastAsia="宋体"/>
          <w:sz w:val="24"/>
          <w:szCs w:val="24"/>
        </w:rPr>
        <w:t>内</w:t>
      </w:r>
      <w:r>
        <w:rPr>
          <w:rFonts w:ascii="宋体" w:hAnsi="宋体" w:eastAsia="宋体"/>
          <w:sz w:val="24"/>
          <w:szCs w:val="24"/>
        </w:rPr>
        <w:t>)扫描件（制造商）</w:t>
      </w:r>
    </w:p>
    <w:p>
      <w:pPr>
        <w:pStyle w:val="9"/>
        <w:numPr>
          <w:ilvl w:val="3"/>
          <w:numId w:val="3"/>
        </w:numPr>
        <w:ind w:leftChars="0" w:firstLineChars="0"/>
        <w:rPr>
          <w:rFonts w:hint="eastAsia" w:ascii="宋体" w:hAnsi="宋体" w:eastAsia="宋体"/>
          <w:sz w:val="24"/>
          <w:szCs w:val="24"/>
        </w:rPr>
      </w:pPr>
      <w:r>
        <w:rPr>
          <w:rFonts w:hint="eastAsia" w:ascii="宋体" w:hAnsi="宋体" w:eastAsia="宋体"/>
          <w:sz w:val="24"/>
          <w:szCs w:val="24"/>
        </w:rPr>
        <w:t>其它招标文件要求的资格证明文件</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
    <w:p>
      <w:pPr>
        <w:spacing w:after="78" w:afterLines="25" w:line="300" w:lineRule="auto"/>
        <w:ind w:left="420"/>
        <w:rPr>
          <w:rFonts w:hint="eastAsia" w:ascii="宋体" w:hAnsi="宋体"/>
          <w:bCs/>
          <w:color w:val="000000"/>
          <w:szCs w:val="21"/>
        </w:rPr>
      </w:pPr>
      <w:r>
        <w:rPr>
          <w:rFonts w:hint="eastAsia"/>
        </w:rPr>
        <w:t xml:space="preserve">                                           </w:t>
      </w:r>
      <w:r>
        <w:rPr>
          <w:rFonts w:hint="eastAsia" w:ascii="宋体" w:hAnsi="宋体"/>
          <w:bCs/>
          <w:color w:val="000000"/>
          <w:szCs w:val="21"/>
        </w:rPr>
        <w:t xml:space="preserve">    </w:t>
      </w:r>
      <w:r>
        <w:rPr>
          <w:rFonts w:hint="eastAsia" w:ascii="宋体" w:hAnsi="宋体" w:cs="宋体"/>
          <w:b/>
          <w:bCs/>
          <w:szCs w:val="21"/>
        </w:rPr>
        <w:t>投标人单位名称（单位盖公章）：</w:t>
      </w:r>
    </w:p>
    <w:p/>
    <w:p/>
    <w:p>
      <w:pPr>
        <w:spacing w:after="60" w:line="360" w:lineRule="auto"/>
        <w:ind w:firstLine="281" w:firstLineChars="100"/>
        <w:jc w:val="center"/>
        <w:rPr>
          <w:rFonts w:cs="Arial"/>
          <w:b/>
          <w:color w:val="000000"/>
          <w:sz w:val="28"/>
          <w:szCs w:val="28"/>
        </w:rPr>
      </w:pPr>
    </w:p>
    <w:p/>
    <w:p/>
    <w:p/>
    <w:p/>
    <w:p/>
    <w:p/>
    <w:p/>
    <w:p/>
    <w:p/>
    <w:p/>
    <w:p/>
    <w:p/>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ind w:leftChars="-67" w:hanging="140" w:hangingChars="67"/>
      </w:pPr>
    </w:p>
    <w:p/>
    <w:p>
      <w:pPr>
        <w:widowControl/>
        <w:ind w:left="1"/>
        <w:jc w:val="center"/>
        <w:rPr>
          <w:rFonts w:cs="Arial"/>
          <w:b/>
          <w:sz w:val="28"/>
          <w:szCs w:val="28"/>
        </w:rPr>
      </w:pPr>
      <w:r>
        <w:rPr>
          <w:rFonts w:hint="eastAsia" w:ascii="宋体" w:hAnsi="宋体" w:cs="宋体-18030"/>
          <w:b/>
          <w:bCs/>
          <w:color w:val="000000"/>
          <w:sz w:val="28"/>
          <w:szCs w:val="28"/>
        </w:rPr>
        <w:t>十、</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highlight w:val="yellow"/>
        </w:rPr>
        <w:t>以下文字请投标供应商抄写并确认</w:t>
      </w:r>
      <w:r>
        <w:rPr>
          <w:rFonts w:hint="eastAsia" w:ascii="宋体" w:hAnsi="宋体" w:cs="等线"/>
          <w:b/>
          <w:bCs/>
          <w:sz w:val="24"/>
        </w:rPr>
        <w:t>：“本公司已仔细阅读《采购违法行为风险知悉确认书》，充分知悉违法行为的法律后果，并承诺将严谨、诚信、依法依规参与采购活动”。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十一、</w:t>
      </w:r>
      <w:r>
        <w:rPr>
          <w:rFonts w:hint="eastAsia" w:ascii="宋体" w:hAnsi="宋体" w:cs="宋体"/>
          <w:b/>
          <w:sz w:val="28"/>
          <w:szCs w:val="28"/>
        </w:rPr>
        <w:t>提供 “信用中国”网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119495" cy="6029325"/>
            <wp:effectExtent l="0" t="0" r="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6"/>
                    <a:stretch>
                      <a:fillRect/>
                    </a:stretch>
                  </pic:blipFill>
                  <pic:spPr>
                    <a:xfrm>
                      <a:off x="0" y="0"/>
                      <a:ext cx="6121320" cy="6030889"/>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119495" cy="8543925"/>
            <wp:effectExtent l="0" t="0" r="0" b="0"/>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7"/>
                    <a:stretch>
                      <a:fillRect/>
                    </a:stretch>
                  </pic:blipFill>
                  <pic:spPr>
                    <a:xfrm>
                      <a:off x="0" y="0"/>
                      <a:ext cx="6121930" cy="8546487"/>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rPr>
          <w:rFonts w:hint="eastAsia" w:ascii="宋体" w:hAnsi="宋体" w:eastAsia="宋体"/>
          <w:sz w:val="21"/>
          <w:szCs w:val="21"/>
        </w:rPr>
      </w:pPr>
      <w:r>
        <w:rPr>
          <w:rFonts w:hint="eastAsia"/>
        </w:rPr>
        <w:t xml:space="preserve">    </w:t>
      </w:r>
      <w:r>
        <w:drawing>
          <wp:inline distT="0" distB="0" distL="0" distR="0">
            <wp:extent cx="6119495" cy="7829550"/>
            <wp:effectExtent l="0" t="0" r="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8"/>
                    <a:stretch>
                      <a:fillRect/>
                    </a:stretch>
                  </pic:blipFill>
                  <pic:spPr>
                    <a:xfrm>
                      <a:off x="0" y="0"/>
                      <a:ext cx="6136301" cy="7850443"/>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 xml:space="preserve">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6048375" cy="78295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48741" cy="7830024"/>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6286500" cy="7172325"/>
            <wp:effectExtent l="0" t="0" r="0"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86500" cy="71723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hint="eastAsia" w:ascii="微软雅黑" w:hAnsi="微软雅黑" w:eastAsia="微软雅黑" w:cs="微软雅黑"/>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
      <w:r>
        <w:rPr>
          <w:rFonts w:hint="eastAsia"/>
        </w:rPr>
        <w:t xml:space="preserve">                                    </w:t>
      </w:r>
      <w:r>
        <w:rPr>
          <w:rFonts w:hint="eastAsia"/>
          <w:b/>
          <w:bCs/>
        </w:rPr>
        <w:t>投标人单位名称（单位盖公章）：</w:t>
      </w:r>
    </w:p>
    <w:p/>
    <w:p>
      <w:pPr>
        <w:widowControl/>
        <w:ind w:left="1"/>
        <w:jc w:val="center"/>
        <w:rPr>
          <w:rFonts w:hint="eastAsia" w:ascii="宋体" w:hAnsi="宋体" w:cs="宋体-18030"/>
          <w:b/>
          <w:bCs/>
          <w:color w:val="000000"/>
          <w:sz w:val="28"/>
          <w:szCs w:val="28"/>
        </w:rPr>
      </w:pPr>
    </w:p>
    <w:p>
      <w:pPr>
        <w:snapToGrid w:val="0"/>
        <w:ind w:firstLine="843" w:firstLineChars="300"/>
        <w:contextualSpacing/>
        <w:jc w:val="center"/>
        <w:rPr>
          <w:rFonts w:hint="eastAsia" w:ascii="宋体" w:hAnsi="宋体"/>
          <w:b/>
          <w:color w:val="000000"/>
          <w:sz w:val="28"/>
          <w:szCs w:val="28"/>
        </w:rPr>
      </w:pPr>
      <w:r>
        <w:rPr>
          <w:rFonts w:hint="eastAsia" w:ascii="宋体" w:hAnsi="宋体"/>
          <w:b/>
          <w:color w:val="000000"/>
          <w:sz w:val="28"/>
          <w:szCs w:val="28"/>
        </w:rPr>
        <w:t>十二、技术部分评分项格式及佐证材料</w:t>
      </w:r>
    </w:p>
    <w:p>
      <w:pPr>
        <w:pStyle w:val="9"/>
        <w:ind w:left="1060" w:hanging="640"/>
      </w:pPr>
    </w:p>
    <w:p>
      <w:pPr>
        <w:pStyle w:val="10"/>
        <w:ind w:firstLine="241" w:firstLineChars="100"/>
        <w:rPr>
          <w:sz w:val="24"/>
          <w:szCs w:val="24"/>
        </w:rPr>
      </w:pPr>
      <w:r>
        <w:rPr>
          <w:rFonts w:hint="eastAsia"/>
          <w:b/>
          <w:bCs/>
          <w:sz w:val="24"/>
          <w:szCs w:val="24"/>
        </w:rPr>
        <w:t>评分因素</w:t>
      </w:r>
      <w:r>
        <w:rPr>
          <w:rFonts w:hint="eastAsia"/>
          <w:sz w:val="24"/>
          <w:szCs w:val="24"/>
        </w:rPr>
        <w:t>：1.</w:t>
      </w:r>
    </w:p>
    <w:p>
      <w:pPr>
        <w:pStyle w:val="10"/>
        <w:ind w:firstLine="240" w:firstLineChars="100"/>
        <w:rPr>
          <w:sz w:val="24"/>
          <w:szCs w:val="24"/>
        </w:rPr>
      </w:pPr>
      <w:r>
        <w:rPr>
          <w:rFonts w:hint="eastAsia"/>
          <w:sz w:val="24"/>
          <w:szCs w:val="24"/>
        </w:rPr>
        <w:t xml:space="preserve">           </w:t>
      </w:r>
    </w:p>
    <w:p>
      <w:pPr>
        <w:pStyle w:val="10"/>
        <w:ind w:firstLine="240" w:firstLineChars="100"/>
        <w:rPr>
          <w:sz w:val="24"/>
          <w:szCs w:val="24"/>
        </w:rPr>
      </w:pPr>
      <w:r>
        <w:rPr>
          <w:rFonts w:hint="eastAsia"/>
          <w:sz w:val="24"/>
          <w:szCs w:val="24"/>
        </w:rPr>
        <w:t xml:space="preserve">          2.</w:t>
      </w:r>
    </w:p>
    <w:p>
      <w:pPr>
        <w:pStyle w:val="10"/>
        <w:ind w:firstLine="240" w:firstLineChars="100"/>
        <w:rPr>
          <w:sz w:val="24"/>
          <w:szCs w:val="24"/>
        </w:rPr>
      </w:pPr>
    </w:p>
    <w:p>
      <w:pPr>
        <w:pStyle w:val="10"/>
        <w:ind w:firstLine="240" w:firstLineChars="100"/>
        <w:rPr>
          <w:sz w:val="24"/>
          <w:szCs w:val="24"/>
        </w:rPr>
      </w:pPr>
      <w:r>
        <w:rPr>
          <w:rFonts w:hint="eastAsia"/>
          <w:sz w:val="24"/>
          <w:szCs w:val="24"/>
        </w:rPr>
        <w:t xml:space="preserve">          3.</w:t>
      </w:r>
    </w:p>
    <w:p>
      <w:pPr>
        <w:pStyle w:val="10"/>
      </w:pPr>
    </w:p>
    <w:p>
      <w:pPr>
        <w:pStyle w:val="10"/>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pPr>
        <w:pStyle w:val="10"/>
      </w:pPr>
    </w:p>
    <w:p>
      <w:pPr>
        <w:pStyle w:val="10"/>
        <w:rPr>
          <w:b/>
          <w:bCs/>
        </w:rPr>
      </w:pPr>
      <w:r>
        <w:rPr>
          <w:rFonts w:hint="eastAsia"/>
          <w:b/>
          <w:bCs/>
        </w:rPr>
        <w:t>（依据评分因素顺序提供佐证资料）</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r>
        <w:rPr>
          <w:rFonts w:hint="eastAsia"/>
        </w:rPr>
        <w:t xml:space="preserve">                                                              </w:t>
      </w:r>
      <w:r>
        <w:rPr>
          <w:rFonts w:hint="eastAsia" w:hAnsi="宋体"/>
          <w:b/>
          <w:bCs/>
        </w:rPr>
        <w:t>投标人单位名称（单位盖公章）：</w:t>
      </w:r>
    </w:p>
    <w:p>
      <w:pPr>
        <w:pStyle w:val="10"/>
      </w:pPr>
    </w:p>
    <w:p>
      <w:pPr>
        <w:pStyle w:val="10"/>
      </w:pPr>
    </w:p>
    <w:p>
      <w:pPr>
        <w:pStyle w:val="10"/>
      </w:pPr>
    </w:p>
    <w:p>
      <w:pPr>
        <w:pStyle w:val="10"/>
      </w:pPr>
    </w:p>
    <w:p>
      <w:pPr>
        <w:pStyle w:val="10"/>
      </w:pPr>
    </w:p>
    <w:p>
      <w:pPr>
        <w:pStyle w:val="10"/>
      </w:pPr>
    </w:p>
    <w:p>
      <w:pPr>
        <w:snapToGrid w:val="0"/>
        <w:ind w:firstLine="843" w:firstLineChars="300"/>
        <w:contextualSpacing/>
        <w:jc w:val="center"/>
        <w:rPr>
          <w:rFonts w:hint="eastAsia" w:ascii="宋体" w:hAnsi="宋体"/>
          <w:b/>
          <w:color w:val="000000"/>
          <w:sz w:val="28"/>
          <w:szCs w:val="28"/>
        </w:rPr>
      </w:pPr>
      <w:r>
        <w:rPr>
          <w:rFonts w:hint="eastAsia" w:ascii="宋体" w:hAnsi="宋体"/>
          <w:b/>
          <w:color w:val="000000"/>
          <w:sz w:val="28"/>
          <w:szCs w:val="28"/>
        </w:rPr>
        <w:t>十三、商务部分评分项格式及佐证材料</w:t>
      </w:r>
    </w:p>
    <w:p>
      <w:pPr>
        <w:snapToGrid w:val="0"/>
        <w:ind w:firstLine="843" w:firstLineChars="300"/>
        <w:contextualSpacing/>
        <w:jc w:val="center"/>
        <w:rPr>
          <w:rFonts w:hint="eastAsia" w:ascii="宋体" w:hAnsi="宋体"/>
          <w:b/>
          <w:color w:val="000000"/>
          <w:sz w:val="28"/>
          <w:szCs w:val="28"/>
        </w:rPr>
      </w:pPr>
    </w:p>
    <w:p>
      <w:pPr>
        <w:pStyle w:val="9"/>
        <w:ind w:left="1060" w:hanging="640"/>
      </w:pPr>
    </w:p>
    <w:p>
      <w:pPr>
        <w:pStyle w:val="10"/>
        <w:ind w:firstLine="241" w:firstLineChars="100"/>
        <w:rPr>
          <w:sz w:val="24"/>
          <w:szCs w:val="24"/>
        </w:rPr>
      </w:pPr>
      <w:r>
        <w:rPr>
          <w:rFonts w:hint="eastAsia"/>
          <w:b/>
          <w:bCs/>
          <w:sz w:val="24"/>
          <w:szCs w:val="24"/>
        </w:rPr>
        <w:t>评分因素</w:t>
      </w:r>
      <w:r>
        <w:rPr>
          <w:rFonts w:hint="eastAsia"/>
          <w:sz w:val="24"/>
          <w:szCs w:val="24"/>
        </w:rPr>
        <w:t>：1.</w:t>
      </w:r>
    </w:p>
    <w:p>
      <w:pPr>
        <w:pStyle w:val="10"/>
        <w:ind w:firstLine="240" w:firstLineChars="100"/>
        <w:rPr>
          <w:sz w:val="24"/>
          <w:szCs w:val="24"/>
        </w:rPr>
      </w:pPr>
      <w:r>
        <w:rPr>
          <w:rFonts w:hint="eastAsia"/>
          <w:sz w:val="24"/>
          <w:szCs w:val="24"/>
        </w:rPr>
        <w:t xml:space="preserve">           </w:t>
      </w:r>
    </w:p>
    <w:p>
      <w:pPr>
        <w:pStyle w:val="10"/>
        <w:ind w:firstLine="240" w:firstLineChars="100"/>
        <w:rPr>
          <w:sz w:val="24"/>
          <w:szCs w:val="24"/>
        </w:rPr>
      </w:pPr>
      <w:r>
        <w:rPr>
          <w:rFonts w:hint="eastAsia"/>
          <w:sz w:val="24"/>
          <w:szCs w:val="24"/>
        </w:rPr>
        <w:t xml:space="preserve">          2.</w:t>
      </w:r>
    </w:p>
    <w:p>
      <w:pPr>
        <w:pStyle w:val="10"/>
        <w:ind w:firstLine="240" w:firstLineChars="100"/>
        <w:rPr>
          <w:sz w:val="24"/>
          <w:szCs w:val="24"/>
        </w:rPr>
      </w:pPr>
    </w:p>
    <w:p>
      <w:pPr>
        <w:pStyle w:val="10"/>
        <w:ind w:firstLine="240" w:firstLineChars="100"/>
        <w:rPr>
          <w:sz w:val="24"/>
          <w:szCs w:val="24"/>
        </w:rPr>
      </w:pPr>
      <w:r>
        <w:rPr>
          <w:rFonts w:hint="eastAsia"/>
          <w:sz w:val="24"/>
          <w:szCs w:val="24"/>
        </w:rPr>
        <w:t xml:space="preserve">          3.</w:t>
      </w:r>
    </w:p>
    <w:p>
      <w:pPr>
        <w:pStyle w:val="10"/>
      </w:pPr>
    </w:p>
    <w:p>
      <w:pPr>
        <w:pStyle w:val="10"/>
        <w:rPr>
          <w:rFonts w:hint="eastAsia" w:hAnsi="宋体"/>
          <w:sz w:val="28"/>
          <w:szCs w:val="28"/>
        </w:rPr>
      </w:pPr>
      <w:r>
        <w:rPr>
          <w:rFonts w:hint="eastAsia"/>
        </w:rPr>
        <w:t xml:space="preserve">             </w:t>
      </w:r>
      <w:r>
        <w:rPr>
          <w:rFonts w:hint="eastAsia" w:hAnsi="宋体"/>
          <w:sz w:val="28"/>
          <w:szCs w:val="28"/>
        </w:rPr>
        <w:t xml:space="preserve"> </w:t>
      </w:r>
      <w:r>
        <w:rPr>
          <w:rFonts w:hAnsi="宋体"/>
          <w:sz w:val="28"/>
          <w:szCs w:val="28"/>
        </w:rPr>
        <w:t>……………</w:t>
      </w:r>
    </w:p>
    <w:p>
      <w:pPr>
        <w:pStyle w:val="10"/>
      </w:pPr>
    </w:p>
    <w:p>
      <w:pPr>
        <w:pStyle w:val="10"/>
      </w:pPr>
    </w:p>
    <w:p>
      <w:pPr>
        <w:pStyle w:val="10"/>
        <w:rPr>
          <w:b/>
          <w:bCs/>
        </w:rPr>
      </w:pPr>
      <w:r>
        <w:rPr>
          <w:rFonts w:hint="eastAsia"/>
          <w:b/>
          <w:bCs/>
        </w:rPr>
        <w:t>（依据评分因素顺序提供佐证资料）</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r>
        <w:rPr>
          <w:rFonts w:hint="eastAsia"/>
        </w:rPr>
        <w:t xml:space="preserve">                                                   </w:t>
      </w:r>
      <w:r>
        <w:rPr>
          <w:rFonts w:hint="eastAsia" w:hAnsi="宋体"/>
          <w:b/>
          <w:bCs/>
        </w:rPr>
        <w:t>投标人单位名称（单位盖公章）：</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jc w:val="center"/>
        <w:rPr>
          <w:sz w:val="24"/>
          <w:szCs w:val="24"/>
        </w:rPr>
      </w:pPr>
    </w:p>
    <w:p>
      <w:pPr>
        <w:pStyle w:val="10"/>
        <w:jc w:val="center"/>
        <w:rPr>
          <w:b/>
          <w:bCs/>
          <w:sz w:val="28"/>
          <w:szCs w:val="28"/>
        </w:rPr>
      </w:pPr>
      <w:r>
        <w:rPr>
          <w:rFonts w:hint="eastAsia" w:hAnsi="宋体"/>
          <w:b/>
          <w:color w:val="000000"/>
          <w:sz w:val="28"/>
          <w:szCs w:val="28"/>
        </w:rPr>
        <w:t>十四、</w:t>
      </w:r>
      <w:r>
        <w:rPr>
          <w:rFonts w:hint="eastAsia"/>
          <w:b/>
          <w:bCs/>
          <w:sz w:val="28"/>
          <w:szCs w:val="28"/>
        </w:rPr>
        <w:t>产品彩页（能证明具备所要求的参数的彩色原件）</w:t>
      </w:r>
    </w:p>
    <w:p>
      <w:pPr>
        <w:pStyle w:val="10"/>
        <w:jc w:val="center"/>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bCs/>
          <w:sz w:val="28"/>
          <w:szCs w:val="28"/>
        </w:rPr>
        <w:t>十五、其他:投标供应商认为必要提供的其他内容</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（其他招标文件要求提供的资料或投标供应商认为需要补充的资料）</w:t>
      </w:r>
    </w:p>
    <w:p>
      <w:pPr>
        <w:spacing w:after="78" w:afterLines="25" w:line="300" w:lineRule="auto"/>
        <w:ind w:left="420"/>
        <w:rPr>
          <w:rFonts w:hint="eastAsia" w:ascii="宋体" w:hAnsi="宋体"/>
          <w:bCs/>
          <w:color w:val="000000"/>
          <w:sz w:val="24"/>
        </w:rPr>
      </w:pPr>
    </w:p>
    <w:p/>
    <w:p/>
    <w:p/>
    <w:p/>
    <w:p/>
    <w:p/>
    <w:p/>
    <w:p/>
    <w:p/>
    <w:p/>
    <w:p/>
    <w:p/>
    <w:p/>
    <w:p/>
    <w:p>
      <w:pPr>
        <w:rPr>
          <w:rFonts w:hint="eastAsia" w:ascii="宋体" w:hAnsi="宋体"/>
          <w:bCs/>
          <w:color w:val="000000"/>
          <w:sz w:val="24"/>
        </w:rPr>
      </w:pPr>
    </w:p>
    <w:p>
      <w:pPr>
        <w:rPr>
          <w:rFonts w:hint="eastAsia" w:ascii="宋体" w:hAnsi="宋体"/>
          <w:bCs/>
          <w:color w:val="000000"/>
          <w:sz w:val="24"/>
        </w:rPr>
      </w:pPr>
    </w:p>
    <w:p/>
    <w:p/>
    <w:p/>
    <w:p/>
    <w:p/>
    <w:p/>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Cs w:val="21"/>
        </w:rPr>
      </w:pPr>
      <w:r>
        <w:rPr>
          <w:rFonts w:hint="eastAsia" w:ascii="宋体" w:hAnsi="宋体"/>
          <w:bCs/>
          <w:color w:val="000000"/>
          <w:szCs w:val="21"/>
        </w:rPr>
        <w:t xml:space="preserve">                                                     </w:t>
      </w:r>
      <w:bookmarkStart w:id="10" w:name="_Hlk224300252"/>
      <w:r>
        <w:rPr>
          <w:rFonts w:hint="eastAsia" w:ascii="宋体" w:hAnsi="宋体"/>
          <w:bCs/>
          <w:color w:val="000000"/>
          <w:szCs w:val="21"/>
        </w:rPr>
        <w:t xml:space="preserve">    </w:t>
      </w:r>
      <w:r>
        <w:rPr>
          <w:rFonts w:hint="eastAsia" w:ascii="宋体" w:hAnsi="宋体" w:cs="宋体"/>
          <w:b/>
          <w:bCs/>
          <w:szCs w:val="21"/>
        </w:rPr>
        <w:t>投标人单位名称（单位盖公章）：</w:t>
      </w:r>
    </w:p>
    <w:bookmarkEnd w:id="10"/>
    <w:p>
      <w:pPr>
        <w:spacing w:after="78" w:afterLines="25" w:line="300" w:lineRule="auto"/>
        <w:ind w:left="420"/>
        <w:rPr>
          <w:rFonts w:hint="eastAsia" w:ascii="宋体" w:hAnsi="宋体"/>
          <w:bCs/>
          <w:color w:val="000000"/>
          <w:sz w:val="24"/>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十六、深圳市宝安区人民医院2026年第</w:t>
      </w:r>
      <w:r>
        <w:rPr>
          <w:rFonts w:hint="eastAsia" w:ascii="宋体" w:hAnsi="宋体" w:cs="宋体-18030"/>
          <w:b/>
          <w:bCs/>
          <w:color w:val="000000"/>
          <w:sz w:val="28"/>
          <w:szCs w:val="28"/>
          <w:lang w:val="en-US" w:eastAsia="zh-CN"/>
        </w:rPr>
        <w:t>19</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BYZBCG2026-</w:t>
      </w:r>
      <w:r>
        <w:rPr>
          <w:rFonts w:hint="eastAsia" w:ascii="宋体" w:hAnsi="宋体"/>
          <w:bCs/>
          <w:color w:val="000000"/>
          <w:sz w:val="24"/>
          <w:lang w:val="en-US" w:eastAsia="zh-CN"/>
        </w:rPr>
        <w:t>19</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cs="宋体"/>
          <w:sz w:val="30"/>
          <w:szCs w:val="30"/>
        </w:rPr>
        <w:t>（单位盖公章）</w:t>
      </w:r>
      <w:r>
        <w:rPr>
          <w:rFonts w:hint="eastAsia" w:ascii="宋体" w:hAnsi="宋体"/>
          <w:sz w:val="28"/>
          <w:szCs w:val="28"/>
        </w:rPr>
        <w:t>：</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right="-143" w:rightChars="-68" w:firstLine="422" w:firstLineChars="201"/>
        <w:rPr>
          <w:rFonts w:hint="eastAsia" w:ascii="宋体" w:hAnsi="宋体"/>
        </w:rPr>
      </w:pPr>
      <w:r>
        <w:rPr>
          <w:rFonts w:hint="eastAsia" w:ascii="宋体" w:hAnsi="宋体"/>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pPr>
        <w:spacing w:line="360" w:lineRule="exact"/>
        <w:ind w:left="-424" w:leftChars="-202" w:right="-283" w:rightChars="-135" w:firstLine="422" w:firstLineChars="201"/>
        <w:rPr>
          <w:rFonts w:hint="eastAsia" w:ascii="宋体" w:hAnsi="宋体"/>
        </w:rPr>
      </w:pP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bookmarkEnd w:id="9"/>
    <w:p>
      <w:pPr>
        <w:widowControl/>
        <w:jc w:val="left"/>
        <w:rPr>
          <w:rFonts w:hint="eastAsia" w:ascii="宋体" w:hAnsi="宋体" w:cs="宋体"/>
          <w:bCs/>
          <w:kern w:val="0"/>
          <w:sz w:val="24"/>
        </w:rPr>
      </w:pPr>
    </w:p>
    <w:sectPr>
      <w:headerReference r:id="rId3" w:type="default"/>
      <w:footerReference r:id="rId4" w:type="default"/>
      <w:pgSz w:w="11906" w:h="16838"/>
      <w:pgMar w:top="238" w:right="1134" w:bottom="284" w:left="11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24772F9"/>
    <w:multiLevelType w:val="multilevel"/>
    <w:tmpl w:val="124772F9"/>
    <w:lvl w:ilvl="0" w:tentative="0">
      <w:start w:val="9"/>
      <w:numFmt w:val="japaneseCounting"/>
      <w:lvlText w:val="%1、"/>
      <w:lvlJc w:val="left"/>
      <w:pPr>
        <w:ind w:left="1040" w:hanging="600"/>
      </w:pPr>
      <w:rPr>
        <w:rFonts w:hint="default" w:ascii="Times New Roman" w:hAnsi="Times New Roman"/>
        <w:b/>
        <w:color w:val="000000"/>
        <w:sz w:val="28"/>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2">
    <w:nsid w:val="2173B815"/>
    <w:multiLevelType w:val="singleLevel"/>
    <w:tmpl w:val="2173B815"/>
    <w:lvl w:ilvl="0" w:tentative="0">
      <w:start w:val="2"/>
      <w:numFmt w:val="chineseCounting"/>
      <w:suff w:val="nothing"/>
      <w:lvlText w:val="%1、"/>
      <w:lvlJc w:val="left"/>
      <w:rPr>
        <w:rFonts w:hint="eastAsia"/>
      </w:rPr>
    </w:lvl>
  </w:abstractNum>
  <w:abstractNum w:abstractNumId="3">
    <w:nsid w:val="44C91209"/>
    <w:multiLevelType w:val="multilevel"/>
    <w:tmpl w:val="44C91209"/>
    <w:lvl w:ilvl="0" w:tentative="0">
      <w:start w:val="11"/>
      <w:numFmt w:val="decimal"/>
      <w:lvlText w:val="%1"/>
      <w:lvlJc w:val="left"/>
      <w:pPr>
        <w:ind w:left="420" w:hanging="420"/>
      </w:pPr>
      <w:rPr>
        <w:rFonts w:hint="default" w:cs="微软雅黑"/>
      </w:rPr>
    </w:lvl>
    <w:lvl w:ilvl="1" w:tentative="0">
      <w:start w:val="2"/>
      <w:numFmt w:val="decimal"/>
      <w:lvlText w:val="%1.%2"/>
      <w:lvlJc w:val="left"/>
      <w:pPr>
        <w:ind w:left="1680" w:hanging="420"/>
      </w:pPr>
      <w:rPr>
        <w:rFonts w:hint="default" w:cs="微软雅黑"/>
      </w:rPr>
    </w:lvl>
    <w:lvl w:ilvl="2" w:tentative="0">
      <w:start w:val="1"/>
      <w:numFmt w:val="decimal"/>
      <w:lvlText w:val="%1.%2.%3"/>
      <w:lvlJc w:val="left"/>
      <w:pPr>
        <w:ind w:left="3240" w:hanging="720"/>
      </w:pPr>
      <w:rPr>
        <w:rFonts w:hint="default" w:cs="微软雅黑"/>
      </w:rPr>
    </w:lvl>
    <w:lvl w:ilvl="3" w:tentative="0">
      <w:start w:val="1"/>
      <w:numFmt w:val="decimal"/>
      <w:lvlText w:val="%1.%2.%3.%4"/>
      <w:lvlJc w:val="left"/>
      <w:pPr>
        <w:ind w:left="4860" w:hanging="1080"/>
      </w:pPr>
      <w:rPr>
        <w:rFonts w:hint="default" w:cs="微软雅黑"/>
      </w:rPr>
    </w:lvl>
    <w:lvl w:ilvl="4" w:tentative="0">
      <w:start w:val="1"/>
      <w:numFmt w:val="decimal"/>
      <w:lvlText w:val="%1.%2.%3.%4.%5"/>
      <w:lvlJc w:val="left"/>
      <w:pPr>
        <w:ind w:left="6120" w:hanging="1080"/>
      </w:pPr>
      <w:rPr>
        <w:rFonts w:hint="default" w:cs="微软雅黑"/>
      </w:rPr>
    </w:lvl>
    <w:lvl w:ilvl="5" w:tentative="0">
      <w:start w:val="1"/>
      <w:numFmt w:val="decimal"/>
      <w:lvlText w:val="%1.%2.%3.%4.%5.%6"/>
      <w:lvlJc w:val="left"/>
      <w:pPr>
        <w:ind w:left="7740" w:hanging="1440"/>
      </w:pPr>
      <w:rPr>
        <w:rFonts w:hint="default" w:cs="微软雅黑"/>
      </w:rPr>
    </w:lvl>
    <w:lvl w:ilvl="6" w:tentative="0">
      <w:start w:val="1"/>
      <w:numFmt w:val="decimal"/>
      <w:lvlText w:val="%1.%2.%3.%4.%5.%6.%7"/>
      <w:lvlJc w:val="left"/>
      <w:pPr>
        <w:ind w:left="9000" w:hanging="1440"/>
      </w:pPr>
      <w:rPr>
        <w:rFonts w:hint="default" w:cs="微软雅黑"/>
      </w:rPr>
    </w:lvl>
    <w:lvl w:ilvl="7" w:tentative="0">
      <w:start w:val="1"/>
      <w:numFmt w:val="decimal"/>
      <w:lvlText w:val="%1.%2.%3.%4.%5.%6.%7.%8"/>
      <w:lvlJc w:val="left"/>
      <w:pPr>
        <w:ind w:left="10620" w:hanging="1800"/>
      </w:pPr>
      <w:rPr>
        <w:rFonts w:hint="default" w:cs="微软雅黑"/>
      </w:rPr>
    </w:lvl>
    <w:lvl w:ilvl="8" w:tentative="0">
      <w:start w:val="1"/>
      <w:numFmt w:val="decimal"/>
      <w:lvlText w:val="%1.%2.%3.%4.%5.%6.%7.%8.%9"/>
      <w:lvlJc w:val="left"/>
      <w:pPr>
        <w:ind w:left="11880" w:hanging="1800"/>
      </w:pPr>
      <w:rPr>
        <w:rFonts w:hint="default" w:cs="微软雅黑"/>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1NDAyYjdjY2FmNmJiOWRiZmQ3MGVlMWQyM2ZiMD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6D"/>
    <w:rsid w:val="00004DCF"/>
    <w:rsid w:val="000058C7"/>
    <w:rsid w:val="00005910"/>
    <w:rsid w:val="00005EB0"/>
    <w:rsid w:val="000062B1"/>
    <w:rsid w:val="00006B1C"/>
    <w:rsid w:val="00007DB7"/>
    <w:rsid w:val="00011EB4"/>
    <w:rsid w:val="000123DA"/>
    <w:rsid w:val="0001295C"/>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858"/>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9CE"/>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322"/>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C7A38"/>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6EF"/>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1B3B"/>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0CBC"/>
    <w:rsid w:val="00131C4A"/>
    <w:rsid w:val="00131E16"/>
    <w:rsid w:val="001320FA"/>
    <w:rsid w:val="0013233D"/>
    <w:rsid w:val="001325A3"/>
    <w:rsid w:val="00132614"/>
    <w:rsid w:val="001328F2"/>
    <w:rsid w:val="00132A81"/>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0B7"/>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48B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06E"/>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493"/>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57DDA"/>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0F4"/>
    <w:rsid w:val="002911C3"/>
    <w:rsid w:val="00293992"/>
    <w:rsid w:val="00293BA1"/>
    <w:rsid w:val="00294AE9"/>
    <w:rsid w:val="00294BA5"/>
    <w:rsid w:val="002950C5"/>
    <w:rsid w:val="00295A1E"/>
    <w:rsid w:val="00296E1C"/>
    <w:rsid w:val="00296F79"/>
    <w:rsid w:val="002A056D"/>
    <w:rsid w:val="002A14A8"/>
    <w:rsid w:val="002A1979"/>
    <w:rsid w:val="002A23C6"/>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0DAF"/>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D4C"/>
    <w:rsid w:val="002E3E53"/>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266"/>
    <w:rsid w:val="00303C44"/>
    <w:rsid w:val="00305773"/>
    <w:rsid w:val="003060E5"/>
    <w:rsid w:val="00306D2B"/>
    <w:rsid w:val="00310752"/>
    <w:rsid w:val="0031159B"/>
    <w:rsid w:val="00311D20"/>
    <w:rsid w:val="003122A6"/>
    <w:rsid w:val="0031293D"/>
    <w:rsid w:val="003129FE"/>
    <w:rsid w:val="00312C97"/>
    <w:rsid w:val="00312D47"/>
    <w:rsid w:val="00314F81"/>
    <w:rsid w:val="003155E7"/>
    <w:rsid w:val="00317786"/>
    <w:rsid w:val="00317B40"/>
    <w:rsid w:val="00317F23"/>
    <w:rsid w:val="00320794"/>
    <w:rsid w:val="00320874"/>
    <w:rsid w:val="00320C81"/>
    <w:rsid w:val="003221DB"/>
    <w:rsid w:val="003227D1"/>
    <w:rsid w:val="00322ACC"/>
    <w:rsid w:val="0032338C"/>
    <w:rsid w:val="00323E44"/>
    <w:rsid w:val="00324771"/>
    <w:rsid w:val="003251CD"/>
    <w:rsid w:val="003252F3"/>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4F09"/>
    <w:rsid w:val="00385943"/>
    <w:rsid w:val="003863CC"/>
    <w:rsid w:val="003864F7"/>
    <w:rsid w:val="0038698B"/>
    <w:rsid w:val="0038782E"/>
    <w:rsid w:val="00390FCA"/>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35B"/>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673"/>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8FC"/>
    <w:rsid w:val="00404994"/>
    <w:rsid w:val="00404B08"/>
    <w:rsid w:val="00404C70"/>
    <w:rsid w:val="0040523F"/>
    <w:rsid w:val="004056AE"/>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5CD5"/>
    <w:rsid w:val="004361DC"/>
    <w:rsid w:val="00436D27"/>
    <w:rsid w:val="00436DD3"/>
    <w:rsid w:val="0043738B"/>
    <w:rsid w:val="004374AE"/>
    <w:rsid w:val="00437B6F"/>
    <w:rsid w:val="00437FBA"/>
    <w:rsid w:val="0044060B"/>
    <w:rsid w:val="004410F2"/>
    <w:rsid w:val="004411CF"/>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E44"/>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1D8"/>
    <w:rsid w:val="00494890"/>
    <w:rsid w:val="004965D6"/>
    <w:rsid w:val="004965F7"/>
    <w:rsid w:val="00496C6A"/>
    <w:rsid w:val="004970C1"/>
    <w:rsid w:val="0049720E"/>
    <w:rsid w:val="00497C8B"/>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EF0"/>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2D3A"/>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270"/>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2D05"/>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278B2"/>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6E"/>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6E7"/>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1B3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08"/>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85"/>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498"/>
    <w:rsid w:val="00735802"/>
    <w:rsid w:val="00735A59"/>
    <w:rsid w:val="00735DC5"/>
    <w:rsid w:val="00736655"/>
    <w:rsid w:val="007371F0"/>
    <w:rsid w:val="0074043C"/>
    <w:rsid w:val="0074075D"/>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BA4"/>
    <w:rsid w:val="00767CDF"/>
    <w:rsid w:val="007702A4"/>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37F5"/>
    <w:rsid w:val="007958B7"/>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2DD1"/>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7C0"/>
    <w:rsid w:val="00805861"/>
    <w:rsid w:val="00805B8A"/>
    <w:rsid w:val="00805F58"/>
    <w:rsid w:val="00806DA8"/>
    <w:rsid w:val="00807022"/>
    <w:rsid w:val="0080734E"/>
    <w:rsid w:val="008100F4"/>
    <w:rsid w:val="008101A6"/>
    <w:rsid w:val="008101F0"/>
    <w:rsid w:val="00810800"/>
    <w:rsid w:val="00811003"/>
    <w:rsid w:val="00811201"/>
    <w:rsid w:val="008116B5"/>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092A"/>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B93"/>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C4B"/>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207"/>
    <w:rsid w:val="009256AA"/>
    <w:rsid w:val="0092642D"/>
    <w:rsid w:val="00927358"/>
    <w:rsid w:val="00927560"/>
    <w:rsid w:val="00930077"/>
    <w:rsid w:val="00930E81"/>
    <w:rsid w:val="00931B93"/>
    <w:rsid w:val="00931CAE"/>
    <w:rsid w:val="009321B3"/>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6B8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67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670D"/>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206"/>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6A06"/>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6B5"/>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E5D"/>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433"/>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328"/>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AC2"/>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69"/>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29DF"/>
    <w:rsid w:val="00B33741"/>
    <w:rsid w:val="00B33A46"/>
    <w:rsid w:val="00B34530"/>
    <w:rsid w:val="00B34D02"/>
    <w:rsid w:val="00B3589B"/>
    <w:rsid w:val="00B37544"/>
    <w:rsid w:val="00B37E82"/>
    <w:rsid w:val="00B4010B"/>
    <w:rsid w:val="00B402BA"/>
    <w:rsid w:val="00B40CFF"/>
    <w:rsid w:val="00B4160A"/>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4C9F"/>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1096"/>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26"/>
    <w:rsid w:val="00BF5577"/>
    <w:rsid w:val="00BF5608"/>
    <w:rsid w:val="00BF5700"/>
    <w:rsid w:val="00BF675B"/>
    <w:rsid w:val="00BF685D"/>
    <w:rsid w:val="00BF76CC"/>
    <w:rsid w:val="00BF7A34"/>
    <w:rsid w:val="00C01D3F"/>
    <w:rsid w:val="00C01DC8"/>
    <w:rsid w:val="00C028EC"/>
    <w:rsid w:val="00C02EE8"/>
    <w:rsid w:val="00C033E1"/>
    <w:rsid w:val="00C03E54"/>
    <w:rsid w:val="00C044C7"/>
    <w:rsid w:val="00C04633"/>
    <w:rsid w:val="00C048E6"/>
    <w:rsid w:val="00C04976"/>
    <w:rsid w:val="00C075DF"/>
    <w:rsid w:val="00C07780"/>
    <w:rsid w:val="00C078C1"/>
    <w:rsid w:val="00C11106"/>
    <w:rsid w:val="00C1238E"/>
    <w:rsid w:val="00C12903"/>
    <w:rsid w:val="00C15376"/>
    <w:rsid w:val="00C153CE"/>
    <w:rsid w:val="00C15673"/>
    <w:rsid w:val="00C15CB3"/>
    <w:rsid w:val="00C1646B"/>
    <w:rsid w:val="00C17448"/>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072"/>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32E"/>
    <w:rsid w:val="00C47D8B"/>
    <w:rsid w:val="00C5130B"/>
    <w:rsid w:val="00C514EA"/>
    <w:rsid w:val="00C51FEB"/>
    <w:rsid w:val="00C52336"/>
    <w:rsid w:val="00C52EDA"/>
    <w:rsid w:val="00C53384"/>
    <w:rsid w:val="00C535F7"/>
    <w:rsid w:val="00C5426B"/>
    <w:rsid w:val="00C54801"/>
    <w:rsid w:val="00C54BF0"/>
    <w:rsid w:val="00C55A0E"/>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381"/>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0D0F"/>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1BA3"/>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581B"/>
    <w:rsid w:val="00CE64E2"/>
    <w:rsid w:val="00CE6746"/>
    <w:rsid w:val="00CE6ED9"/>
    <w:rsid w:val="00CE70F2"/>
    <w:rsid w:val="00CE7E40"/>
    <w:rsid w:val="00CF03B5"/>
    <w:rsid w:val="00CF0877"/>
    <w:rsid w:val="00CF0C17"/>
    <w:rsid w:val="00CF0FAB"/>
    <w:rsid w:val="00CF1207"/>
    <w:rsid w:val="00CF1E7C"/>
    <w:rsid w:val="00CF27BE"/>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7E1"/>
    <w:rsid w:val="00D07A65"/>
    <w:rsid w:val="00D100CE"/>
    <w:rsid w:val="00D10672"/>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6A1B"/>
    <w:rsid w:val="00D27747"/>
    <w:rsid w:val="00D27987"/>
    <w:rsid w:val="00D30885"/>
    <w:rsid w:val="00D31503"/>
    <w:rsid w:val="00D31D12"/>
    <w:rsid w:val="00D322AD"/>
    <w:rsid w:val="00D32772"/>
    <w:rsid w:val="00D32CAE"/>
    <w:rsid w:val="00D32CEC"/>
    <w:rsid w:val="00D33256"/>
    <w:rsid w:val="00D33E60"/>
    <w:rsid w:val="00D34178"/>
    <w:rsid w:val="00D34345"/>
    <w:rsid w:val="00D3445B"/>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C2"/>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A7B"/>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4C1"/>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BE8"/>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33B"/>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BD6"/>
    <w:rsid w:val="00E20FE2"/>
    <w:rsid w:val="00E220E2"/>
    <w:rsid w:val="00E22D81"/>
    <w:rsid w:val="00E22E55"/>
    <w:rsid w:val="00E23935"/>
    <w:rsid w:val="00E23F2B"/>
    <w:rsid w:val="00E241CD"/>
    <w:rsid w:val="00E24B19"/>
    <w:rsid w:val="00E24F14"/>
    <w:rsid w:val="00E25355"/>
    <w:rsid w:val="00E25FA3"/>
    <w:rsid w:val="00E267B4"/>
    <w:rsid w:val="00E26A38"/>
    <w:rsid w:val="00E274B5"/>
    <w:rsid w:val="00E27A4C"/>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09C"/>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D6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463"/>
    <w:rsid w:val="00E97A25"/>
    <w:rsid w:val="00EA017B"/>
    <w:rsid w:val="00EA052F"/>
    <w:rsid w:val="00EA1458"/>
    <w:rsid w:val="00EA1831"/>
    <w:rsid w:val="00EA1F48"/>
    <w:rsid w:val="00EA2D45"/>
    <w:rsid w:val="00EA3739"/>
    <w:rsid w:val="00EA4F33"/>
    <w:rsid w:val="00EA500A"/>
    <w:rsid w:val="00EA6275"/>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1FD"/>
    <w:rsid w:val="00ED2520"/>
    <w:rsid w:val="00ED25F6"/>
    <w:rsid w:val="00ED2B86"/>
    <w:rsid w:val="00ED3067"/>
    <w:rsid w:val="00ED37C1"/>
    <w:rsid w:val="00ED4199"/>
    <w:rsid w:val="00ED421D"/>
    <w:rsid w:val="00ED457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5DC"/>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9C5"/>
    <w:rsid w:val="00F40C6F"/>
    <w:rsid w:val="00F40CB6"/>
    <w:rsid w:val="00F40FA1"/>
    <w:rsid w:val="00F4100E"/>
    <w:rsid w:val="00F41536"/>
    <w:rsid w:val="00F41672"/>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6EE"/>
    <w:rsid w:val="00F528C6"/>
    <w:rsid w:val="00F5336F"/>
    <w:rsid w:val="00F53832"/>
    <w:rsid w:val="00F5387A"/>
    <w:rsid w:val="00F53BE6"/>
    <w:rsid w:val="00F54959"/>
    <w:rsid w:val="00F5701B"/>
    <w:rsid w:val="00F57BB7"/>
    <w:rsid w:val="00F57E0A"/>
    <w:rsid w:val="00F60089"/>
    <w:rsid w:val="00F6075F"/>
    <w:rsid w:val="00F60B5F"/>
    <w:rsid w:val="00F61646"/>
    <w:rsid w:val="00F618D3"/>
    <w:rsid w:val="00F6230B"/>
    <w:rsid w:val="00F62A08"/>
    <w:rsid w:val="00F62D1E"/>
    <w:rsid w:val="00F62E58"/>
    <w:rsid w:val="00F630C6"/>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35E9"/>
    <w:rsid w:val="00F74096"/>
    <w:rsid w:val="00F745F6"/>
    <w:rsid w:val="00F74993"/>
    <w:rsid w:val="00F74B20"/>
    <w:rsid w:val="00F74E54"/>
    <w:rsid w:val="00F756C2"/>
    <w:rsid w:val="00F75802"/>
    <w:rsid w:val="00F75C98"/>
    <w:rsid w:val="00F75DE5"/>
    <w:rsid w:val="00F77389"/>
    <w:rsid w:val="00F80BE7"/>
    <w:rsid w:val="00F80D90"/>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425"/>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33"/>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4D06179"/>
    <w:rsid w:val="08D10049"/>
    <w:rsid w:val="0A52171E"/>
    <w:rsid w:val="102D18C3"/>
    <w:rsid w:val="10F802A5"/>
    <w:rsid w:val="11E00693"/>
    <w:rsid w:val="1659181D"/>
    <w:rsid w:val="182B7013"/>
    <w:rsid w:val="1A1E1ABE"/>
    <w:rsid w:val="1B464D3C"/>
    <w:rsid w:val="234D4E44"/>
    <w:rsid w:val="24E92C05"/>
    <w:rsid w:val="260A58E8"/>
    <w:rsid w:val="296E01B8"/>
    <w:rsid w:val="2B6F32B8"/>
    <w:rsid w:val="2F673356"/>
    <w:rsid w:val="2F9D401A"/>
    <w:rsid w:val="315F6D23"/>
    <w:rsid w:val="35026F4B"/>
    <w:rsid w:val="353C06AF"/>
    <w:rsid w:val="3ABB3E24"/>
    <w:rsid w:val="3AF915C2"/>
    <w:rsid w:val="3CDE6ED2"/>
    <w:rsid w:val="3EA552EE"/>
    <w:rsid w:val="4279502A"/>
    <w:rsid w:val="43360F98"/>
    <w:rsid w:val="44C40DAE"/>
    <w:rsid w:val="45567864"/>
    <w:rsid w:val="48033E71"/>
    <w:rsid w:val="483E0A4A"/>
    <w:rsid w:val="48497F90"/>
    <w:rsid w:val="48F556E3"/>
    <w:rsid w:val="53B72E6C"/>
    <w:rsid w:val="56646C69"/>
    <w:rsid w:val="5C8607D7"/>
    <w:rsid w:val="5E045613"/>
    <w:rsid w:val="64BE2131"/>
    <w:rsid w:val="64D072E1"/>
    <w:rsid w:val="652D6499"/>
    <w:rsid w:val="671B1107"/>
    <w:rsid w:val="682240B4"/>
    <w:rsid w:val="690D0A57"/>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99"/>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link w:val="7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Default Char"/>
    <w:link w:val="38"/>
    <w:qFormat/>
    <w:uiPriority w:val="0"/>
    <w:rPr>
      <w:rFonts w:ascii="Arial Narrow" w:hAnsi="Arial Narrow" w:cs="Arial Narrow"/>
      <w:color w:val="000000"/>
      <w:sz w:val="24"/>
      <w:szCs w:val="24"/>
    </w:rPr>
  </w:style>
  <w:style w:type="character" w:customStyle="1" w:styleId="79">
    <w:name w:val="font31"/>
    <w:qFormat/>
    <w:uiPriority w:val="0"/>
    <w:rPr>
      <w:rFonts w:hint="default" w:ascii="Times New Roman" w:hAnsi="Times New Roman" w:cs="Times New Roman"/>
      <w:color w:val="000000"/>
      <w:sz w:val="24"/>
      <w:szCs w:val="24"/>
      <w:u w:val="none"/>
    </w:rPr>
  </w:style>
  <w:style w:type="character" w:customStyle="1" w:styleId="80">
    <w:name w:val="font41"/>
    <w:qFormat/>
    <w:uiPriority w:val="0"/>
    <w:rPr>
      <w:rFonts w:hint="default" w:ascii="Arial" w:hAnsi="Arial" w:cs="Arial"/>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43</Pages>
  <Words>23386</Words>
  <Characters>24713</Characters>
  <Lines>167</Lines>
  <Paragraphs>47</Paragraphs>
  <TotalTime>48</TotalTime>
  <ScaleCrop>false</ScaleCrop>
  <LinksUpToDate>false</LinksUpToDate>
  <CharactersWithSpaces>28018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2025-12-22T07:30:00Z</cp:lastPrinted>
  <dcterms:modified xsi:type="dcterms:W3CDTF">2026-04-20T09:11:12Z</dcterms:modified>
  <dc:title>院内招标采购公告</dc:title>
  <cp:revision>1197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C6F05D94C2A64133BFA029AE94460DC7</vt:lpwstr>
  </property>
</Properties>
</file>